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1A243">
      <w:pPr>
        <w:rPr>
          <w:rFonts w:ascii="仿宋_GB2312" w:hAnsi="仿宋_GB2312" w:eastAsia="仿宋_GB2312" w:cs="仿宋_GB2312"/>
          <w:sz w:val="36"/>
          <w:szCs w:val="36"/>
        </w:rPr>
      </w:pPr>
      <w:bookmarkStart w:id="0" w:name="_Hlk57883707"/>
    </w:p>
    <w:p w14:paraId="09C8A141">
      <w:pPr>
        <w:adjustRightInd w:val="0"/>
        <w:snapToGrid w:val="0"/>
        <w:jc w:val="center"/>
        <w:outlineLvl w:val="0"/>
        <w:rPr>
          <w:rFonts w:ascii="方正小标宋_GBK" w:eastAsia="方正小标宋_GBK"/>
          <w:bCs/>
          <w:sz w:val="72"/>
          <w:szCs w:val="72"/>
        </w:rPr>
      </w:pPr>
      <w:bookmarkStart w:id="1" w:name="_Toc231571690"/>
      <w:bookmarkStart w:id="2" w:name="_Toc233036170"/>
      <w:r>
        <w:rPr>
          <w:rFonts w:hint="eastAsia" w:ascii="方正小标宋_GBK" w:eastAsia="方正小标宋_GBK"/>
          <w:bCs/>
          <w:sz w:val="72"/>
          <w:szCs w:val="72"/>
        </w:rPr>
        <w:t>建设项目环境影响报告表</w:t>
      </w:r>
      <w:bookmarkEnd w:id="1"/>
      <w:bookmarkEnd w:id="2"/>
    </w:p>
    <w:p w14:paraId="0202DCB5">
      <w:pPr>
        <w:adjustRightInd w:val="0"/>
        <w:snapToGrid w:val="0"/>
        <w:spacing w:before="192" w:beforeLines="80"/>
        <w:jc w:val="center"/>
        <w:rPr>
          <w:rFonts w:ascii="楷体_GB2312" w:eastAsia="楷体_GB2312"/>
          <w:bCs/>
          <w:sz w:val="48"/>
          <w:szCs w:val="48"/>
        </w:rPr>
      </w:pPr>
      <w:r>
        <w:rPr>
          <w:rFonts w:hint="eastAsia" w:ascii="楷体_GB2312" w:eastAsia="楷体_GB2312"/>
          <w:bCs/>
          <w:sz w:val="48"/>
          <w:szCs w:val="48"/>
        </w:rPr>
        <w:t>（生态影响类）</w:t>
      </w:r>
    </w:p>
    <w:p w14:paraId="115C7B83">
      <w:pPr>
        <w:adjustRightInd w:val="0"/>
        <w:snapToGrid w:val="0"/>
        <w:spacing w:line="288" w:lineRule="auto"/>
        <w:jc w:val="center"/>
        <w:rPr>
          <w:rFonts w:ascii="华文仿宋" w:hAnsi="华文仿宋" w:eastAsia="华文仿宋" w:cs="华文仿宋"/>
          <w:kern w:val="44"/>
          <w:sz w:val="44"/>
          <w:szCs w:val="44"/>
        </w:rPr>
      </w:pPr>
    </w:p>
    <w:p w14:paraId="6562B891">
      <w:pPr>
        <w:jc w:val="center"/>
        <w:rPr>
          <w:rFonts w:eastAsia="仿宋"/>
          <w:sz w:val="52"/>
          <w:szCs w:val="52"/>
        </w:rPr>
      </w:pPr>
    </w:p>
    <w:p w14:paraId="53BB9517">
      <w:pPr>
        <w:ind w:firstLine="1040"/>
        <w:rPr>
          <w:rFonts w:eastAsia="仿宋"/>
          <w:sz w:val="44"/>
          <w:szCs w:val="44"/>
        </w:rPr>
      </w:pPr>
    </w:p>
    <w:p w14:paraId="0E729759">
      <w:pPr>
        <w:ind w:firstLine="1040"/>
        <w:rPr>
          <w:rFonts w:eastAsia="仿宋"/>
          <w:sz w:val="44"/>
          <w:szCs w:val="44"/>
        </w:rPr>
      </w:pPr>
    </w:p>
    <w:p w14:paraId="0881A986">
      <w:pPr>
        <w:ind w:firstLine="1040"/>
        <w:rPr>
          <w:rFonts w:eastAsia="仿宋"/>
          <w:sz w:val="44"/>
          <w:szCs w:val="44"/>
        </w:rPr>
      </w:pPr>
    </w:p>
    <w:p w14:paraId="5798598F">
      <w:pPr>
        <w:ind w:firstLine="1040"/>
        <w:rPr>
          <w:rFonts w:hint="eastAsia" w:eastAsia="仿宋"/>
          <w:sz w:val="44"/>
          <w:szCs w:val="44"/>
        </w:rPr>
      </w:pPr>
    </w:p>
    <w:p w14:paraId="75F0A222">
      <w:pPr>
        <w:ind w:firstLine="1040"/>
        <w:rPr>
          <w:rFonts w:eastAsia="仿宋"/>
          <w:sz w:val="44"/>
          <w:szCs w:val="44"/>
        </w:rPr>
      </w:pPr>
    </w:p>
    <w:p w14:paraId="16F79AD2">
      <w:pPr>
        <w:adjustRightInd w:val="0"/>
        <w:snapToGrid w:val="0"/>
        <w:spacing w:line="288" w:lineRule="auto"/>
        <w:ind w:firstLine="360" w:firstLineChars="100"/>
        <w:rPr>
          <w:rFonts w:eastAsia="仿宋_GB2312"/>
          <w:sz w:val="32"/>
          <w:szCs w:val="32"/>
          <w:u w:val="single"/>
        </w:rPr>
      </w:pPr>
      <w:r>
        <w:rPr>
          <w:rFonts w:eastAsia="仿宋_GB2312"/>
          <w:sz w:val="36"/>
          <w:szCs w:val="36"/>
        </w:rPr>
        <w:t>项目名称：</w:t>
      </w:r>
      <w:r>
        <w:rPr>
          <w:rFonts w:hint="eastAsia" w:eastAsia="仿宋_GB2312"/>
          <w:sz w:val="36"/>
          <w:szCs w:val="36"/>
          <w:u w:val="single"/>
        </w:rPr>
        <w:t xml:space="preserve">         </w:t>
      </w:r>
      <w:bookmarkStart w:id="3" w:name="OLE_LINK3"/>
      <w:r>
        <w:rPr>
          <w:rFonts w:hint="eastAsia" w:eastAsia="仿宋_GB2312"/>
          <w:sz w:val="36"/>
          <w:szCs w:val="36"/>
          <w:u w:val="single"/>
        </w:rPr>
        <w:t>绿坪村光伏发电项目</w:t>
      </w:r>
      <w:bookmarkEnd w:id="3"/>
      <w:r>
        <w:rPr>
          <w:rFonts w:eastAsia="仿宋_GB2312"/>
          <w:sz w:val="32"/>
          <w:szCs w:val="32"/>
          <w:u w:val="single"/>
        </w:rPr>
        <w:t xml:space="preserve">       </w:t>
      </w:r>
      <w:r>
        <w:rPr>
          <w:rFonts w:hint="eastAsia" w:eastAsia="仿宋_GB2312"/>
          <w:sz w:val="32"/>
          <w:szCs w:val="32"/>
          <w:u w:val="single"/>
        </w:rPr>
        <w:t xml:space="preserve"> </w:t>
      </w:r>
      <w:r>
        <w:rPr>
          <w:rFonts w:eastAsia="仿宋_GB2312"/>
          <w:sz w:val="32"/>
          <w:szCs w:val="32"/>
          <w:u w:val="single"/>
        </w:rPr>
        <w:t xml:space="preserve"> </w:t>
      </w:r>
      <w:r>
        <w:rPr>
          <w:rFonts w:hint="eastAsia" w:eastAsia="仿宋_GB2312"/>
          <w:sz w:val="32"/>
          <w:szCs w:val="32"/>
          <w:u w:val="single"/>
        </w:rPr>
        <w:t xml:space="preserve">   </w:t>
      </w:r>
    </w:p>
    <w:p w14:paraId="7D781DFE">
      <w:pPr>
        <w:adjustRightInd w:val="0"/>
        <w:snapToGrid w:val="0"/>
        <w:spacing w:line="288" w:lineRule="auto"/>
        <w:ind w:firstLine="1040"/>
        <w:rPr>
          <w:rFonts w:eastAsia="仿宋_GB2312"/>
          <w:sz w:val="36"/>
          <w:szCs w:val="36"/>
          <w:u w:val="single"/>
        </w:rPr>
      </w:pPr>
    </w:p>
    <w:p w14:paraId="3883B841">
      <w:pPr>
        <w:adjustRightInd w:val="0"/>
        <w:snapToGrid w:val="0"/>
        <w:spacing w:line="288" w:lineRule="auto"/>
        <w:ind w:left="3555" w:leftChars="150" w:hanging="3240" w:hangingChars="900"/>
        <w:rPr>
          <w:rFonts w:eastAsia="仿宋_GB2312"/>
          <w:sz w:val="36"/>
          <w:szCs w:val="36"/>
          <w:u w:val="single"/>
        </w:rPr>
      </w:pPr>
      <w:r>
        <w:rPr>
          <w:rFonts w:eastAsia="仿宋_GB2312"/>
          <w:sz w:val="36"/>
          <w:szCs w:val="36"/>
        </w:rPr>
        <w:t>建设单位（盖章）：</w:t>
      </w:r>
      <w:r>
        <w:rPr>
          <w:rFonts w:hint="eastAsia" w:eastAsia="仿宋_GB2312"/>
          <w:sz w:val="36"/>
          <w:szCs w:val="36"/>
          <w:u w:val="single"/>
        </w:rPr>
        <w:t xml:space="preserve">  华电云南发电有限公司       </w:t>
      </w:r>
    </w:p>
    <w:p w14:paraId="2C62D1A3">
      <w:pPr>
        <w:adjustRightInd w:val="0"/>
        <w:snapToGrid w:val="0"/>
        <w:spacing w:line="288" w:lineRule="auto"/>
        <w:ind w:firstLine="1040"/>
        <w:rPr>
          <w:rFonts w:eastAsia="仿宋_GB2312"/>
          <w:sz w:val="36"/>
          <w:szCs w:val="36"/>
          <w:u w:val="single"/>
        </w:rPr>
      </w:pPr>
    </w:p>
    <w:p w14:paraId="6E839BF9">
      <w:pPr>
        <w:adjustRightInd w:val="0"/>
        <w:snapToGrid w:val="0"/>
        <w:spacing w:line="288" w:lineRule="auto"/>
        <w:ind w:firstLine="360" w:firstLineChars="100"/>
        <w:rPr>
          <w:rFonts w:ascii="仿宋_GB2312" w:eastAsia="仿宋_GB2312"/>
          <w:sz w:val="36"/>
          <w:szCs w:val="36"/>
          <w:u w:val="single"/>
        </w:rPr>
      </w:pPr>
      <w:r>
        <w:rPr>
          <w:rFonts w:eastAsia="仿宋_GB2312"/>
          <w:sz w:val="36"/>
          <w:szCs w:val="36"/>
        </w:rPr>
        <w:t>编制日期：</w:t>
      </w:r>
      <w:r>
        <w:rPr>
          <w:rFonts w:eastAsia="仿宋_GB2312"/>
          <w:sz w:val="36"/>
          <w:szCs w:val="36"/>
          <w:u w:val="single"/>
        </w:rPr>
        <w:t xml:space="preserve">           </w:t>
      </w:r>
      <w:r>
        <w:rPr>
          <w:rFonts w:hint="eastAsia" w:eastAsia="仿宋_GB2312"/>
          <w:sz w:val="36"/>
          <w:szCs w:val="36"/>
          <w:u w:val="single"/>
        </w:rPr>
        <w:t>2026</w:t>
      </w:r>
      <w:r>
        <w:rPr>
          <w:rFonts w:eastAsia="仿宋_GB2312"/>
          <w:sz w:val="36"/>
          <w:szCs w:val="36"/>
          <w:u w:val="single"/>
        </w:rPr>
        <w:t xml:space="preserve">年8月 </w:t>
      </w:r>
      <w:r>
        <w:rPr>
          <w:rFonts w:ascii="仿宋_GB2312" w:eastAsia="仿宋_GB2312"/>
          <w:sz w:val="36"/>
          <w:szCs w:val="36"/>
          <w:u w:val="single"/>
        </w:rPr>
        <w:t xml:space="preserve">      </w:t>
      </w:r>
      <w:r>
        <w:rPr>
          <w:rFonts w:hint="eastAsia" w:ascii="仿宋_GB2312" w:eastAsia="仿宋_GB2312"/>
          <w:sz w:val="36"/>
          <w:szCs w:val="36"/>
          <w:u w:val="single"/>
        </w:rPr>
        <w:t xml:space="preserve">    </w:t>
      </w:r>
      <w:r>
        <w:rPr>
          <w:rFonts w:ascii="仿宋_GB2312" w:eastAsia="仿宋_GB2312"/>
          <w:sz w:val="36"/>
          <w:szCs w:val="36"/>
          <w:u w:val="single"/>
        </w:rPr>
        <w:t xml:space="preserve">    </w:t>
      </w:r>
    </w:p>
    <w:p w14:paraId="7776CC79">
      <w:pPr>
        <w:adjustRightInd w:val="0"/>
        <w:snapToGrid w:val="0"/>
        <w:spacing w:line="288" w:lineRule="auto"/>
        <w:ind w:firstLine="360" w:firstLineChars="100"/>
        <w:rPr>
          <w:rFonts w:ascii="仿宋_GB2312" w:eastAsia="仿宋_GB2312"/>
          <w:sz w:val="36"/>
          <w:szCs w:val="36"/>
          <w:u w:val="single"/>
        </w:rPr>
      </w:pPr>
    </w:p>
    <w:p w14:paraId="7D798B77">
      <w:pPr>
        <w:adjustRightInd w:val="0"/>
        <w:snapToGrid w:val="0"/>
        <w:spacing w:line="288" w:lineRule="auto"/>
        <w:ind w:firstLine="1040"/>
        <w:rPr>
          <w:rFonts w:ascii="仿宋_GB2312" w:eastAsia="仿宋_GB2312"/>
          <w:sz w:val="36"/>
          <w:szCs w:val="36"/>
          <w:u w:val="single"/>
        </w:rPr>
      </w:pPr>
    </w:p>
    <w:p w14:paraId="14380B29">
      <w:pPr>
        <w:adjustRightInd w:val="0"/>
        <w:snapToGrid w:val="0"/>
        <w:spacing w:line="288" w:lineRule="auto"/>
        <w:ind w:firstLine="1040"/>
        <w:rPr>
          <w:rFonts w:ascii="仿宋_GB2312" w:eastAsia="仿宋_GB2312"/>
          <w:sz w:val="36"/>
          <w:szCs w:val="36"/>
        </w:rPr>
      </w:pPr>
    </w:p>
    <w:p w14:paraId="1A0D8FCB">
      <w:pPr>
        <w:adjustRightInd w:val="0"/>
        <w:snapToGrid w:val="0"/>
        <w:spacing w:line="288" w:lineRule="auto"/>
        <w:ind w:firstLine="1040"/>
        <w:rPr>
          <w:rFonts w:ascii="仿宋_GB2312" w:eastAsia="仿宋_GB2312"/>
          <w:sz w:val="36"/>
          <w:szCs w:val="36"/>
        </w:rPr>
      </w:pPr>
    </w:p>
    <w:p w14:paraId="121FF7AB">
      <w:pPr>
        <w:adjustRightInd w:val="0"/>
        <w:snapToGrid w:val="0"/>
        <w:spacing w:line="288" w:lineRule="auto"/>
        <w:ind w:firstLine="1040"/>
        <w:rPr>
          <w:rFonts w:ascii="仿宋_GB2312" w:eastAsia="仿宋_GB2312"/>
          <w:sz w:val="36"/>
          <w:szCs w:val="36"/>
        </w:rPr>
      </w:pPr>
    </w:p>
    <w:p w14:paraId="7061C41D">
      <w:pPr>
        <w:adjustRightInd w:val="0"/>
        <w:snapToGrid w:val="0"/>
        <w:spacing w:line="288" w:lineRule="auto"/>
        <w:ind w:firstLine="1040"/>
        <w:rPr>
          <w:rFonts w:ascii="仿宋_GB2312" w:eastAsia="仿宋_GB2312"/>
          <w:sz w:val="36"/>
          <w:szCs w:val="36"/>
        </w:rPr>
      </w:pPr>
    </w:p>
    <w:p w14:paraId="0FD87DEB">
      <w:pPr>
        <w:adjustRightInd w:val="0"/>
        <w:snapToGrid w:val="0"/>
        <w:spacing w:line="288" w:lineRule="auto"/>
        <w:jc w:val="center"/>
        <w:rPr>
          <w:rFonts w:ascii="楷体_GB2312" w:eastAsia="楷体_GB2312"/>
          <w:sz w:val="36"/>
          <w:szCs w:val="36"/>
        </w:rPr>
      </w:pPr>
      <w:r>
        <w:rPr>
          <w:rFonts w:hint="eastAsia" w:ascii="楷体_GB2312" w:eastAsia="楷体_GB2312"/>
          <w:sz w:val="36"/>
          <w:szCs w:val="36"/>
        </w:rPr>
        <w:t>中华人民共和国生态环境部制</w:t>
      </w:r>
    </w:p>
    <w:p w14:paraId="0E8CF091">
      <w:pPr>
        <w:adjustRightInd w:val="0"/>
        <w:snapToGrid w:val="0"/>
        <w:spacing w:line="288" w:lineRule="auto"/>
        <w:ind w:firstLine="1040"/>
        <w:rPr>
          <w:rFonts w:ascii="仿宋_GB2312" w:eastAsia="仿宋_GB2312"/>
          <w:sz w:val="36"/>
          <w:szCs w:val="36"/>
        </w:rPr>
        <w:sectPr>
          <w:headerReference r:id="rId3" w:type="default"/>
          <w:footerReference r:id="rId4" w:type="even"/>
          <w:pgSz w:w="11906" w:h="16838"/>
          <w:pgMar w:top="1701" w:right="1531" w:bottom="1701" w:left="1531" w:header="851" w:footer="1077" w:gutter="0"/>
          <w:pgNumType w:start="21"/>
          <w:cols w:space="720" w:num="1"/>
          <w:docGrid w:linePitch="312" w:charSpace="0"/>
        </w:sectPr>
      </w:pPr>
    </w:p>
    <w:bookmarkEnd w:id="0"/>
    <w:p w14:paraId="40D32112">
      <w:pPr>
        <w:rPr>
          <w:rFonts w:hint="eastAsia"/>
          <w:b/>
          <w:snapToGrid w:val="0"/>
          <w:color w:val="000000"/>
          <w:kern w:val="0"/>
          <w:sz w:val="24"/>
        </w:rPr>
        <w:sectPr>
          <w:headerReference r:id="rId5" w:type="default"/>
          <w:pgSz w:w="11905" w:h="16838"/>
          <w:pgMar w:top="1531" w:right="1417" w:bottom="1531" w:left="1417" w:header="851" w:footer="1077" w:gutter="0"/>
          <w:pgBorders>
            <w:top w:val="none" w:sz="0" w:space="0"/>
            <w:left w:val="none" w:sz="0" w:space="0"/>
            <w:bottom w:val="none" w:sz="0" w:space="0"/>
            <w:right w:val="none" w:sz="0" w:space="0"/>
          </w:pgBorders>
          <w:pgNumType w:start="21"/>
          <w:cols w:space="720" w:num="1"/>
          <w:docGrid w:linePitch="312" w:charSpace="0"/>
        </w:sectPr>
      </w:pPr>
    </w:p>
    <w:p w14:paraId="4F824068">
      <w:pPr>
        <w:widowControl/>
        <w:snapToGrid w:val="0"/>
        <w:spacing w:line="360" w:lineRule="auto"/>
        <w:jc w:val="center"/>
        <w:rPr>
          <w:rFonts w:hint="eastAsia"/>
          <w:b/>
          <w:bCs/>
          <w:snapToGrid w:val="0"/>
          <w:color w:val="000000"/>
          <w:kern w:val="0"/>
          <w:sz w:val="30"/>
          <w:szCs w:val="30"/>
        </w:rPr>
      </w:pPr>
      <w:r>
        <w:rPr>
          <w:rFonts w:hint="eastAsia"/>
          <w:b/>
          <w:bCs/>
          <w:snapToGrid w:val="0"/>
          <w:color w:val="000000"/>
          <w:kern w:val="0"/>
          <w:sz w:val="30"/>
          <w:szCs w:val="30"/>
        </w:rPr>
        <w:t>前言</w:t>
      </w:r>
    </w:p>
    <w:p w14:paraId="41261DFB">
      <w:pPr>
        <w:spacing w:line="360" w:lineRule="auto"/>
        <w:ind w:firstLine="482" w:firstLineChars="200"/>
        <w:rPr>
          <w:rFonts w:hint="eastAsia"/>
          <w:snapToGrid w:val="0"/>
          <w:color w:val="000000"/>
          <w:kern w:val="0"/>
          <w:sz w:val="24"/>
        </w:rPr>
      </w:pPr>
      <w:r>
        <w:rPr>
          <w:rFonts w:hint="eastAsia"/>
          <w:b/>
          <w:bCs/>
          <w:snapToGrid w:val="0"/>
          <w:color w:val="000000"/>
          <w:kern w:val="0"/>
          <w:sz w:val="24"/>
        </w:rPr>
        <w:t>项目由来：</w:t>
      </w:r>
      <w:r>
        <w:rPr>
          <w:rFonts w:hint="eastAsia"/>
          <w:snapToGrid w:val="0"/>
          <w:color w:val="000000"/>
          <w:kern w:val="0"/>
          <w:sz w:val="24"/>
        </w:rPr>
        <w:t>2025年11月25日，华电云南发电有限公司取得了会泽县发展和改革局下发的《云南省固定资产投资项目备案证》（项目代码：2511-530326-04-05-844717）。2025年11月，中国电建集团昆明勘测设计研究院有限公司编制完成了《绿坪村光伏发电项目可行性研究报告》（审定稿），并于2025年12月取得审查意见。202</w:t>
      </w:r>
      <w:r>
        <w:rPr>
          <w:snapToGrid w:val="0"/>
          <w:color w:val="000000"/>
          <w:kern w:val="0"/>
          <w:sz w:val="24"/>
        </w:rPr>
        <w:t>5</w:t>
      </w:r>
      <w:r>
        <w:rPr>
          <w:rFonts w:hint="eastAsia"/>
          <w:snapToGrid w:val="0"/>
          <w:color w:val="000000"/>
          <w:kern w:val="0"/>
          <w:sz w:val="24"/>
        </w:rPr>
        <w:t>年1</w:t>
      </w:r>
      <w:r>
        <w:rPr>
          <w:snapToGrid w:val="0"/>
          <w:color w:val="000000"/>
          <w:kern w:val="0"/>
          <w:sz w:val="24"/>
        </w:rPr>
        <w:t>2</w:t>
      </w:r>
      <w:r>
        <w:rPr>
          <w:rFonts w:hint="eastAsia"/>
          <w:snapToGrid w:val="0"/>
          <w:color w:val="000000"/>
          <w:kern w:val="0"/>
          <w:sz w:val="24"/>
        </w:rPr>
        <w:t>月，华电云南发电有限公司委托昆明院编制《绿坪村光伏发电项目环境影响报告表》。</w:t>
      </w:r>
    </w:p>
    <w:p w14:paraId="257F4B85">
      <w:pPr>
        <w:pStyle w:val="112"/>
        <w:topLinePunct/>
        <w:adjustRightInd/>
        <w:snapToGrid/>
        <w:spacing w:line="360" w:lineRule="auto"/>
        <w:ind w:firstLine="522" w:firstLineChars="200"/>
        <w:rPr>
          <w:rFonts w:ascii="Times New Roman"/>
          <w:color w:val="000000"/>
          <w:spacing w:val="0"/>
          <w:kern w:val="0"/>
          <w:sz w:val="24"/>
          <w:szCs w:val="21"/>
        </w:rPr>
      </w:pPr>
      <w:r>
        <w:rPr>
          <w:rFonts w:ascii="Times New Roman"/>
          <w:b/>
          <w:bCs/>
          <w:color w:val="000000"/>
          <w:kern w:val="0"/>
          <w:sz w:val="24"/>
        </w:rPr>
        <w:t>项目基本情况：</w:t>
      </w:r>
      <w:r>
        <w:rPr>
          <w:rFonts w:ascii="Times New Roman"/>
          <w:color w:val="000000"/>
          <w:spacing w:val="0"/>
          <w:kern w:val="0"/>
          <w:sz w:val="24"/>
          <w:szCs w:val="21"/>
        </w:rPr>
        <w:t>绿坪村光伏发电项目位于云南省曲靖市会泽县，场址位于娜姑镇大闸村、石门坎村、红泥村、绿坪村、盐水村、牛泥塘村、发基卡村和干海子村附近的坡地上，工程额定容量</w:t>
      </w:r>
      <w:r>
        <w:rPr>
          <w:rFonts w:ascii="Times New Roman"/>
          <w:sz w:val="24"/>
        </w:rPr>
        <w:t>5</w:t>
      </w:r>
      <w:r>
        <w:rPr>
          <w:rFonts w:ascii="Times New Roman" w:eastAsia="Times New Roman"/>
          <w:sz w:val="24"/>
        </w:rPr>
        <w:t>0MW</w:t>
      </w:r>
      <w:r>
        <w:rPr>
          <w:rFonts w:ascii="Times New Roman"/>
          <w:sz w:val="24"/>
        </w:rPr>
        <w:t>，安装容量</w:t>
      </w:r>
      <w:r>
        <w:rPr>
          <w:rFonts w:ascii="Times New Roman" w:eastAsia="Times New Roman"/>
          <w:sz w:val="24"/>
        </w:rPr>
        <w:t>6</w:t>
      </w:r>
      <w:r>
        <w:rPr>
          <w:rFonts w:ascii="Times New Roman" w:eastAsia="Times New Roman"/>
          <w:spacing w:val="-1"/>
          <w:sz w:val="24"/>
        </w:rPr>
        <w:t>1.71984MWp</w:t>
      </w:r>
      <w:r>
        <w:rPr>
          <w:rFonts w:ascii="Times New Roman"/>
          <w:spacing w:val="-1"/>
          <w:sz w:val="24"/>
        </w:rPr>
        <w:t>，容配</w:t>
      </w:r>
      <w:r>
        <w:rPr>
          <w:rFonts w:ascii="Times New Roman"/>
          <w:spacing w:val="-5"/>
          <w:sz w:val="24"/>
        </w:rPr>
        <w:t>比</w:t>
      </w:r>
      <w:r>
        <w:rPr>
          <w:rFonts w:ascii="Times New Roman" w:eastAsia="Times New Roman"/>
          <w:spacing w:val="-5"/>
          <w:sz w:val="24"/>
        </w:rPr>
        <w:t>1</w:t>
      </w:r>
      <w:r>
        <w:rPr>
          <w:rFonts w:ascii="Times New Roman"/>
          <w:spacing w:val="-5"/>
          <w:sz w:val="24"/>
        </w:rPr>
        <w:t>.23</w:t>
      </w:r>
      <w:r>
        <w:rPr>
          <w:rFonts w:ascii="Times New Roman"/>
          <w:color w:val="000000"/>
          <w:spacing w:val="0"/>
          <w:kern w:val="0"/>
          <w:sz w:val="24"/>
          <w:szCs w:val="21"/>
        </w:rPr>
        <w:t>，多年平均上网电量8531万kW·h，年平均等效满负荷小时数1382h。由光伏方阵区（太阳能电池组件、支架基础、箱变及分支箱、光伏方阵空地）</w:t>
      </w:r>
      <w:r>
        <w:rPr>
          <w:rFonts w:hint="eastAsia" w:ascii="Times New Roman"/>
          <w:color w:val="000000"/>
          <w:spacing w:val="0"/>
          <w:kern w:val="0"/>
          <w:sz w:val="24"/>
          <w:szCs w:val="21"/>
        </w:rPr>
        <w:t>、</w:t>
      </w:r>
      <w:r>
        <w:rPr>
          <w:rFonts w:ascii="Times New Roman"/>
          <w:color w:val="000000"/>
          <w:spacing w:val="0"/>
          <w:kern w:val="0"/>
          <w:sz w:val="24"/>
          <w:szCs w:val="21"/>
        </w:rPr>
        <w:t>集电线路区（架空线路、直埋电缆）、道路工程区（场内新建道路及场内改扩建道路）、施工生产生活区及升压站区等组成。</w:t>
      </w:r>
    </w:p>
    <w:p w14:paraId="09567B88">
      <w:pPr>
        <w:pStyle w:val="112"/>
        <w:adjustRightInd/>
        <w:snapToGrid/>
        <w:spacing w:line="360" w:lineRule="auto"/>
        <w:ind w:firstLine="480" w:firstLineChars="200"/>
        <w:rPr>
          <w:rFonts w:ascii="Times New Roman"/>
          <w:color w:val="000000"/>
          <w:spacing w:val="0"/>
          <w:kern w:val="0"/>
          <w:sz w:val="24"/>
          <w:szCs w:val="21"/>
        </w:rPr>
      </w:pPr>
      <w:r>
        <w:rPr>
          <w:rFonts w:hint="eastAsia" w:ascii="Times New Roman"/>
          <w:color w:val="000000"/>
          <w:spacing w:val="0"/>
          <w:kern w:val="0"/>
          <w:sz w:val="24"/>
          <w:szCs w:val="21"/>
        </w:rPr>
        <w:t>本项目拟安装85722块720Wp单晶硅光伏组件，由3297个组串21个光伏阵列组成，配置逆变器157台，箱式变压器21台。接入系统方案为：本期工程新建2回集电线路汇集电能送入本项目新建110kV升压站，主变容量为1</w:t>
      </w:r>
      <w:r>
        <w:rPr>
          <w:rFonts w:ascii="Times New Roman"/>
          <w:color w:val="000000"/>
          <w:spacing w:val="0"/>
          <w:kern w:val="0"/>
          <w:sz w:val="24"/>
          <w:szCs w:val="21"/>
        </w:rPr>
        <w:t>×</w:t>
      </w:r>
      <w:r>
        <w:rPr>
          <w:rFonts w:hint="eastAsia" w:ascii="Times New Roman"/>
          <w:color w:val="000000"/>
          <w:spacing w:val="0"/>
          <w:kern w:val="0"/>
          <w:sz w:val="24"/>
          <w:szCs w:val="21"/>
        </w:rPr>
        <w:t>50MVA，</w:t>
      </w:r>
      <w:bookmarkStart w:id="4" w:name="OLE_LINK67"/>
      <w:r>
        <w:rPr>
          <w:rFonts w:hint="eastAsia" w:ascii="Times New Roman"/>
          <w:color w:val="000000"/>
          <w:spacing w:val="0"/>
          <w:kern w:val="0"/>
          <w:sz w:val="24"/>
          <w:szCs w:val="21"/>
        </w:rPr>
        <w:t>新建1回110kV线路接入以礼河三级电站110kV侧，路径长度约4</w:t>
      </w:r>
      <w:r>
        <w:rPr>
          <w:rFonts w:ascii="Times New Roman"/>
          <w:color w:val="000000"/>
          <w:spacing w:val="0"/>
          <w:kern w:val="0"/>
          <w:sz w:val="24"/>
          <w:szCs w:val="21"/>
        </w:rPr>
        <w:t>00</w:t>
      </w:r>
      <w:r>
        <w:rPr>
          <w:rFonts w:hint="eastAsia" w:ascii="Times New Roman"/>
          <w:color w:val="000000"/>
          <w:spacing w:val="0"/>
          <w:kern w:val="0"/>
          <w:sz w:val="24"/>
          <w:szCs w:val="21"/>
        </w:rPr>
        <w:t>m，导线截面暂按240mm</w:t>
      </w:r>
      <w:r>
        <w:rPr>
          <w:rFonts w:hint="eastAsia" w:ascii="Times New Roman"/>
          <w:color w:val="000000"/>
          <w:spacing w:val="0"/>
          <w:kern w:val="0"/>
          <w:sz w:val="24"/>
          <w:szCs w:val="21"/>
          <w:vertAlign w:val="superscript"/>
        </w:rPr>
        <w:t>2</w:t>
      </w:r>
      <w:r>
        <w:rPr>
          <w:rFonts w:hint="eastAsia" w:ascii="Times New Roman"/>
          <w:color w:val="000000"/>
          <w:spacing w:val="0"/>
          <w:kern w:val="0"/>
          <w:sz w:val="24"/>
          <w:szCs w:val="21"/>
        </w:rPr>
        <w:t>考虑，采用电缆出线方式，110kV侧采用线路-变压器组接线方式</w:t>
      </w:r>
      <w:bookmarkEnd w:id="4"/>
      <w:r>
        <w:rPr>
          <w:rFonts w:hint="eastAsia" w:ascii="Times New Roman"/>
          <w:color w:val="000000"/>
          <w:spacing w:val="0"/>
          <w:kern w:val="0"/>
          <w:sz w:val="24"/>
          <w:szCs w:val="21"/>
        </w:rPr>
        <w:t>，35kV侧采用单母线接线方式。</w:t>
      </w:r>
      <w:r>
        <w:rPr>
          <w:rFonts w:ascii="Times New Roman"/>
          <w:color w:val="000000"/>
          <w:spacing w:val="0"/>
          <w:kern w:val="0"/>
          <w:sz w:val="24"/>
          <w:szCs w:val="21"/>
        </w:rPr>
        <w:t>送出线路</w:t>
      </w:r>
      <w:r>
        <w:rPr>
          <w:rFonts w:hint="eastAsia" w:ascii="Times New Roman"/>
          <w:color w:val="000000"/>
          <w:spacing w:val="0"/>
          <w:kern w:val="0"/>
          <w:sz w:val="24"/>
          <w:szCs w:val="21"/>
        </w:rPr>
        <w:t>位于</w:t>
      </w:r>
      <w:r>
        <w:rPr>
          <w:rFonts w:ascii="Times New Roman"/>
          <w:color w:val="000000"/>
          <w:spacing w:val="0"/>
          <w:kern w:val="0"/>
          <w:sz w:val="24"/>
          <w:szCs w:val="21"/>
        </w:rPr>
        <w:t>以礼河三级电站</w:t>
      </w:r>
      <w:r>
        <w:rPr>
          <w:rFonts w:hint="eastAsia" w:ascii="Times New Roman"/>
          <w:color w:val="000000"/>
          <w:spacing w:val="0"/>
          <w:kern w:val="0"/>
          <w:sz w:val="24"/>
          <w:szCs w:val="21"/>
        </w:rPr>
        <w:t>厂界内，</w:t>
      </w:r>
      <w:r>
        <w:rPr>
          <w:rFonts w:ascii="Times New Roman"/>
          <w:color w:val="000000"/>
          <w:spacing w:val="0"/>
          <w:kern w:val="0"/>
          <w:sz w:val="24"/>
          <w:szCs w:val="21"/>
        </w:rPr>
        <w:t>不涉及架设塔基、土建开挖等，不新增占地。</w:t>
      </w:r>
    </w:p>
    <w:p w14:paraId="319FE0E6">
      <w:pPr>
        <w:adjustRightInd w:val="0"/>
        <w:snapToGrid w:val="0"/>
        <w:spacing w:line="360" w:lineRule="auto"/>
        <w:ind w:firstLine="482" w:firstLineChars="200"/>
        <w:rPr>
          <w:rFonts w:hint="eastAsia"/>
          <w:snapToGrid w:val="0"/>
          <w:color w:val="000000"/>
          <w:kern w:val="0"/>
          <w:sz w:val="24"/>
        </w:rPr>
      </w:pPr>
      <w:r>
        <w:rPr>
          <w:rFonts w:hint="eastAsia"/>
          <w:b/>
          <w:bCs/>
          <w:snapToGrid w:val="0"/>
          <w:color w:val="000000"/>
          <w:kern w:val="0"/>
          <w:sz w:val="24"/>
        </w:rPr>
        <w:t>项目敏感性因素分析：</w:t>
      </w:r>
      <w:r>
        <w:rPr>
          <w:rFonts w:hint="eastAsia"/>
          <w:snapToGrid w:val="0"/>
          <w:color w:val="000000"/>
          <w:kern w:val="0"/>
          <w:sz w:val="24"/>
        </w:rPr>
        <w:t>根据</w:t>
      </w:r>
      <w:bookmarkStart w:id="5" w:name="_Hlk231571214"/>
      <w:r>
        <w:rPr>
          <w:rFonts w:hint="eastAsia"/>
          <w:snapToGrid w:val="0"/>
          <w:color w:val="000000"/>
          <w:kern w:val="0"/>
          <w:sz w:val="24"/>
        </w:rPr>
        <w:t>会泽县自然资源局、水务局、林业和草原局、曲靖市生态环境局会泽分局</w:t>
      </w:r>
      <w:bookmarkEnd w:id="5"/>
      <w:r>
        <w:rPr>
          <w:rFonts w:hint="eastAsia"/>
          <w:snapToGrid w:val="0"/>
          <w:color w:val="000000"/>
          <w:kern w:val="0"/>
          <w:sz w:val="24"/>
        </w:rPr>
        <w:t>等行政主管部门关于本项目的选址意见，项目不涉及国家公园、自然保护区、风景名胜区、世界自然遗产地、饮用水水源保护区等各类环境敏感区，无重大环境制约因素，选址合理。</w:t>
      </w:r>
    </w:p>
    <w:p w14:paraId="4638822C">
      <w:pPr>
        <w:adjustRightInd w:val="0"/>
        <w:snapToGrid w:val="0"/>
        <w:spacing w:line="360" w:lineRule="auto"/>
        <w:ind w:firstLine="482" w:firstLineChars="200"/>
        <w:rPr>
          <w:rFonts w:hint="eastAsia"/>
          <w:snapToGrid w:val="0"/>
          <w:color w:val="000000"/>
          <w:kern w:val="0"/>
          <w:sz w:val="24"/>
        </w:rPr>
      </w:pPr>
      <w:r>
        <w:rPr>
          <w:rFonts w:hint="eastAsia"/>
          <w:b/>
          <w:bCs/>
          <w:snapToGrid w:val="0"/>
          <w:color w:val="000000"/>
          <w:kern w:val="0"/>
          <w:sz w:val="24"/>
        </w:rPr>
        <w:t>项目开工和投诉情况：</w:t>
      </w:r>
      <w:r>
        <w:rPr>
          <w:rFonts w:hint="eastAsia"/>
          <w:snapToGrid w:val="0"/>
          <w:color w:val="000000"/>
          <w:kern w:val="0"/>
          <w:sz w:val="24"/>
        </w:rPr>
        <w:t>项目尚未开工建设，未收到有关信访投诉。</w:t>
      </w:r>
    </w:p>
    <w:p w14:paraId="6E78BF3F">
      <w:pPr>
        <w:adjustRightInd w:val="0"/>
        <w:snapToGrid w:val="0"/>
        <w:spacing w:line="360" w:lineRule="auto"/>
        <w:ind w:firstLine="480" w:firstLineChars="200"/>
        <w:rPr>
          <w:rFonts w:hint="eastAsia"/>
          <w:snapToGrid w:val="0"/>
          <w:color w:val="000000"/>
          <w:kern w:val="0"/>
          <w:sz w:val="24"/>
        </w:rPr>
        <w:sectPr>
          <w:pgSz w:w="11905" w:h="16838"/>
          <w:pgMar w:top="1531" w:right="1417" w:bottom="1531" w:left="1417" w:header="851" w:footer="1077" w:gutter="0"/>
          <w:pgBorders>
            <w:top w:val="none" w:sz="0" w:space="0"/>
            <w:left w:val="none" w:sz="0" w:space="0"/>
            <w:bottom w:val="none" w:sz="0" w:space="0"/>
            <w:right w:val="none" w:sz="0" w:space="0"/>
          </w:pgBorders>
          <w:pgNumType w:start="21"/>
          <w:cols w:space="720" w:num="1"/>
          <w:docGrid w:linePitch="312" w:charSpace="0"/>
        </w:sectPr>
      </w:pPr>
    </w:p>
    <w:p w14:paraId="7D9312E5">
      <w:pPr>
        <w:jc w:val="center"/>
        <w:rPr>
          <w:rFonts w:hint="eastAsia"/>
          <w:b/>
          <w:bCs/>
          <w:sz w:val="32"/>
          <w:szCs w:val="32"/>
        </w:rPr>
      </w:pPr>
      <w:r>
        <w:rPr>
          <w:rFonts w:ascii="宋体" w:hAnsi="宋体"/>
          <w:b/>
          <w:bCs/>
          <w:sz w:val="32"/>
          <w:szCs w:val="32"/>
        </w:rPr>
        <w:t>目</w:t>
      </w:r>
      <w:r>
        <w:rPr>
          <w:rFonts w:hint="eastAsia" w:ascii="宋体" w:hAnsi="宋体"/>
          <w:b/>
          <w:bCs/>
          <w:sz w:val="32"/>
          <w:szCs w:val="32"/>
        </w:rPr>
        <w:t xml:space="preserve"> </w:t>
      </w:r>
      <w:r>
        <w:rPr>
          <w:rFonts w:ascii="宋体" w:hAnsi="宋体"/>
          <w:b/>
          <w:bCs/>
          <w:sz w:val="32"/>
          <w:szCs w:val="32"/>
        </w:rPr>
        <w:t xml:space="preserve"> 录</w:t>
      </w:r>
    </w:p>
    <w:p w14:paraId="4D8B5257">
      <w:pPr>
        <w:pStyle w:val="20"/>
        <w:tabs>
          <w:tab w:val="right" w:leader="dot" w:pos="9061"/>
        </w:tabs>
        <w:spacing w:line="360" w:lineRule="auto"/>
        <w:rPr>
          <w:rFonts w:ascii="等线" w:hAnsi="等线" w:eastAsia="等线"/>
          <w:sz w:val="24"/>
          <w:szCs w:val="24"/>
          <w:lang w:val="en-US" w:eastAsia="zh-CN"/>
        </w:rPr>
      </w:pPr>
      <w:r>
        <w:fldChar w:fldCharType="begin"/>
      </w:r>
      <w:r>
        <w:instrText xml:space="preserve">TOC\o"1-1"\h\u</w:instrText>
      </w:r>
      <w:r>
        <w:fldChar w:fldCharType="separate"/>
      </w:r>
      <w:r>
        <w:fldChar w:fldCharType="begin"/>
      </w:r>
      <w:r>
        <w:instrText xml:space="preserve"> HYPERLINK \l "_Toc233036171" </w:instrText>
      </w:r>
      <w:r>
        <w:fldChar w:fldCharType="separate"/>
      </w:r>
      <w:r>
        <w:rPr>
          <w:rStyle w:val="39"/>
          <w:rFonts w:ascii="黑体" w:hAnsi="黑体" w:eastAsia="黑体"/>
          <w:snapToGrid w:val="0"/>
          <w:sz w:val="24"/>
          <w:szCs w:val="24"/>
          <w:lang w:val="en-US" w:eastAsia="zh-CN"/>
        </w:rPr>
        <w:t>一、建设项目基本情况</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_Toc233036171 \h </w:instrText>
      </w:r>
      <w:r>
        <w:rPr>
          <w:sz w:val="24"/>
          <w:szCs w:val="24"/>
          <w:lang w:val="en-US" w:eastAsia="zh-CN"/>
        </w:rPr>
        <w:fldChar w:fldCharType="separate"/>
      </w:r>
      <w:r>
        <w:rPr>
          <w:sz w:val="24"/>
          <w:szCs w:val="24"/>
          <w:lang w:val="en-US" w:eastAsia="zh-CN"/>
        </w:rPr>
        <w:t>1</w:t>
      </w:r>
      <w:r>
        <w:rPr>
          <w:sz w:val="24"/>
          <w:szCs w:val="24"/>
          <w:lang w:val="en-US" w:eastAsia="zh-CN"/>
        </w:rPr>
        <w:fldChar w:fldCharType="end"/>
      </w:r>
      <w:r>
        <w:rPr>
          <w:sz w:val="24"/>
          <w:szCs w:val="24"/>
          <w:lang w:val="en-US" w:eastAsia="zh-CN"/>
        </w:rPr>
        <w:fldChar w:fldCharType="end"/>
      </w:r>
    </w:p>
    <w:p w14:paraId="0FE4DE59">
      <w:pPr>
        <w:pStyle w:val="20"/>
        <w:tabs>
          <w:tab w:val="right" w:leader="dot" w:pos="9061"/>
        </w:tabs>
        <w:spacing w:line="360" w:lineRule="auto"/>
        <w:rPr>
          <w:rFonts w:ascii="等线" w:hAnsi="等线" w:eastAsia="等线"/>
          <w:sz w:val="24"/>
          <w:szCs w:val="24"/>
          <w:lang w:val="en-US" w:eastAsia="zh-CN"/>
        </w:rPr>
      </w:pPr>
      <w:r>
        <w:fldChar w:fldCharType="begin"/>
      </w:r>
      <w:r>
        <w:instrText xml:space="preserve"> HYPERLINK \l "_Toc233036176" </w:instrText>
      </w:r>
      <w:r>
        <w:fldChar w:fldCharType="separate"/>
      </w:r>
      <w:r>
        <w:rPr>
          <w:rStyle w:val="39"/>
          <w:rFonts w:ascii="黑体" w:hAnsi="黑体" w:eastAsia="黑体"/>
          <w:snapToGrid w:val="0"/>
          <w:sz w:val="24"/>
          <w:szCs w:val="24"/>
          <w:lang w:val="en-US" w:eastAsia="zh-CN"/>
        </w:rPr>
        <w:t>二、建设内容</w:t>
      </w:r>
      <w:r>
        <w:rPr>
          <w:sz w:val="24"/>
          <w:szCs w:val="24"/>
          <w:lang w:val="en-US" w:eastAsia="zh-CN"/>
        </w:rPr>
        <w:tab/>
      </w:r>
      <w:r>
        <w:rPr>
          <w:sz w:val="24"/>
          <w:szCs w:val="24"/>
          <w:lang w:val="en-US" w:eastAsia="zh-CN"/>
        </w:rPr>
        <w:t>40</w:t>
      </w:r>
      <w:r>
        <w:rPr>
          <w:sz w:val="24"/>
          <w:szCs w:val="24"/>
          <w:lang w:val="en-US" w:eastAsia="zh-CN"/>
        </w:rPr>
        <w:fldChar w:fldCharType="end"/>
      </w:r>
    </w:p>
    <w:p w14:paraId="1E2F3E36">
      <w:pPr>
        <w:pStyle w:val="20"/>
        <w:tabs>
          <w:tab w:val="right" w:leader="dot" w:pos="9061"/>
        </w:tabs>
        <w:spacing w:line="360" w:lineRule="auto"/>
        <w:rPr>
          <w:rFonts w:ascii="等线" w:hAnsi="等线" w:eastAsia="等线"/>
          <w:sz w:val="24"/>
          <w:szCs w:val="24"/>
          <w:lang w:val="en-US" w:eastAsia="zh-CN"/>
        </w:rPr>
      </w:pPr>
      <w:r>
        <w:fldChar w:fldCharType="begin"/>
      </w:r>
      <w:r>
        <w:instrText xml:space="preserve"> HYPERLINK \l "_Toc233036177" </w:instrText>
      </w:r>
      <w:r>
        <w:fldChar w:fldCharType="separate"/>
      </w:r>
      <w:r>
        <w:rPr>
          <w:rStyle w:val="39"/>
          <w:rFonts w:ascii="黑体" w:hAnsi="黑体" w:eastAsia="黑体"/>
          <w:snapToGrid w:val="0"/>
          <w:sz w:val="24"/>
          <w:szCs w:val="24"/>
          <w:lang w:val="en-US" w:eastAsia="zh-CN"/>
        </w:rPr>
        <w:t>三、生态环境现状、保护目标及评价标准</w:t>
      </w:r>
      <w:r>
        <w:rPr>
          <w:sz w:val="24"/>
          <w:szCs w:val="24"/>
          <w:lang w:val="en-US" w:eastAsia="zh-CN"/>
        </w:rPr>
        <w:tab/>
      </w:r>
      <w:r>
        <w:rPr>
          <w:sz w:val="24"/>
          <w:szCs w:val="24"/>
          <w:lang w:val="en-US" w:eastAsia="zh-CN"/>
        </w:rPr>
        <w:t>64</w:t>
      </w:r>
      <w:r>
        <w:rPr>
          <w:sz w:val="24"/>
          <w:szCs w:val="24"/>
          <w:lang w:val="en-US" w:eastAsia="zh-CN"/>
        </w:rPr>
        <w:fldChar w:fldCharType="end"/>
      </w:r>
    </w:p>
    <w:p w14:paraId="3EA6D25B">
      <w:pPr>
        <w:pStyle w:val="20"/>
        <w:tabs>
          <w:tab w:val="right" w:leader="dot" w:pos="9061"/>
        </w:tabs>
        <w:spacing w:line="360" w:lineRule="auto"/>
        <w:rPr>
          <w:rFonts w:ascii="等线" w:hAnsi="等线" w:eastAsia="等线"/>
          <w:sz w:val="24"/>
          <w:szCs w:val="24"/>
          <w:lang w:val="en-US" w:eastAsia="zh-CN"/>
        </w:rPr>
      </w:pPr>
      <w:r>
        <w:fldChar w:fldCharType="begin"/>
      </w:r>
      <w:r>
        <w:instrText xml:space="preserve"> HYPERLINK \l "_Toc233036178" </w:instrText>
      </w:r>
      <w:r>
        <w:fldChar w:fldCharType="separate"/>
      </w:r>
      <w:r>
        <w:rPr>
          <w:rStyle w:val="39"/>
          <w:rFonts w:ascii="黑体" w:hAnsi="黑体" w:eastAsia="黑体"/>
          <w:snapToGrid w:val="0"/>
          <w:sz w:val="24"/>
          <w:szCs w:val="24"/>
          <w:lang w:val="en-US" w:eastAsia="zh-CN"/>
        </w:rPr>
        <w:t>四、生态环境影响分析</w:t>
      </w:r>
      <w:r>
        <w:rPr>
          <w:sz w:val="24"/>
          <w:szCs w:val="24"/>
          <w:lang w:val="en-US" w:eastAsia="zh-CN"/>
        </w:rPr>
        <w:tab/>
      </w:r>
      <w:r>
        <w:rPr>
          <w:sz w:val="24"/>
          <w:szCs w:val="24"/>
          <w:lang w:val="en-US" w:eastAsia="zh-CN"/>
        </w:rPr>
        <w:t>89</w:t>
      </w:r>
      <w:r>
        <w:rPr>
          <w:sz w:val="24"/>
          <w:szCs w:val="24"/>
          <w:lang w:val="en-US" w:eastAsia="zh-CN"/>
        </w:rPr>
        <w:fldChar w:fldCharType="end"/>
      </w:r>
    </w:p>
    <w:p w14:paraId="683D02D0">
      <w:pPr>
        <w:pStyle w:val="20"/>
        <w:tabs>
          <w:tab w:val="right" w:leader="dot" w:pos="9061"/>
        </w:tabs>
        <w:spacing w:line="360" w:lineRule="auto"/>
        <w:rPr>
          <w:rFonts w:ascii="等线" w:hAnsi="等线" w:eastAsia="等线"/>
          <w:sz w:val="24"/>
          <w:szCs w:val="24"/>
          <w:lang w:val="en-US" w:eastAsia="zh-CN"/>
        </w:rPr>
      </w:pPr>
      <w:r>
        <w:fldChar w:fldCharType="begin"/>
      </w:r>
      <w:r>
        <w:instrText xml:space="preserve"> HYPERLINK \l "_Toc233036184" </w:instrText>
      </w:r>
      <w:r>
        <w:fldChar w:fldCharType="separate"/>
      </w:r>
      <w:r>
        <w:rPr>
          <w:rStyle w:val="39"/>
          <w:rFonts w:ascii="黑体" w:hAnsi="黑体" w:eastAsia="黑体"/>
          <w:snapToGrid w:val="0"/>
          <w:sz w:val="24"/>
          <w:szCs w:val="24"/>
          <w:lang w:val="en-US" w:eastAsia="zh-CN"/>
        </w:rPr>
        <w:t>五、主要生态环境保护措施</w:t>
      </w:r>
      <w:r>
        <w:rPr>
          <w:sz w:val="24"/>
          <w:szCs w:val="24"/>
          <w:lang w:val="en-US" w:eastAsia="zh-CN"/>
        </w:rPr>
        <w:tab/>
      </w:r>
      <w:r>
        <w:rPr>
          <w:sz w:val="24"/>
          <w:szCs w:val="24"/>
          <w:lang w:val="en-US" w:eastAsia="zh-CN"/>
        </w:rPr>
        <w:t>131</w:t>
      </w:r>
      <w:r>
        <w:rPr>
          <w:sz w:val="24"/>
          <w:szCs w:val="24"/>
          <w:lang w:val="en-US" w:eastAsia="zh-CN"/>
        </w:rPr>
        <w:fldChar w:fldCharType="end"/>
      </w:r>
    </w:p>
    <w:p w14:paraId="05ACDDD7">
      <w:pPr>
        <w:pStyle w:val="20"/>
        <w:tabs>
          <w:tab w:val="right" w:leader="dot" w:pos="9061"/>
        </w:tabs>
        <w:spacing w:line="360" w:lineRule="auto"/>
        <w:rPr>
          <w:rFonts w:ascii="等线" w:hAnsi="等线" w:eastAsia="等线"/>
          <w:sz w:val="24"/>
          <w:szCs w:val="24"/>
          <w:lang w:val="en-US" w:eastAsia="zh-CN"/>
        </w:rPr>
      </w:pPr>
      <w:r>
        <w:fldChar w:fldCharType="begin"/>
      </w:r>
      <w:r>
        <w:instrText xml:space="preserve"> HYPERLINK \l "_Toc233036185" </w:instrText>
      </w:r>
      <w:r>
        <w:fldChar w:fldCharType="separate"/>
      </w:r>
      <w:r>
        <w:rPr>
          <w:rStyle w:val="39"/>
          <w:rFonts w:ascii="黑体" w:hAnsi="黑体" w:eastAsia="黑体"/>
          <w:snapToGrid w:val="0"/>
          <w:sz w:val="24"/>
          <w:szCs w:val="24"/>
          <w:lang w:val="en-US" w:eastAsia="zh-CN"/>
        </w:rPr>
        <w:t>六、生态环境保护措施监督检查清单</w:t>
      </w:r>
      <w:r>
        <w:rPr>
          <w:sz w:val="24"/>
          <w:szCs w:val="24"/>
          <w:lang w:val="en-US" w:eastAsia="zh-CN"/>
        </w:rPr>
        <w:tab/>
      </w:r>
      <w:r>
        <w:rPr>
          <w:sz w:val="24"/>
          <w:szCs w:val="24"/>
          <w:lang w:val="en-US" w:eastAsia="zh-CN"/>
        </w:rPr>
        <w:t>145</w:t>
      </w:r>
      <w:r>
        <w:rPr>
          <w:sz w:val="24"/>
          <w:szCs w:val="24"/>
          <w:lang w:val="en-US" w:eastAsia="zh-CN"/>
        </w:rPr>
        <w:fldChar w:fldCharType="end"/>
      </w:r>
    </w:p>
    <w:p w14:paraId="52766EE3">
      <w:pPr>
        <w:pStyle w:val="20"/>
        <w:tabs>
          <w:tab w:val="right" w:leader="dot" w:pos="9061"/>
        </w:tabs>
        <w:spacing w:line="360" w:lineRule="auto"/>
        <w:rPr>
          <w:rFonts w:ascii="等线" w:hAnsi="等线" w:eastAsia="等线"/>
          <w:sz w:val="24"/>
          <w:szCs w:val="24"/>
          <w:lang w:val="en-US" w:eastAsia="zh-CN"/>
        </w:rPr>
      </w:pPr>
      <w:r>
        <w:fldChar w:fldCharType="begin"/>
      </w:r>
      <w:r>
        <w:instrText xml:space="preserve"> HYPERLINK \l "_Toc233036194" </w:instrText>
      </w:r>
      <w:r>
        <w:fldChar w:fldCharType="separate"/>
      </w:r>
      <w:r>
        <w:rPr>
          <w:rStyle w:val="39"/>
          <w:rFonts w:ascii="黑体" w:hAnsi="黑体" w:eastAsia="黑体"/>
          <w:snapToGrid w:val="0"/>
          <w:sz w:val="24"/>
          <w:szCs w:val="24"/>
          <w:lang w:val="en-US" w:eastAsia="zh-CN"/>
        </w:rPr>
        <w:t>七、结论</w:t>
      </w:r>
      <w:r>
        <w:rPr>
          <w:sz w:val="24"/>
          <w:szCs w:val="24"/>
          <w:lang w:val="en-US" w:eastAsia="zh-CN"/>
        </w:rPr>
        <w:tab/>
      </w:r>
      <w:r>
        <w:rPr>
          <w:sz w:val="24"/>
          <w:szCs w:val="24"/>
          <w:lang w:val="en-US" w:eastAsia="zh-CN"/>
        </w:rPr>
        <w:t>148</w:t>
      </w:r>
      <w:r>
        <w:rPr>
          <w:sz w:val="24"/>
          <w:szCs w:val="24"/>
          <w:lang w:val="en-US" w:eastAsia="zh-CN"/>
        </w:rPr>
        <w:fldChar w:fldCharType="end"/>
      </w:r>
    </w:p>
    <w:p w14:paraId="7E5ABF8F">
      <w:r>
        <w:fldChar w:fldCharType="end"/>
      </w:r>
    </w:p>
    <w:p w14:paraId="319A82BC">
      <w:pPr>
        <w:sectPr>
          <w:footerReference r:id="rId6" w:type="default"/>
          <w:pgSz w:w="11905" w:h="16838"/>
          <w:pgMar w:top="1531" w:right="1417" w:bottom="1531" w:left="1417" w:header="851" w:footer="1077" w:gutter="0"/>
          <w:pgBorders>
            <w:top w:val="none" w:sz="0" w:space="0"/>
            <w:left w:val="none" w:sz="0" w:space="0"/>
            <w:bottom w:val="none" w:sz="0" w:space="0"/>
            <w:right w:val="none" w:sz="0" w:space="0"/>
          </w:pgBorders>
          <w:pgNumType w:start="21"/>
          <w:cols w:space="720" w:num="1"/>
          <w:docGrid w:linePitch="312" w:charSpace="0"/>
        </w:sectPr>
      </w:pPr>
    </w:p>
    <w:p w14:paraId="0A025226">
      <w:pPr>
        <w:pStyle w:val="26"/>
        <w:spacing w:before="0" w:beforeAutospacing="0" w:after="0" w:afterAutospacing="0" w:line="360" w:lineRule="auto"/>
        <w:jc w:val="center"/>
        <w:outlineLvl w:val="0"/>
        <w:rPr>
          <w:rFonts w:hint="eastAsia" w:ascii="黑体" w:hAnsi="黑体" w:eastAsia="黑体"/>
          <w:snapToGrid w:val="0"/>
          <w:sz w:val="30"/>
          <w:szCs w:val="30"/>
        </w:rPr>
      </w:pPr>
      <w:bookmarkStart w:id="6" w:name="_Toc231571691"/>
      <w:bookmarkStart w:id="7" w:name="_Toc9514"/>
      <w:bookmarkStart w:id="8" w:name="_Toc28615"/>
      <w:bookmarkStart w:id="9" w:name="_Toc497"/>
      <w:bookmarkStart w:id="10" w:name="_Toc233036171"/>
      <w:bookmarkStart w:id="11" w:name="_Toc116995609"/>
      <w:bookmarkStart w:id="12" w:name="_Toc122040711"/>
      <w:r>
        <w:rPr>
          <w:rFonts w:hint="eastAsia" w:ascii="黑体" w:hAnsi="黑体" w:eastAsia="黑体"/>
          <w:snapToGrid w:val="0"/>
          <w:sz w:val="30"/>
          <w:szCs w:val="30"/>
        </w:rPr>
        <w:t>一、建设项目基本情况</w:t>
      </w:r>
      <w:bookmarkEnd w:id="6"/>
      <w:bookmarkEnd w:id="7"/>
      <w:bookmarkEnd w:id="8"/>
      <w:bookmarkEnd w:id="9"/>
      <w:bookmarkEnd w:id="10"/>
      <w:bookmarkEnd w:id="11"/>
      <w:bookmarkEnd w:id="12"/>
    </w:p>
    <w:tbl>
      <w:tblPr>
        <w:tblStyle w:val="30"/>
        <w:tblW w:w="4980" w:type="pct"/>
        <w:tblInd w:w="-24"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017"/>
        <w:gridCol w:w="2389"/>
        <w:gridCol w:w="2450"/>
        <w:gridCol w:w="3204"/>
      </w:tblGrid>
      <w:tr w14:paraId="7B172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560" w:type="pct"/>
            <w:noWrap/>
            <w:tcMar>
              <w:top w:w="16" w:type="dxa"/>
              <w:left w:w="16" w:type="dxa"/>
              <w:right w:w="16" w:type="dxa"/>
            </w:tcMar>
            <w:vAlign w:val="center"/>
          </w:tcPr>
          <w:p w14:paraId="4FD13AB2">
            <w:pPr>
              <w:adjustRightInd w:val="0"/>
              <w:snapToGrid w:val="0"/>
              <w:jc w:val="center"/>
              <w:rPr>
                <w:sz w:val="24"/>
              </w:rPr>
            </w:pPr>
            <w:r>
              <w:rPr>
                <w:sz w:val="24"/>
              </w:rPr>
              <w:t>建设项目名称</w:t>
            </w:r>
          </w:p>
        </w:tc>
        <w:tc>
          <w:tcPr>
            <w:tcW w:w="4435" w:type="pct"/>
            <w:gridSpan w:val="3"/>
            <w:noWrap/>
            <w:vAlign w:val="center"/>
          </w:tcPr>
          <w:p w14:paraId="32A1E874">
            <w:pPr>
              <w:adjustRightInd w:val="0"/>
              <w:snapToGrid w:val="0"/>
              <w:jc w:val="center"/>
              <w:rPr>
                <w:rFonts w:hint="eastAsia"/>
                <w:sz w:val="24"/>
              </w:rPr>
            </w:pPr>
            <w:r>
              <w:rPr>
                <w:rFonts w:hint="eastAsia"/>
                <w:sz w:val="24"/>
              </w:rPr>
              <w:t>绿坪村光伏发电项目</w:t>
            </w:r>
          </w:p>
        </w:tc>
      </w:tr>
      <w:tr w14:paraId="34BD83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560" w:type="pct"/>
            <w:noWrap/>
            <w:tcMar>
              <w:top w:w="16" w:type="dxa"/>
              <w:left w:w="16" w:type="dxa"/>
              <w:right w:w="16" w:type="dxa"/>
            </w:tcMar>
            <w:vAlign w:val="center"/>
          </w:tcPr>
          <w:p w14:paraId="4B2A1D18">
            <w:pPr>
              <w:adjustRightInd w:val="0"/>
              <w:snapToGrid w:val="0"/>
              <w:jc w:val="left"/>
              <w:rPr>
                <w:sz w:val="24"/>
              </w:rPr>
            </w:pPr>
            <w:r>
              <w:rPr>
                <w:sz w:val="24"/>
              </w:rPr>
              <w:t>项目代码</w:t>
            </w:r>
          </w:p>
        </w:tc>
        <w:tc>
          <w:tcPr>
            <w:tcW w:w="4435" w:type="pct"/>
            <w:gridSpan w:val="3"/>
            <w:noWrap/>
            <w:vAlign w:val="center"/>
          </w:tcPr>
          <w:p w14:paraId="5A7739F2">
            <w:pPr>
              <w:adjustRightInd w:val="0"/>
              <w:snapToGrid w:val="0"/>
              <w:jc w:val="center"/>
              <w:rPr>
                <w:sz w:val="24"/>
                <w:szCs w:val="24"/>
              </w:rPr>
            </w:pPr>
            <w:r>
              <w:rPr>
                <w:rFonts w:hint="eastAsia"/>
                <w:snapToGrid w:val="0"/>
                <w:color w:val="000000"/>
                <w:kern w:val="0"/>
                <w:sz w:val="24"/>
              </w:rPr>
              <w:t>2511-530326-04-05-844717</w:t>
            </w:r>
          </w:p>
        </w:tc>
      </w:tr>
      <w:tr w14:paraId="02C6B1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43" w:hRule="atLeast"/>
        </w:trPr>
        <w:tc>
          <w:tcPr>
            <w:tcW w:w="560" w:type="pct"/>
            <w:noWrap/>
            <w:tcMar>
              <w:top w:w="16" w:type="dxa"/>
              <w:left w:w="16" w:type="dxa"/>
              <w:right w:w="16" w:type="dxa"/>
            </w:tcMar>
            <w:vAlign w:val="center"/>
          </w:tcPr>
          <w:p w14:paraId="516FC056">
            <w:pPr>
              <w:adjustRightInd w:val="0"/>
              <w:snapToGrid w:val="0"/>
              <w:jc w:val="center"/>
              <w:rPr>
                <w:sz w:val="24"/>
              </w:rPr>
            </w:pPr>
            <w:r>
              <w:rPr>
                <w:sz w:val="24"/>
              </w:rPr>
              <w:t>建设单位联系人</w:t>
            </w:r>
          </w:p>
        </w:tc>
        <w:tc>
          <w:tcPr>
            <w:tcW w:w="1318" w:type="pct"/>
            <w:noWrap/>
            <w:vAlign w:val="center"/>
          </w:tcPr>
          <w:p w14:paraId="78111A2D">
            <w:pPr>
              <w:adjustRightInd w:val="0"/>
              <w:snapToGrid w:val="0"/>
              <w:jc w:val="center"/>
              <w:rPr>
                <w:snapToGrid w:val="0"/>
                <w:color w:val="000000"/>
                <w:kern w:val="0"/>
                <w:sz w:val="24"/>
                <w:szCs w:val="24"/>
              </w:rPr>
            </w:pPr>
            <w:r>
              <w:rPr>
                <w:rFonts w:hint="eastAsia"/>
                <w:snapToGrid w:val="0"/>
                <w:color w:val="000000"/>
                <w:kern w:val="0"/>
                <w:sz w:val="24"/>
                <w:szCs w:val="24"/>
              </w:rPr>
              <w:t>李尤江</w:t>
            </w:r>
          </w:p>
        </w:tc>
        <w:tc>
          <w:tcPr>
            <w:tcW w:w="1352" w:type="pct"/>
            <w:noWrap/>
            <w:vAlign w:val="center"/>
          </w:tcPr>
          <w:p w14:paraId="216F7A68">
            <w:pPr>
              <w:adjustRightInd w:val="0"/>
              <w:snapToGrid w:val="0"/>
              <w:jc w:val="center"/>
              <w:rPr>
                <w:snapToGrid w:val="0"/>
                <w:color w:val="000000"/>
                <w:kern w:val="0"/>
                <w:sz w:val="24"/>
                <w:szCs w:val="24"/>
              </w:rPr>
            </w:pPr>
            <w:r>
              <w:rPr>
                <w:snapToGrid w:val="0"/>
                <w:color w:val="000000"/>
                <w:kern w:val="0"/>
                <w:sz w:val="24"/>
                <w:szCs w:val="24"/>
              </w:rPr>
              <w:t>联系方式</w:t>
            </w:r>
          </w:p>
        </w:tc>
        <w:tc>
          <w:tcPr>
            <w:tcW w:w="1765" w:type="pct"/>
            <w:noWrap/>
            <w:vAlign w:val="center"/>
          </w:tcPr>
          <w:p w14:paraId="0FEC2E00">
            <w:pPr>
              <w:adjustRightInd w:val="0"/>
              <w:snapToGrid w:val="0"/>
              <w:jc w:val="center"/>
              <w:rPr>
                <w:snapToGrid w:val="0"/>
                <w:color w:val="000000"/>
                <w:kern w:val="0"/>
                <w:sz w:val="24"/>
                <w:szCs w:val="24"/>
              </w:rPr>
            </w:pPr>
          </w:p>
        </w:tc>
      </w:tr>
      <w:tr w14:paraId="0C1DEF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560" w:type="pct"/>
            <w:noWrap/>
            <w:tcMar>
              <w:top w:w="16" w:type="dxa"/>
              <w:left w:w="16" w:type="dxa"/>
              <w:right w:w="16" w:type="dxa"/>
            </w:tcMar>
            <w:vAlign w:val="center"/>
          </w:tcPr>
          <w:p w14:paraId="018C16E4">
            <w:pPr>
              <w:adjustRightInd w:val="0"/>
              <w:snapToGrid w:val="0"/>
              <w:jc w:val="left"/>
              <w:rPr>
                <w:sz w:val="24"/>
              </w:rPr>
            </w:pPr>
            <w:r>
              <w:rPr>
                <w:sz w:val="24"/>
              </w:rPr>
              <w:t>建设地点</w:t>
            </w:r>
          </w:p>
        </w:tc>
        <w:tc>
          <w:tcPr>
            <w:tcW w:w="4435" w:type="pct"/>
            <w:gridSpan w:val="3"/>
            <w:noWrap/>
            <w:vAlign w:val="center"/>
          </w:tcPr>
          <w:p w14:paraId="4CF02781">
            <w:pPr>
              <w:adjustRightInd w:val="0"/>
              <w:snapToGrid w:val="0"/>
              <w:rPr>
                <w:snapToGrid w:val="0"/>
                <w:color w:val="000000"/>
                <w:kern w:val="0"/>
                <w:sz w:val="24"/>
                <w:szCs w:val="24"/>
              </w:rPr>
            </w:pPr>
            <w:bookmarkStart w:id="13" w:name="_Hlk230117029"/>
            <w:r>
              <w:rPr>
                <w:snapToGrid w:val="0"/>
                <w:color w:val="000000"/>
                <w:kern w:val="0"/>
                <w:sz w:val="24"/>
                <w:szCs w:val="24"/>
              </w:rPr>
              <w:t>云南省</w:t>
            </w:r>
            <w:r>
              <w:rPr>
                <w:rFonts w:hint="eastAsia"/>
                <w:snapToGrid w:val="0"/>
                <w:color w:val="000000"/>
                <w:kern w:val="0"/>
                <w:sz w:val="24"/>
                <w:szCs w:val="24"/>
              </w:rPr>
              <w:t>曲靖市会泽</w:t>
            </w:r>
            <w:r>
              <w:rPr>
                <w:snapToGrid w:val="0"/>
                <w:color w:val="000000"/>
                <w:kern w:val="0"/>
                <w:sz w:val="24"/>
                <w:szCs w:val="24"/>
              </w:rPr>
              <w:t>县</w:t>
            </w:r>
            <w:r>
              <w:rPr>
                <w:rFonts w:hint="eastAsia"/>
                <w:snapToGrid w:val="0"/>
                <w:color w:val="000000"/>
                <w:kern w:val="0"/>
                <w:sz w:val="24"/>
                <w:szCs w:val="24"/>
              </w:rPr>
              <w:t>娜姑镇大闸村、石门坎村、红泥村、绿坪村、盐水村、牛泥塘村、发基卡村和干海子村</w:t>
            </w:r>
            <w:bookmarkEnd w:id="13"/>
          </w:p>
        </w:tc>
      </w:tr>
      <w:tr w14:paraId="7AC6E3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560" w:type="pct"/>
            <w:noWrap/>
            <w:tcMar>
              <w:top w:w="16" w:type="dxa"/>
              <w:left w:w="16" w:type="dxa"/>
              <w:right w:w="16" w:type="dxa"/>
            </w:tcMar>
            <w:vAlign w:val="center"/>
          </w:tcPr>
          <w:p w14:paraId="70CE69A2">
            <w:pPr>
              <w:adjustRightInd w:val="0"/>
              <w:snapToGrid w:val="0"/>
              <w:jc w:val="left"/>
              <w:rPr>
                <w:sz w:val="24"/>
              </w:rPr>
            </w:pPr>
            <w:r>
              <w:rPr>
                <w:sz w:val="24"/>
              </w:rPr>
              <w:t>地理坐标</w:t>
            </w:r>
          </w:p>
        </w:tc>
        <w:tc>
          <w:tcPr>
            <w:tcW w:w="4435" w:type="pct"/>
            <w:gridSpan w:val="3"/>
            <w:noWrap/>
            <w:vAlign w:val="center"/>
          </w:tcPr>
          <w:p w14:paraId="7F304604">
            <w:pPr>
              <w:topLinePunct/>
              <w:adjustRightInd w:val="0"/>
              <w:snapToGrid w:val="0"/>
              <w:rPr>
                <w:snapToGrid w:val="0"/>
                <w:color w:val="000000"/>
                <w:kern w:val="0"/>
                <w:sz w:val="24"/>
                <w:szCs w:val="24"/>
              </w:rPr>
            </w:pPr>
            <w:bookmarkStart w:id="14" w:name="_Hlk230117040"/>
            <w:r>
              <w:rPr>
                <w:sz w:val="24"/>
                <w:szCs w:val="24"/>
              </w:rPr>
              <w:t>光伏场区场址坐标范围为东经103°04'32.696"</w:t>
            </w:r>
            <w:r>
              <w:rPr>
                <w:rFonts w:hint="eastAsia"/>
                <w:sz w:val="24"/>
                <w:szCs w:val="24"/>
              </w:rPr>
              <w:t>~</w:t>
            </w:r>
            <w:r>
              <w:rPr>
                <w:sz w:val="24"/>
                <w:szCs w:val="24"/>
              </w:rPr>
              <w:t>103°10'05.665"、北纬26°25'14.524"</w:t>
            </w:r>
            <w:r>
              <w:rPr>
                <w:rFonts w:hint="eastAsia"/>
                <w:sz w:val="24"/>
                <w:szCs w:val="24"/>
              </w:rPr>
              <w:t>~</w:t>
            </w:r>
            <w:r>
              <w:rPr>
                <w:sz w:val="24"/>
                <w:szCs w:val="24"/>
              </w:rPr>
              <w:t>26°31'31.143"，以礼河电厂三级电站厂区西侧新建110kV升压站，中心坐标为东经103°05'44.881"，北纬26°30'19.606"</w:t>
            </w:r>
            <w:bookmarkEnd w:id="14"/>
            <w:r>
              <w:rPr>
                <w:sz w:val="24"/>
                <w:szCs w:val="24"/>
              </w:rPr>
              <w:t>。</w:t>
            </w:r>
          </w:p>
        </w:tc>
      </w:tr>
      <w:tr w14:paraId="578903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560" w:type="pct"/>
            <w:noWrap/>
            <w:tcMar>
              <w:top w:w="16" w:type="dxa"/>
              <w:left w:w="16" w:type="dxa"/>
              <w:right w:w="16" w:type="dxa"/>
            </w:tcMar>
            <w:vAlign w:val="center"/>
          </w:tcPr>
          <w:p w14:paraId="2A7C7FEF">
            <w:pPr>
              <w:adjustRightInd w:val="0"/>
              <w:snapToGrid w:val="0"/>
              <w:jc w:val="left"/>
              <w:rPr>
                <w:sz w:val="24"/>
              </w:rPr>
            </w:pPr>
            <w:r>
              <w:rPr>
                <w:sz w:val="24"/>
              </w:rPr>
              <w:t>建设项目行业类别</w:t>
            </w:r>
          </w:p>
        </w:tc>
        <w:tc>
          <w:tcPr>
            <w:tcW w:w="1318" w:type="pct"/>
            <w:noWrap/>
            <w:vAlign w:val="center"/>
          </w:tcPr>
          <w:p w14:paraId="7506B2D0">
            <w:pPr>
              <w:adjustRightInd w:val="0"/>
              <w:snapToGrid w:val="0"/>
              <w:jc w:val="center"/>
              <w:rPr>
                <w:sz w:val="24"/>
              </w:rPr>
            </w:pPr>
            <w:r>
              <w:rPr>
                <w:sz w:val="24"/>
              </w:rPr>
              <w:t>电力、热力生产和供应业-太阳能发电4416</w:t>
            </w:r>
          </w:p>
        </w:tc>
        <w:tc>
          <w:tcPr>
            <w:tcW w:w="1352" w:type="pct"/>
            <w:noWrap/>
            <w:vAlign w:val="center"/>
          </w:tcPr>
          <w:p w14:paraId="6C207A41">
            <w:pPr>
              <w:adjustRightInd w:val="0"/>
              <w:snapToGrid w:val="0"/>
              <w:jc w:val="center"/>
              <w:rPr>
                <w:sz w:val="24"/>
                <w:szCs w:val="24"/>
              </w:rPr>
            </w:pPr>
            <w:r>
              <w:rPr>
                <w:sz w:val="24"/>
                <w:szCs w:val="24"/>
              </w:rPr>
              <w:t>用地（用海）面积（hm</w:t>
            </w:r>
            <w:r>
              <w:rPr>
                <w:sz w:val="24"/>
                <w:szCs w:val="24"/>
                <w:vertAlign w:val="superscript"/>
              </w:rPr>
              <w:t>2</w:t>
            </w:r>
            <w:r>
              <w:rPr>
                <w:sz w:val="24"/>
                <w:szCs w:val="24"/>
              </w:rPr>
              <w:t>）/长度（km）</w:t>
            </w:r>
          </w:p>
        </w:tc>
        <w:tc>
          <w:tcPr>
            <w:tcW w:w="1765" w:type="pct"/>
            <w:noWrap/>
            <w:vAlign w:val="center"/>
          </w:tcPr>
          <w:p w14:paraId="15E43067">
            <w:pPr>
              <w:adjustRightInd w:val="0"/>
              <w:snapToGrid w:val="0"/>
              <w:jc w:val="left"/>
              <w:rPr>
                <w:sz w:val="24"/>
                <w:szCs w:val="24"/>
                <w:vertAlign w:val="superscript"/>
              </w:rPr>
            </w:pPr>
            <w:bookmarkStart w:id="15" w:name="_Hlk230117062"/>
            <w:r>
              <w:rPr>
                <w:sz w:val="24"/>
                <w:szCs w:val="24"/>
              </w:rPr>
              <w:t>总占地面积</w:t>
            </w:r>
            <w:r>
              <w:rPr>
                <w:rFonts w:hint="eastAsia"/>
                <w:sz w:val="24"/>
                <w:szCs w:val="24"/>
              </w:rPr>
              <w:t>：</w:t>
            </w:r>
            <w:r>
              <w:rPr>
                <w:sz w:val="24"/>
                <w:szCs w:val="24"/>
              </w:rPr>
              <w:t>86.97hm</w:t>
            </w:r>
            <w:r>
              <w:rPr>
                <w:sz w:val="24"/>
                <w:szCs w:val="24"/>
                <w:vertAlign w:val="superscript"/>
              </w:rPr>
              <w:t>2</w:t>
            </w:r>
          </w:p>
          <w:p w14:paraId="28CA2C32">
            <w:pPr>
              <w:adjustRightInd w:val="0"/>
              <w:snapToGrid w:val="0"/>
              <w:jc w:val="left"/>
              <w:rPr>
                <w:sz w:val="24"/>
                <w:szCs w:val="24"/>
              </w:rPr>
            </w:pPr>
            <w:r>
              <w:rPr>
                <w:sz w:val="24"/>
                <w:szCs w:val="24"/>
              </w:rPr>
              <w:t>永久占地</w:t>
            </w:r>
            <w:r>
              <w:rPr>
                <w:rFonts w:hint="eastAsia"/>
                <w:sz w:val="24"/>
                <w:szCs w:val="24"/>
              </w:rPr>
              <w:t>：</w:t>
            </w:r>
            <w:r>
              <w:rPr>
                <w:sz w:val="24"/>
                <w:szCs w:val="24"/>
              </w:rPr>
              <w:t>0.92hm</w:t>
            </w:r>
            <w:r>
              <w:rPr>
                <w:sz w:val="24"/>
                <w:szCs w:val="24"/>
                <w:vertAlign w:val="superscript"/>
              </w:rPr>
              <w:t>2</w:t>
            </w:r>
          </w:p>
          <w:p w14:paraId="7889C2EE">
            <w:pPr>
              <w:adjustRightInd w:val="0"/>
              <w:snapToGrid w:val="0"/>
              <w:jc w:val="left"/>
              <w:rPr>
                <w:sz w:val="24"/>
                <w:szCs w:val="24"/>
              </w:rPr>
            </w:pPr>
            <w:r>
              <w:rPr>
                <w:rFonts w:hint="eastAsia"/>
                <w:sz w:val="24"/>
                <w:szCs w:val="24"/>
              </w:rPr>
              <w:t>长期租地：</w:t>
            </w:r>
            <w:r>
              <w:rPr>
                <w:sz w:val="24"/>
                <w:szCs w:val="24"/>
              </w:rPr>
              <w:t>84.93hm</w:t>
            </w:r>
            <w:r>
              <w:rPr>
                <w:sz w:val="24"/>
                <w:szCs w:val="24"/>
                <w:vertAlign w:val="superscript"/>
              </w:rPr>
              <w:t>2</w:t>
            </w:r>
          </w:p>
          <w:p w14:paraId="1E2707CB">
            <w:pPr>
              <w:adjustRightInd w:val="0"/>
              <w:snapToGrid w:val="0"/>
              <w:jc w:val="left"/>
              <w:rPr>
                <w:rFonts w:hint="eastAsia"/>
                <w:sz w:val="24"/>
                <w:szCs w:val="24"/>
              </w:rPr>
            </w:pPr>
            <w:r>
              <w:rPr>
                <w:rFonts w:hint="eastAsia"/>
                <w:sz w:val="24"/>
                <w:szCs w:val="24"/>
              </w:rPr>
              <w:t>临时租地：1</w:t>
            </w:r>
            <w:r>
              <w:rPr>
                <w:sz w:val="24"/>
                <w:szCs w:val="24"/>
              </w:rPr>
              <w:t>.13hm</w:t>
            </w:r>
            <w:r>
              <w:rPr>
                <w:sz w:val="24"/>
                <w:szCs w:val="24"/>
                <w:vertAlign w:val="superscript"/>
              </w:rPr>
              <w:t>2</w:t>
            </w:r>
          </w:p>
          <w:p w14:paraId="6018126F">
            <w:pPr>
              <w:pStyle w:val="29"/>
              <w:spacing w:after="0"/>
              <w:ind w:left="0" w:leftChars="0" w:firstLine="0" w:firstLineChars="0"/>
              <w:jc w:val="left"/>
              <w:rPr>
                <w:sz w:val="24"/>
              </w:rPr>
            </w:pPr>
            <w:r>
              <w:rPr>
                <w:rFonts w:hint="eastAsia"/>
                <w:sz w:val="24"/>
              </w:rPr>
              <w:t>改扩建道路：13.99km</w:t>
            </w:r>
          </w:p>
          <w:p w14:paraId="1BF99908">
            <w:pPr>
              <w:pStyle w:val="29"/>
              <w:spacing w:after="0"/>
              <w:ind w:left="0" w:leftChars="0" w:firstLine="0" w:firstLineChars="0"/>
              <w:jc w:val="left"/>
              <w:rPr>
                <w:sz w:val="24"/>
              </w:rPr>
            </w:pPr>
            <w:r>
              <w:rPr>
                <w:rFonts w:hint="eastAsia"/>
                <w:sz w:val="24"/>
              </w:rPr>
              <w:t>新建道路：1.68km</w:t>
            </w:r>
          </w:p>
          <w:p w14:paraId="5C298D2C">
            <w:pPr>
              <w:pStyle w:val="29"/>
              <w:spacing w:after="0"/>
              <w:ind w:left="0" w:leftChars="0" w:firstLine="0" w:firstLineChars="0"/>
              <w:jc w:val="left"/>
              <w:rPr>
                <w:rFonts w:hint="eastAsia" w:eastAsia="Times New Roman"/>
                <w:spacing w:val="-2"/>
                <w:sz w:val="24"/>
              </w:rPr>
            </w:pPr>
            <w:r>
              <w:rPr>
                <w:rFonts w:hint="eastAsia"/>
                <w:sz w:val="24"/>
              </w:rPr>
              <w:t>集电线路长度：</w:t>
            </w:r>
            <w:r>
              <w:rPr>
                <w:rFonts w:eastAsia="Times New Roman"/>
                <w:spacing w:val="-1"/>
                <w:sz w:val="24"/>
              </w:rPr>
              <w:t>47.09km</w:t>
            </w:r>
            <w:bookmarkEnd w:id="15"/>
          </w:p>
        </w:tc>
      </w:tr>
      <w:tr w14:paraId="52BB11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560" w:type="pct"/>
            <w:noWrap/>
            <w:tcMar>
              <w:top w:w="16" w:type="dxa"/>
              <w:left w:w="16" w:type="dxa"/>
              <w:right w:w="16" w:type="dxa"/>
            </w:tcMar>
            <w:vAlign w:val="center"/>
          </w:tcPr>
          <w:p w14:paraId="42714CA7">
            <w:pPr>
              <w:adjustRightInd w:val="0"/>
              <w:snapToGrid w:val="0"/>
              <w:jc w:val="left"/>
              <w:rPr>
                <w:sz w:val="24"/>
              </w:rPr>
            </w:pPr>
            <w:r>
              <w:rPr>
                <w:sz w:val="24"/>
              </w:rPr>
              <w:t>建设性质</w:t>
            </w:r>
          </w:p>
        </w:tc>
        <w:tc>
          <w:tcPr>
            <w:tcW w:w="1318" w:type="pct"/>
            <w:noWrap/>
            <w:vAlign w:val="center"/>
          </w:tcPr>
          <w:p w14:paraId="12C73D9A">
            <w:pPr>
              <w:adjustRightInd w:val="0"/>
              <w:snapToGrid w:val="0"/>
              <w:jc w:val="left"/>
              <w:rPr>
                <w:sz w:val="24"/>
              </w:rPr>
            </w:pPr>
            <w:r>
              <w:rPr>
                <w:rFonts w:eastAsia="MS Mincho"/>
                <w:sz w:val="24"/>
              </w:rPr>
              <w:t>☑</w:t>
            </w:r>
            <w:r>
              <w:rPr>
                <w:sz w:val="24"/>
              </w:rPr>
              <w:t>新建（迁建）</w:t>
            </w:r>
          </w:p>
          <w:p w14:paraId="37ACA751">
            <w:pPr>
              <w:adjustRightInd w:val="0"/>
              <w:snapToGrid w:val="0"/>
              <w:jc w:val="left"/>
              <w:rPr>
                <w:sz w:val="24"/>
              </w:rPr>
            </w:pPr>
            <w:r>
              <w:rPr>
                <w:sz w:val="24"/>
              </w:rPr>
              <w:sym w:font="Wingdings 2" w:char="00A3"/>
            </w:r>
            <w:r>
              <w:rPr>
                <w:sz w:val="24"/>
              </w:rPr>
              <w:t>改建</w:t>
            </w:r>
          </w:p>
          <w:p w14:paraId="634BC823">
            <w:pPr>
              <w:adjustRightInd w:val="0"/>
              <w:snapToGrid w:val="0"/>
              <w:jc w:val="left"/>
              <w:rPr>
                <w:sz w:val="24"/>
              </w:rPr>
            </w:pPr>
            <w:r>
              <w:rPr>
                <w:sz w:val="24"/>
              </w:rPr>
              <w:sym w:font="Wingdings 2" w:char="00A3"/>
            </w:r>
            <w:r>
              <w:rPr>
                <w:sz w:val="24"/>
              </w:rPr>
              <w:t>扩建</w:t>
            </w:r>
          </w:p>
          <w:p w14:paraId="396A943B">
            <w:pPr>
              <w:adjustRightInd w:val="0"/>
              <w:snapToGrid w:val="0"/>
              <w:jc w:val="left"/>
              <w:rPr>
                <w:sz w:val="24"/>
              </w:rPr>
            </w:pPr>
            <w:r>
              <w:rPr>
                <w:sz w:val="24"/>
              </w:rPr>
              <w:sym w:font="Wingdings 2" w:char="00A3"/>
            </w:r>
            <w:r>
              <w:rPr>
                <w:sz w:val="24"/>
              </w:rPr>
              <w:t>技术改造</w:t>
            </w:r>
          </w:p>
        </w:tc>
        <w:tc>
          <w:tcPr>
            <w:tcW w:w="1352" w:type="pct"/>
            <w:noWrap/>
            <w:vAlign w:val="center"/>
          </w:tcPr>
          <w:p w14:paraId="7E07EF86">
            <w:pPr>
              <w:adjustRightInd w:val="0"/>
              <w:snapToGrid w:val="0"/>
              <w:jc w:val="center"/>
              <w:rPr>
                <w:sz w:val="24"/>
              </w:rPr>
            </w:pPr>
            <w:r>
              <w:rPr>
                <w:sz w:val="24"/>
              </w:rPr>
              <w:t>建设项目申报情形</w:t>
            </w:r>
          </w:p>
        </w:tc>
        <w:tc>
          <w:tcPr>
            <w:tcW w:w="1765" w:type="pct"/>
            <w:noWrap/>
            <w:vAlign w:val="center"/>
          </w:tcPr>
          <w:p w14:paraId="390D3383">
            <w:pPr>
              <w:adjustRightInd w:val="0"/>
              <w:snapToGrid w:val="0"/>
              <w:jc w:val="left"/>
              <w:rPr>
                <w:sz w:val="24"/>
              </w:rPr>
            </w:pPr>
            <w:r>
              <w:rPr>
                <w:rFonts w:ascii="Segoe UI Emoji" w:hAnsi="Segoe UI Emoji" w:eastAsia="MS Mincho" w:cs="Segoe UI Emoji"/>
                <w:sz w:val="24"/>
              </w:rPr>
              <w:t>☑</w:t>
            </w:r>
            <w:r>
              <w:rPr>
                <w:sz w:val="24"/>
              </w:rPr>
              <w:t>首次申报项目</w:t>
            </w:r>
          </w:p>
          <w:p w14:paraId="5AB9CDC9">
            <w:pPr>
              <w:adjustRightInd w:val="0"/>
              <w:snapToGrid w:val="0"/>
              <w:jc w:val="left"/>
              <w:rPr>
                <w:sz w:val="24"/>
              </w:rPr>
            </w:pPr>
            <w:r>
              <w:rPr>
                <w:sz w:val="24"/>
              </w:rPr>
              <w:sym w:font="Wingdings 2" w:char="00A3"/>
            </w:r>
            <w:r>
              <w:rPr>
                <w:sz w:val="24"/>
              </w:rPr>
              <w:t>不予批准后再次申报项目</w:t>
            </w:r>
          </w:p>
          <w:p w14:paraId="64CB83AD">
            <w:pPr>
              <w:adjustRightInd w:val="0"/>
              <w:snapToGrid w:val="0"/>
              <w:jc w:val="left"/>
              <w:rPr>
                <w:sz w:val="24"/>
              </w:rPr>
            </w:pPr>
            <w:r>
              <w:rPr>
                <w:sz w:val="24"/>
              </w:rPr>
              <w:sym w:font="Wingdings 2" w:char="00A3"/>
            </w:r>
            <w:r>
              <w:rPr>
                <w:sz w:val="24"/>
              </w:rPr>
              <w:t>超五年重新审核项目</w:t>
            </w:r>
          </w:p>
          <w:p w14:paraId="21C6759D">
            <w:pPr>
              <w:adjustRightInd w:val="0"/>
              <w:snapToGrid w:val="0"/>
              <w:jc w:val="left"/>
              <w:rPr>
                <w:sz w:val="24"/>
              </w:rPr>
            </w:pPr>
            <w:r>
              <w:rPr>
                <w:sz w:val="24"/>
              </w:rPr>
              <w:sym w:font="Wingdings 2" w:char="00A3"/>
            </w:r>
            <w:r>
              <w:rPr>
                <w:sz w:val="24"/>
              </w:rPr>
              <w:t>重大变动重新报批项目</w:t>
            </w:r>
          </w:p>
        </w:tc>
      </w:tr>
      <w:tr w14:paraId="1FC5A8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560" w:type="pct"/>
            <w:noWrap/>
            <w:tcMar>
              <w:top w:w="16" w:type="dxa"/>
              <w:left w:w="16" w:type="dxa"/>
              <w:right w:w="16" w:type="dxa"/>
            </w:tcMar>
            <w:vAlign w:val="center"/>
          </w:tcPr>
          <w:p w14:paraId="6C77B073">
            <w:pPr>
              <w:adjustRightInd w:val="0"/>
              <w:snapToGrid w:val="0"/>
              <w:jc w:val="left"/>
              <w:rPr>
                <w:sz w:val="24"/>
              </w:rPr>
            </w:pPr>
            <w:r>
              <w:rPr>
                <w:sz w:val="24"/>
              </w:rPr>
              <w:t>项目审批（核准/备案）部门（选填）</w:t>
            </w:r>
          </w:p>
        </w:tc>
        <w:tc>
          <w:tcPr>
            <w:tcW w:w="1318" w:type="pct"/>
            <w:noWrap/>
            <w:vAlign w:val="center"/>
          </w:tcPr>
          <w:p w14:paraId="014B5E89">
            <w:pPr>
              <w:adjustRightInd w:val="0"/>
              <w:snapToGrid w:val="0"/>
              <w:jc w:val="center"/>
              <w:rPr>
                <w:snapToGrid w:val="0"/>
                <w:color w:val="000000"/>
                <w:kern w:val="0"/>
                <w:sz w:val="24"/>
                <w:szCs w:val="24"/>
              </w:rPr>
            </w:pPr>
            <w:r>
              <w:rPr>
                <w:rFonts w:hint="eastAsia"/>
                <w:snapToGrid w:val="0"/>
                <w:color w:val="000000"/>
                <w:kern w:val="0"/>
                <w:sz w:val="24"/>
                <w:szCs w:val="24"/>
              </w:rPr>
              <w:t>会泽县</w:t>
            </w:r>
            <w:r>
              <w:rPr>
                <w:snapToGrid w:val="0"/>
                <w:color w:val="000000"/>
                <w:kern w:val="0"/>
                <w:sz w:val="24"/>
                <w:szCs w:val="24"/>
              </w:rPr>
              <w:t>发展和改革局</w:t>
            </w:r>
          </w:p>
        </w:tc>
        <w:tc>
          <w:tcPr>
            <w:tcW w:w="1352" w:type="pct"/>
            <w:noWrap/>
            <w:vAlign w:val="center"/>
          </w:tcPr>
          <w:p w14:paraId="6056772C">
            <w:pPr>
              <w:adjustRightInd w:val="0"/>
              <w:snapToGrid w:val="0"/>
              <w:jc w:val="center"/>
              <w:rPr>
                <w:snapToGrid w:val="0"/>
                <w:color w:val="000000"/>
                <w:kern w:val="0"/>
                <w:sz w:val="24"/>
                <w:szCs w:val="24"/>
              </w:rPr>
            </w:pPr>
            <w:r>
              <w:rPr>
                <w:snapToGrid w:val="0"/>
                <w:color w:val="000000"/>
                <w:kern w:val="0"/>
                <w:sz w:val="24"/>
                <w:szCs w:val="24"/>
              </w:rPr>
              <w:t>项目审批（核准/备案）文号（选填）</w:t>
            </w:r>
          </w:p>
        </w:tc>
        <w:tc>
          <w:tcPr>
            <w:tcW w:w="1765" w:type="pct"/>
            <w:noWrap/>
            <w:vAlign w:val="center"/>
          </w:tcPr>
          <w:p w14:paraId="6313945F">
            <w:pPr>
              <w:adjustRightInd w:val="0"/>
              <w:snapToGrid w:val="0"/>
              <w:jc w:val="center"/>
              <w:rPr>
                <w:snapToGrid w:val="0"/>
                <w:color w:val="000000"/>
                <w:kern w:val="0"/>
                <w:sz w:val="24"/>
                <w:szCs w:val="24"/>
              </w:rPr>
            </w:pPr>
            <w:r>
              <w:rPr>
                <w:rFonts w:hint="eastAsia"/>
                <w:snapToGrid w:val="0"/>
                <w:color w:val="000000"/>
                <w:kern w:val="0"/>
                <w:sz w:val="24"/>
              </w:rPr>
              <w:t>2511-530326-04-05-844717</w:t>
            </w:r>
          </w:p>
        </w:tc>
      </w:tr>
      <w:tr w14:paraId="7E59DF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560" w:type="pct"/>
            <w:noWrap/>
            <w:tcMar>
              <w:top w:w="16" w:type="dxa"/>
              <w:left w:w="16" w:type="dxa"/>
              <w:right w:w="16" w:type="dxa"/>
            </w:tcMar>
            <w:vAlign w:val="center"/>
          </w:tcPr>
          <w:p w14:paraId="22533CD9">
            <w:pPr>
              <w:adjustRightInd w:val="0"/>
              <w:snapToGrid w:val="0"/>
              <w:jc w:val="left"/>
              <w:rPr>
                <w:sz w:val="24"/>
              </w:rPr>
            </w:pPr>
            <w:r>
              <w:rPr>
                <w:sz w:val="24"/>
              </w:rPr>
              <w:t>总投资（万元）</w:t>
            </w:r>
          </w:p>
        </w:tc>
        <w:tc>
          <w:tcPr>
            <w:tcW w:w="1318" w:type="pct"/>
            <w:noWrap/>
            <w:vAlign w:val="center"/>
          </w:tcPr>
          <w:p w14:paraId="54F05F59">
            <w:pPr>
              <w:adjustRightInd w:val="0"/>
              <w:snapToGrid w:val="0"/>
              <w:jc w:val="center"/>
              <w:rPr>
                <w:sz w:val="24"/>
              </w:rPr>
            </w:pPr>
            <w:bookmarkStart w:id="16" w:name="OLE_LINK51"/>
            <w:r>
              <w:rPr>
                <w:rFonts w:eastAsia="Times New Roman"/>
                <w:spacing w:val="-4"/>
                <w:sz w:val="24"/>
                <w:szCs w:val="24"/>
              </w:rPr>
              <w:t>22948.18</w:t>
            </w:r>
            <w:bookmarkEnd w:id="16"/>
          </w:p>
        </w:tc>
        <w:tc>
          <w:tcPr>
            <w:tcW w:w="1352" w:type="pct"/>
            <w:noWrap/>
            <w:tcMar>
              <w:top w:w="16" w:type="dxa"/>
              <w:left w:w="16" w:type="dxa"/>
              <w:right w:w="16" w:type="dxa"/>
            </w:tcMar>
            <w:vAlign w:val="center"/>
          </w:tcPr>
          <w:p w14:paraId="50774B7E">
            <w:pPr>
              <w:adjustRightInd w:val="0"/>
              <w:snapToGrid w:val="0"/>
              <w:jc w:val="center"/>
              <w:rPr>
                <w:sz w:val="24"/>
              </w:rPr>
            </w:pPr>
            <w:r>
              <w:rPr>
                <w:sz w:val="24"/>
              </w:rPr>
              <w:t>环保投资（万元）</w:t>
            </w:r>
          </w:p>
        </w:tc>
        <w:tc>
          <w:tcPr>
            <w:tcW w:w="1765" w:type="pct"/>
            <w:noWrap/>
            <w:vAlign w:val="center"/>
          </w:tcPr>
          <w:p w14:paraId="68547AF0">
            <w:pPr>
              <w:adjustRightInd w:val="0"/>
              <w:snapToGrid w:val="0"/>
              <w:jc w:val="center"/>
              <w:rPr>
                <w:sz w:val="24"/>
              </w:rPr>
            </w:pPr>
            <w:r>
              <w:rPr>
                <w:sz w:val="24"/>
              </w:rPr>
              <w:t>166.98</w:t>
            </w:r>
          </w:p>
        </w:tc>
      </w:tr>
      <w:tr w14:paraId="399BA7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560" w:type="pct"/>
            <w:noWrap/>
            <w:tcMar>
              <w:top w:w="16" w:type="dxa"/>
              <w:left w:w="16" w:type="dxa"/>
              <w:right w:w="16" w:type="dxa"/>
            </w:tcMar>
            <w:vAlign w:val="center"/>
          </w:tcPr>
          <w:p w14:paraId="232D5E49">
            <w:pPr>
              <w:adjustRightInd w:val="0"/>
              <w:snapToGrid w:val="0"/>
              <w:jc w:val="left"/>
              <w:rPr>
                <w:sz w:val="24"/>
              </w:rPr>
            </w:pPr>
            <w:r>
              <w:rPr>
                <w:sz w:val="24"/>
              </w:rPr>
              <w:t>环保投资占比（%）</w:t>
            </w:r>
          </w:p>
        </w:tc>
        <w:tc>
          <w:tcPr>
            <w:tcW w:w="1318" w:type="pct"/>
            <w:noWrap/>
            <w:vAlign w:val="center"/>
          </w:tcPr>
          <w:p w14:paraId="483426E8">
            <w:pPr>
              <w:adjustRightInd w:val="0"/>
              <w:snapToGrid w:val="0"/>
              <w:jc w:val="center"/>
              <w:rPr>
                <w:sz w:val="24"/>
              </w:rPr>
            </w:pPr>
            <w:r>
              <w:rPr>
                <w:sz w:val="24"/>
              </w:rPr>
              <w:t>0.73%</w:t>
            </w:r>
          </w:p>
        </w:tc>
        <w:tc>
          <w:tcPr>
            <w:tcW w:w="1352" w:type="pct"/>
            <w:noWrap/>
            <w:tcMar>
              <w:top w:w="16" w:type="dxa"/>
              <w:left w:w="16" w:type="dxa"/>
              <w:right w:w="16" w:type="dxa"/>
            </w:tcMar>
            <w:vAlign w:val="center"/>
          </w:tcPr>
          <w:p w14:paraId="6B0ADCF2">
            <w:pPr>
              <w:adjustRightInd w:val="0"/>
              <w:snapToGrid w:val="0"/>
              <w:jc w:val="center"/>
              <w:rPr>
                <w:sz w:val="24"/>
              </w:rPr>
            </w:pPr>
            <w:r>
              <w:rPr>
                <w:sz w:val="24"/>
              </w:rPr>
              <w:t>施工工期</w:t>
            </w:r>
          </w:p>
        </w:tc>
        <w:tc>
          <w:tcPr>
            <w:tcW w:w="1765" w:type="pct"/>
            <w:noWrap/>
            <w:vAlign w:val="center"/>
          </w:tcPr>
          <w:p w14:paraId="5256D17D">
            <w:pPr>
              <w:adjustRightInd w:val="0"/>
              <w:snapToGrid w:val="0"/>
              <w:jc w:val="center"/>
              <w:rPr>
                <w:sz w:val="24"/>
              </w:rPr>
            </w:pPr>
            <w:r>
              <w:rPr>
                <w:sz w:val="24"/>
              </w:rPr>
              <w:t>6个月</w:t>
            </w:r>
          </w:p>
        </w:tc>
      </w:tr>
      <w:tr w14:paraId="6D0334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560" w:type="pct"/>
            <w:noWrap/>
            <w:tcMar>
              <w:top w:w="16" w:type="dxa"/>
              <w:left w:w="16" w:type="dxa"/>
              <w:right w:w="16" w:type="dxa"/>
            </w:tcMar>
            <w:vAlign w:val="center"/>
          </w:tcPr>
          <w:p w14:paraId="4ED647D5">
            <w:pPr>
              <w:adjustRightInd w:val="0"/>
              <w:snapToGrid w:val="0"/>
              <w:jc w:val="center"/>
              <w:rPr>
                <w:sz w:val="24"/>
              </w:rPr>
            </w:pPr>
            <w:r>
              <w:rPr>
                <w:sz w:val="24"/>
              </w:rPr>
              <w:t>是否开工建设</w:t>
            </w:r>
          </w:p>
        </w:tc>
        <w:tc>
          <w:tcPr>
            <w:tcW w:w="4435" w:type="pct"/>
            <w:gridSpan w:val="3"/>
            <w:noWrap/>
            <w:vAlign w:val="center"/>
          </w:tcPr>
          <w:p w14:paraId="743588C4">
            <w:pPr>
              <w:adjustRightInd w:val="0"/>
              <w:snapToGrid w:val="0"/>
              <w:ind w:firstLine="105"/>
              <w:jc w:val="left"/>
              <w:rPr>
                <w:sz w:val="24"/>
              </w:rPr>
            </w:pPr>
            <w:r>
              <w:rPr>
                <w:rFonts w:eastAsia="MS Mincho"/>
                <w:sz w:val="24"/>
              </w:rPr>
              <w:t>☑</w:t>
            </w:r>
            <w:r>
              <w:rPr>
                <w:sz w:val="24"/>
              </w:rPr>
              <w:t>否</w:t>
            </w:r>
          </w:p>
          <w:p w14:paraId="3F6903C7">
            <w:pPr>
              <w:adjustRightInd w:val="0"/>
              <w:snapToGrid w:val="0"/>
              <w:ind w:firstLine="92"/>
              <w:jc w:val="left"/>
              <w:rPr>
                <w:sz w:val="24"/>
              </w:rPr>
            </w:pPr>
            <w:r>
              <w:rPr>
                <w:sz w:val="24"/>
              </w:rPr>
              <w:sym w:font="Wingdings 2" w:char="00A3"/>
            </w:r>
            <w:r>
              <w:rPr>
                <w:sz w:val="24"/>
              </w:rPr>
              <w:t>是：</w:t>
            </w:r>
          </w:p>
        </w:tc>
      </w:tr>
      <w:tr w14:paraId="759656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2" w:hRule="atLeast"/>
        </w:trPr>
        <w:tc>
          <w:tcPr>
            <w:tcW w:w="560" w:type="pct"/>
            <w:noWrap/>
            <w:tcMar>
              <w:top w:w="16" w:type="dxa"/>
              <w:left w:w="16" w:type="dxa"/>
              <w:right w:w="16" w:type="dxa"/>
            </w:tcMar>
            <w:vAlign w:val="center"/>
          </w:tcPr>
          <w:p w14:paraId="466FB36C">
            <w:pPr>
              <w:autoSpaceDE w:val="0"/>
              <w:autoSpaceDN w:val="0"/>
              <w:adjustRightInd w:val="0"/>
              <w:snapToGrid w:val="0"/>
              <w:jc w:val="left"/>
              <w:rPr>
                <w:kern w:val="0"/>
                <w:sz w:val="24"/>
              </w:rPr>
            </w:pPr>
            <w:r>
              <w:rPr>
                <w:kern w:val="0"/>
                <w:sz w:val="24"/>
              </w:rPr>
              <w:t>专项评价设置情况</w:t>
            </w:r>
          </w:p>
        </w:tc>
        <w:tc>
          <w:tcPr>
            <w:tcW w:w="4435" w:type="pct"/>
            <w:gridSpan w:val="3"/>
            <w:noWrap/>
            <w:tcMar>
              <w:top w:w="16" w:type="dxa"/>
              <w:left w:w="16" w:type="dxa"/>
              <w:right w:w="16" w:type="dxa"/>
            </w:tcMar>
            <w:vAlign w:val="center"/>
          </w:tcPr>
          <w:p w14:paraId="156C9211">
            <w:pPr>
              <w:pStyle w:val="115"/>
              <w:adjustRightInd/>
              <w:spacing w:line="360" w:lineRule="auto"/>
              <w:ind w:firstLine="480" w:firstLineChars="200"/>
              <w:jc w:val="both"/>
            </w:pPr>
          </w:p>
          <w:p w14:paraId="5B11E9BE">
            <w:pPr>
              <w:pStyle w:val="115"/>
              <w:adjustRightInd/>
              <w:spacing w:line="360" w:lineRule="auto"/>
              <w:ind w:firstLine="480" w:firstLineChars="200"/>
              <w:jc w:val="both"/>
              <w:rPr>
                <w:rFonts w:hint="eastAsia" w:ascii="Times New Roman" w:cs="Times New Roman"/>
              </w:rPr>
            </w:pPr>
            <w:r>
              <w:rPr>
                <w:rFonts w:hint="eastAsia"/>
              </w:rPr>
              <w:t>根据《建设项目环境影响报告表编制技术指南（生态影响类）（试行）》要求</w:t>
            </w:r>
            <w:r>
              <w:rPr>
                <w:rFonts w:ascii="Times New Roman" w:cs="Times New Roman"/>
              </w:rPr>
              <w:t>确定是否设置项目专项评价</w:t>
            </w:r>
            <w:r>
              <w:rPr>
                <w:rFonts w:hint="eastAsia" w:ascii="Times New Roman" w:cs="Times New Roman"/>
              </w:rPr>
              <w:t>，详见表1</w:t>
            </w:r>
            <w:r>
              <w:rPr>
                <w:rFonts w:ascii="Times New Roman" w:cs="Times New Roman"/>
              </w:rPr>
              <w:t>-1。</w:t>
            </w:r>
          </w:p>
          <w:p w14:paraId="14866E57">
            <w:pPr>
              <w:pStyle w:val="219"/>
              <w:spacing w:before="0" w:beforeLines="0"/>
              <w:rPr>
                <w:sz w:val="24"/>
                <w:szCs w:val="24"/>
              </w:rPr>
            </w:pPr>
          </w:p>
          <w:p w14:paraId="69BA506E">
            <w:pPr>
              <w:pStyle w:val="219"/>
              <w:spacing w:before="0" w:beforeLines="0"/>
              <w:rPr>
                <w:sz w:val="24"/>
                <w:szCs w:val="24"/>
              </w:rPr>
            </w:pPr>
          </w:p>
          <w:p w14:paraId="3F345062">
            <w:pPr>
              <w:pStyle w:val="219"/>
              <w:spacing w:before="0" w:beforeLines="0"/>
              <w:rPr>
                <w:sz w:val="24"/>
                <w:szCs w:val="24"/>
              </w:rPr>
            </w:pPr>
          </w:p>
          <w:p w14:paraId="7C2A6126">
            <w:pPr>
              <w:pStyle w:val="219"/>
              <w:spacing w:before="0" w:beforeLines="0"/>
              <w:rPr>
                <w:rFonts w:hint="eastAsia"/>
                <w:sz w:val="24"/>
                <w:szCs w:val="24"/>
              </w:rPr>
            </w:pPr>
            <w:r>
              <w:rPr>
                <w:rFonts w:hint="eastAsia"/>
                <w:sz w:val="24"/>
                <w:szCs w:val="24"/>
              </w:rPr>
              <w:t>表1-1  专项评价设置原则表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3324"/>
              <w:gridCol w:w="3067"/>
              <w:gridCol w:w="810"/>
            </w:tblGrid>
            <w:tr w14:paraId="3790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9" w:type="pct"/>
                  <w:vAlign w:val="center"/>
                </w:tcPr>
                <w:p w14:paraId="5DB3137D">
                  <w:pPr>
                    <w:jc w:val="center"/>
                    <w:rPr>
                      <w:b/>
                      <w:bCs/>
                    </w:rPr>
                  </w:pPr>
                  <w:r>
                    <w:rPr>
                      <w:b/>
                      <w:bCs/>
                    </w:rPr>
                    <w:t>专项评价类别</w:t>
                  </w:r>
                </w:p>
              </w:tc>
              <w:tc>
                <w:tcPr>
                  <w:tcW w:w="2077" w:type="pct"/>
                  <w:vAlign w:val="center"/>
                </w:tcPr>
                <w:p w14:paraId="0F20E89A">
                  <w:pPr>
                    <w:jc w:val="center"/>
                    <w:rPr>
                      <w:b/>
                      <w:bCs/>
                    </w:rPr>
                  </w:pPr>
                  <w:r>
                    <w:rPr>
                      <w:b/>
                      <w:bCs/>
                    </w:rPr>
                    <w:t>涉及项目类别</w:t>
                  </w:r>
                </w:p>
              </w:tc>
              <w:tc>
                <w:tcPr>
                  <w:tcW w:w="1917" w:type="pct"/>
                  <w:vAlign w:val="center"/>
                </w:tcPr>
                <w:p w14:paraId="6F0D36B6">
                  <w:pPr>
                    <w:jc w:val="center"/>
                    <w:rPr>
                      <w:b/>
                      <w:bCs/>
                    </w:rPr>
                  </w:pPr>
                  <w:r>
                    <w:rPr>
                      <w:b/>
                      <w:bCs/>
                    </w:rPr>
                    <w:t>本项目符合性</w:t>
                  </w:r>
                </w:p>
              </w:tc>
              <w:tc>
                <w:tcPr>
                  <w:tcW w:w="506" w:type="pct"/>
                  <w:vAlign w:val="center"/>
                </w:tcPr>
                <w:p w14:paraId="4B9ACFB3">
                  <w:pPr>
                    <w:jc w:val="center"/>
                    <w:rPr>
                      <w:b/>
                      <w:bCs/>
                    </w:rPr>
                  </w:pPr>
                  <w:r>
                    <w:rPr>
                      <w:b/>
                      <w:bCs/>
                    </w:rPr>
                    <w:t>是否设置专项</w:t>
                  </w:r>
                </w:p>
              </w:tc>
            </w:tr>
            <w:tr w14:paraId="1232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9" w:type="pct"/>
                  <w:vAlign w:val="center"/>
                </w:tcPr>
                <w:p w14:paraId="39C787DF">
                  <w:pPr>
                    <w:jc w:val="center"/>
                  </w:pPr>
                  <w:r>
                    <w:t>地表水</w:t>
                  </w:r>
                </w:p>
              </w:tc>
              <w:tc>
                <w:tcPr>
                  <w:tcW w:w="2077" w:type="pct"/>
                  <w:vAlign w:val="center"/>
                </w:tcPr>
                <w:p w14:paraId="1D4276F7">
                  <w:pPr>
                    <w:jc w:val="left"/>
                  </w:pPr>
                  <w:r>
                    <w:t>水力发电：引水式发电、涉及调峰发电的项目；</w:t>
                  </w:r>
                </w:p>
                <w:p w14:paraId="6316B6A9">
                  <w:pPr>
                    <w:jc w:val="left"/>
                  </w:pPr>
                  <w:r>
                    <w:t>人工湖、人工湿地：全部；</w:t>
                  </w:r>
                </w:p>
                <w:p w14:paraId="433422C3">
                  <w:pPr>
                    <w:jc w:val="left"/>
                  </w:pPr>
                  <w:r>
                    <w:t>水库：全部；</w:t>
                  </w:r>
                </w:p>
                <w:p w14:paraId="1B9E6134">
                  <w:pPr>
                    <w:jc w:val="left"/>
                  </w:pPr>
                  <w:r>
                    <w:t>引水工程：全部（配套的管线工程等除外）；</w:t>
                  </w:r>
                </w:p>
                <w:p w14:paraId="6992E23C">
                  <w:pPr>
                    <w:jc w:val="left"/>
                  </w:pPr>
                  <w:r>
                    <w:t>防洪除涝工程：包括</w:t>
                  </w:r>
                  <w:r>
                    <w:rPr>
                      <w:rFonts w:hint="eastAsia"/>
                    </w:rPr>
                    <w:t>水库</w:t>
                  </w:r>
                  <w:r>
                    <w:t>项目；</w:t>
                  </w:r>
                </w:p>
                <w:p w14:paraId="7C82061C">
                  <w:pPr>
                    <w:jc w:val="left"/>
                  </w:pPr>
                  <w:r>
                    <w:t>河湖整治：涉及清淤且底泥存在重金属污染的项目</w:t>
                  </w:r>
                </w:p>
              </w:tc>
              <w:tc>
                <w:tcPr>
                  <w:tcW w:w="1917" w:type="pct"/>
                  <w:vAlign w:val="center"/>
                </w:tcPr>
                <w:p w14:paraId="51587D42">
                  <w:pPr>
                    <w:jc w:val="center"/>
                  </w:pPr>
                  <w:r>
                    <w:t>本项目属于光伏发电项目，不属于需要设置地表水专项评价的项目类别，因此本项目不设置地表水专项评价。</w:t>
                  </w:r>
                </w:p>
              </w:tc>
              <w:tc>
                <w:tcPr>
                  <w:tcW w:w="506" w:type="pct"/>
                  <w:vAlign w:val="center"/>
                </w:tcPr>
                <w:p w14:paraId="062032C5">
                  <w:pPr>
                    <w:jc w:val="center"/>
                  </w:pPr>
                  <w:r>
                    <w:t>否</w:t>
                  </w:r>
                </w:p>
              </w:tc>
            </w:tr>
            <w:tr w14:paraId="6C16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9" w:type="pct"/>
                  <w:vAlign w:val="center"/>
                </w:tcPr>
                <w:p w14:paraId="0CFF1896">
                  <w:pPr>
                    <w:jc w:val="center"/>
                  </w:pPr>
                  <w:r>
                    <w:t>地下水</w:t>
                  </w:r>
                </w:p>
              </w:tc>
              <w:tc>
                <w:tcPr>
                  <w:tcW w:w="2077" w:type="pct"/>
                  <w:vAlign w:val="center"/>
                </w:tcPr>
                <w:p w14:paraId="078C9FB2">
                  <w:pPr>
                    <w:jc w:val="left"/>
                  </w:pPr>
                  <w:r>
                    <w:t>陆地石油和天然气开采：全部；</w:t>
                  </w:r>
                </w:p>
                <w:p w14:paraId="132D9836">
                  <w:pPr>
                    <w:jc w:val="left"/>
                  </w:pPr>
                  <w:r>
                    <w:t>地下水（含矿泉水）开采：全部；</w:t>
                  </w:r>
                </w:p>
                <w:p w14:paraId="1512A9BE">
                  <w:pPr>
                    <w:jc w:val="left"/>
                  </w:pPr>
                  <w:r>
                    <w:t>水利、水电、交通等：含穿越可溶岩地层隧道的项目</w:t>
                  </w:r>
                </w:p>
              </w:tc>
              <w:tc>
                <w:tcPr>
                  <w:tcW w:w="1917" w:type="pct"/>
                  <w:vAlign w:val="center"/>
                </w:tcPr>
                <w:p w14:paraId="4FEE51B9">
                  <w:pPr>
                    <w:jc w:val="left"/>
                  </w:pPr>
                  <w:r>
                    <w:t>本项目为光伏发电项目，属于清洁能源范畴，不属于编制指南中规定的涉及地下水的项目类别，因此</w:t>
                  </w:r>
                  <w:r>
                    <w:rPr>
                      <w:rFonts w:hint="eastAsia"/>
                    </w:rPr>
                    <w:t>无须设置</w:t>
                  </w:r>
                  <w:r>
                    <w:t>地下水专项评价。</w:t>
                  </w:r>
                </w:p>
              </w:tc>
              <w:tc>
                <w:tcPr>
                  <w:tcW w:w="506" w:type="pct"/>
                  <w:vAlign w:val="center"/>
                </w:tcPr>
                <w:p w14:paraId="56AEF82E">
                  <w:pPr>
                    <w:jc w:val="center"/>
                  </w:pPr>
                  <w:r>
                    <w:t>否</w:t>
                  </w:r>
                </w:p>
              </w:tc>
            </w:tr>
            <w:tr w14:paraId="7C39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9" w:type="pct"/>
                  <w:vAlign w:val="center"/>
                </w:tcPr>
                <w:p w14:paraId="1BCDC497">
                  <w:pPr>
                    <w:jc w:val="center"/>
                  </w:pPr>
                  <w:r>
                    <w:t>生态</w:t>
                  </w:r>
                </w:p>
              </w:tc>
              <w:tc>
                <w:tcPr>
                  <w:tcW w:w="2077" w:type="pct"/>
                  <w:vAlign w:val="center"/>
                </w:tcPr>
                <w:p w14:paraId="09372176">
                  <w:pPr>
                    <w:jc w:val="left"/>
                  </w:pPr>
                  <w:r>
                    <w:t>涉及环境敏感区（不包括饮用水水源保护区，以居住、医疗卫生、文化教育、科研、行政办公为主要功能的区域，以及文物保护单位）的项目</w:t>
                  </w:r>
                </w:p>
              </w:tc>
              <w:tc>
                <w:tcPr>
                  <w:tcW w:w="1917" w:type="pct"/>
                  <w:vAlign w:val="center"/>
                </w:tcPr>
                <w:p w14:paraId="1C1DC4D1">
                  <w:pPr>
                    <w:jc w:val="left"/>
                  </w:pPr>
                  <w:r>
                    <w:t>根据现场调查和向当地主管部门核实，本项目不涉及国家公园、自然保护区、风景名胜区、世界文化和自然遗产地、饮用水水源保护区</w:t>
                  </w:r>
                  <w:r>
                    <w:rPr>
                      <w:rFonts w:hint="eastAsia"/>
                    </w:rPr>
                    <w:t>等</w:t>
                  </w:r>
                  <w:r>
                    <w:t>关于《建设项目环境影响评价分类管理名录》中针对光伏项目所列的环境敏感区，</w:t>
                  </w:r>
                  <w:r>
                    <w:rPr>
                      <w:rFonts w:hint="eastAsia"/>
                    </w:rPr>
                    <w:t>新建升压站及1</w:t>
                  </w:r>
                  <w:r>
                    <w:t>10</w:t>
                  </w:r>
                  <w:r>
                    <w:rPr>
                      <w:rFonts w:hint="eastAsia"/>
                    </w:rPr>
                    <w:t>k</w:t>
                  </w:r>
                  <w:r>
                    <w:t>V</w:t>
                  </w:r>
                  <w:r>
                    <w:rPr>
                      <w:rFonts w:hint="eastAsia"/>
                    </w:rPr>
                    <w:t>线路不涉及生态保护红线，</w:t>
                  </w:r>
                  <w:r>
                    <w:t>因此本项目</w:t>
                  </w:r>
                  <w:r>
                    <w:rPr>
                      <w:rFonts w:hint="eastAsia"/>
                    </w:rPr>
                    <w:t>无须设置</w:t>
                  </w:r>
                  <w:r>
                    <w:t>生态专项。</w:t>
                  </w:r>
                </w:p>
              </w:tc>
              <w:tc>
                <w:tcPr>
                  <w:tcW w:w="506" w:type="pct"/>
                  <w:vAlign w:val="center"/>
                </w:tcPr>
                <w:p w14:paraId="6EE2B041">
                  <w:pPr>
                    <w:jc w:val="center"/>
                  </w:pPr>
                  <w:r>
                    <w:t>否</w:t>
                  </w:r>
                </w:p>
              </w:tc>
            </w:tr>
            <w:tr w14:paraId="585C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9" w:type="pct"/>
                  <w:vAlign w:val="center"/>
                </w:tcPr>
                <w:p w14:paraId="46580D18">
                  <w:pPr>
                    <w:jc w:val="center"/>
                  </w:pPr>
                  <w:r>
                    <w:t>大气</w:t>
                  </w:r>
                </w:p>
              </w:tc>
              <w:tc>
                <w:tcPr>
                  <w:tcW w:w="2077" w:type="pct"/>
                  <w:vAlign w:val="center"/>
                </w:tcPr>
                <w:p w14:paraId="140F7FCF">
                  <w:pPr>
                    <w:jc w:val="left"/>
                  </w:pPr>
                  <w:r>
                    <w:t>油气、液体化工码头：全部；</w:t>
                  </w:r>
                </w:p>
                <w:p w14:paraId="6C4F4E87">
                  <w:pPr>
                    <w:jc w:val="left"/>
                  </w:pPr>
                  <w:r>
                    <w:t>干散货（含煤炭、矿石）、件杂、多用途、通用码头：涉及粉尘、挥发性有机物排放的项目；</w:t>
                  </w:r>
                </w:p>
              </w:tc>
              <w:tc>
                <w:tcPr>
                  <w:tcW w:w="1917" w:type="pct"/>
                  <w:vAlign w:val="center"/>
                </w:tcPr>
                <w:p w14:paraId="302CDC78">
                  <w:pPr>
                    <w:jc w:val="left"/>
                  </w:pPr>
                  <w:r>
                    <w:t>本项目为光伏发电项目，运行期不涉及粉尘、挥发性有机物排放，不属于编制指南中规定的涉及大气污染的项目，因此本项目无需设置大气专项评价。</w:t>
                  </w:r>
                </w:p>
              </w:tc>
              <w:tc>
                <w:tcPr>
                  <w:tcW w:w="506" w:type="pct"/>
                  <w:vAlign w:val="center"/>
                </w:tcPr>
                <w:p w14:paraId="351B66B5">
                  <w:pPr>
                    <w:jc w:val="center"/>
                  </w:pPr>
                  <w:r>
                    <w:t>否</w:t>
                  </w:r>
                </w:p>
              </w:tc>
            </w:tr>
            <w:tr w14:paraId="181A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9" w:type="pct"/>
                  <w:vAlign w:val="center"/>
                </w:tcPr>
                <w:p w14:paraId="4FC5FA03">
                  <w:pPr>
                    <w:jc w:val="center"/>
                  </w:pPr>
                  <w:r>
                    <w:t>噪声</w:t>
                  </w:r>
                </w:p>
              </w:tc>
              <w:tc>
                <w:tcPr>
                  <w:tcW w:w="2077" w:type="pct"/>
                  <w:vAlign w:val="center"/>
                </w:tcPr>
                <w:p w14:paraId="14CC242D">
                  <w:pPr>
                    <w:jc w:val="left"/>
                  </w:pPr>
                  <w:r>
                    <w:t>公路、铁路、机场等交通运输业涉及环境敏感区（以居住、医疗卫生、文化教育、科研、行政办公为主要功能的区域）的项目；</w:t>
                  </w:r>
                </w:p>
                <w:p w14:paraId="1FEE162B">
                  <w:pPr>
                    <w:jc w:val="left"/>
                  </w:pPr>
                  <w:r>
                    <w:t>城市道路（不含维护，不含支路、人行天桥、人行地道）：全部</w:t>
                  </w:r>
                </w:p>
              </w:tc>
              <w:tc>
                <w:tcPr>
                  <w:tcW w:w="1917" w:type="pct"/>
                  <w:vAlign w:val="center"/>
                </w:tcPr>
                <w:p w14:paraId="49B8DF4D">
                  <w:pPr>
                    <w:jc w:val="left"/>
                  </w:pPr>
                  <w:r>
                    <w:t>本项目属于光伏发电项目，不属于需要开展噪声专项评价的项目类型，因此本项目不需要设置噪声专项评价。</w:t>
                  </w:r>
                </w:p>
              </w:tc>
              <w:tc>
                <w:tcPr>
                  <w:tcW w:w="506" w:type="pct"/>
                  <w:vAlign w:val="center"/>
                </w:tcPr>
                <w:p w14:paraId="47A6EDB9">
                  <w:pPr>
                    <w:jc w:val="center"/>
                  </w:pPr>
                  <w:r>
                    <w:t>否</w:t>
                  </w:r>
                </w:p>
              </w:tc>
            </w:tr>
            <w:tr w14:paraId="53BD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499" w:type="pct"/>
                  <w:vAlign w:val="center"/>
                </w:tcPr>
                <w:p w14:paraId="00A7D675">
                  <w:pPr>
                    <w:jc w:val="center"/>
                  </w:pPr>
                  <w:r>
                    <w:t>环境风险</w:t>
                  </w:r>
                </w:p>
              </w:tc>
              <w:tc>
                <w:tcPr>
                  <w:tcW w:w="2077" w:type="pct"/>
                  <w:vAlign w:val="center"/>
                </w:tcPr>
                <w:p w14:paraId="1EDD1B57">
                  <w:pPr>
                    <w:jc w:val="left"/>
                  </w:pPr>
                  <w:r>
                    <w:t>石油和天然气开采：全部；</w:t>
                  </w:r>
                </w:p>
                <w:p w14:paraId="18BDD5D5">
                  <w:pPr>
                    <w:jc w:val="left"/>
                  </w:pPr>
                  <w:r>
                    <w:t>油气、液体化工码头：全部；</w:t>
                  </w:r>
                </w:p>
                <w:p w14:paraId="46021D8F">
                  <w:pPr>
                    <w:jc w:val="left"/>
                  </w:pPr>
                  <w:r>
                    <w:t>原油、成品油、天然气管线（不含城镇天然气管线、企业厂区内管线），危险化学品输送管线（不含企业厂区内管线）：全部</w:t>
                  </w:r>
                </w:p>
              </w:tc>
              <w:tc>
                <w:tcPr>
                  <w:tcW w:w="1917" w:type="pct"/>
                  <w:vAlign w:val="center"/>
                </w:tcPr>
                <w:p w14:paraId="19B47D37">
                  <w:pPr>
                    <w:jc w:val="left"/>
                  </w:pPr>
                  <w:r>
                    <w:t>本项目为光伏发电工程，不属于编制指南中规定的涉及石油和天然气开采等环境风险的项目类别，因此</w:t>
                  </w:r>
                  <w:r>
                    <w:rPr>
                      <w:rFonts w:hint="eastAsia"/>
                    </w:rPr>
                    <w:t>无须设置</w:t>
                  </w:r>
                  <w:r>
                    <w:t>环境风险专项评价。</w:t>
                  </w:r>
                </w:p>
              </w:tc>
              <w:tc>
                <w:tcPr>
                  <w:tcW w:w="506" w:type="pct"/>
                  <w:vAlign w:val="center"/>
                </w:tcPr>
                <w:p w14:paraId="7D985F5D">
                  <w:pPr>
                    <w:jc w:val="center"/>
                  </w:pPr>
                  <w:r>
                    <w:t>否</w:t>
                  </w:r>
                </w:p>
              </w:tc>
            </w:tr>
          </w:tbl>
          <w:p w14:paraId="4BFCB7DE">
            <w:pPr>
              <w:topLinePunct/>
              <w:spacing w:line="360" w:lineRule="auto"/>
              <w:ind w:firstLine="420" w:firstLineChars="200"/>
              <w:contextualSpacing/>
              <w:rPr>
                <w:rFonts w:hint="eastAsia"/>
              </w:rPr>
            </w:pPr>
            <w:r>
              <w:rPr>
                <w:rFonts w:hint="eastAsia"/>
              </w:rPr>
              <w:t>注：“涉及环境敏感区”是指建设项目位于、穿（跨）越（无害化通过的除外）环境敏感区，或环境影响范围涵盖环境敏感区。环境敏感区是指《建设项目环境影响评价分类管理名录》中针对该类项目所列的敏感区，</w:t>
            </w:r>
            <w:r>
              <w:t>光伏发电项目的环境敏感区</w:t>
            </w:r>
            <w:r>
              <w:rPr>
                <w:rFonts w:hint="eastAsia"/>
              </w:rPr>
              <w:t>是</w:t>
            </w:r>
            <w:r>
              <w:t>指</w:t>
            </w:r>
            <w:r>
              <w:rPr>
                <w:rFonts w:hint="eastAsia"/>
                <w:snapToGrid w:val="0"/>
                <w:color w:val="000000"/>
                <w:kern w:val="0"/>
              </w:rPr>
              <w:t>国家公园、自然保护区、风景名胜区、世界自然遗产地、海洋特别保护区、饮用水水源保护区、以居住等为主要功能的区域，以及文物保护单位。</w:t>
            </w:r>
          </w:p>
          <w:p w14:paraId="033C070C">
            <w:pPr>
              <w:spacing w:line="360" w:lineRule="auto"/>
              <w:ind w:firstLine="480" w:firstLineChars="200"/>
              <w:rPr>
                <w:kern w:val="0"/>
                <w:sz w:val="24"/>
              </w:rPr>
            </w:pPr>
            <w:r>
              <w:rPr>
                <w:rFonts w:hint="eastAsia" w:ascii="宋体" w:hAnsi="宋体" w:cs="宋体"/>
                <w:sz w:val="24"/>
                <w:szCs w:val="24"/>
              </w:rPr>
              <w:t>目前</w:t>
            </w:r>
            <w:r>
              <w:rPr>
                <w:rFonts w:ascii="宋体" w:hAnsi="宋体" w:cs="宋体"/>
                <w:sz w:val="24"/>
                <w:szCs w:val="24"/>
              </w:rPr>
              <w:t>以礼河三级电站</w:t>
            </w:r>
            <w:r>
              <w:rPr>
                <w:rFonts w:hint="eastAsia" w:ascii="宋体" w:hAnsi="宋体" w:cs="宋体"/>
                <w:sz w:val="24"/>
                <w:szCs w:val="24"/>
              </w:rPr>
              <w:t>厂区内已建</w:t>
            </w:r>
            <w:r>
              <w:rPr>
                <w:rFonts w:hint="eastAsia"/>
                <w:sz w:val="24"/>
                <w:szCs w:val="24"/>
              </w:rPr>
              <w:t>4台水电发电主变（1号主变、2号主变、3号主变、4号主变）正常运行，其中1号主变（220kV 90MVA）、2号主变（220kV 90MVA）、3号主变（110kV 45MVA）、4号主变（110kV 45MVA）。</w:t>
            </w:r>
            <w:r>
              <w:rPr>
                <w:rFonts w:hint="eastAsia"/>
                <w:color w:val="000000"/>
                <w:sz w:val="24"/>
              </w:rPr>
              <w:t>本项目在以礼河电厂三级电站厂区内新建</w:t>
            </w:r>
            <w:r>
              <w:rPr>
                <w:color w:val="000000"/>
                <w:sz w:val="24"/>
              </w:rPr>
              <w:t>1座</w:t>
            </w:r>
            <w:r>
              <w:rPr>
                <w:rFonts w:hint="eastAsia"/>
                <w:color w:val="000000"/>
                <w:sz w:val="24"/>
              </w:rPr>
              <w:t>11</w:t>
            </w:r>
            <w:r>
              <w:rPr>
                <w:color w:val="000000"/>
                <w:sz w:val="24"/>
              </w:rPr>
              <w:t>0</w:t>
            </w:r>
            <w:r>
              <w:rPr>
                <w:rFonts w:hint="eastAsia"/>
                <w:color w:val="000000"/>
                <w:sz w:val="24"/>
              </w:rPr>
              <w:t>kV</w:t>
            </w:r>
            <w:r>
              <w:rPr>
                <w:color w:val="000000"/>
                <w:sz w:val="24"/>
              </w:rPr>
              <w:t>升压站</w:t>
            </w:r>
            <w:r>
              <w:rPr>
                <w:rFonts w:hint="eastAsia"/>
                <w:color w:val="000000"/>
                <w:sz w:val="24"/>
              </w:rPr>
              <w:t>主变容量</w:t>
            </w:r>
            <w:r>
              <w:rPr>
                <w:rFonts w:hint="eastAsia"/>
                <w:sz w:val="24"/>
                <w:szCs w:val="24"/>
              </w:rPr>
              <w:t>50MVA的光伏主变</w:t>
            </w:r>
            <w:r>
              <w:rPr>
                <w:color w:val="000000"/>
                <w:sz w:val="24"/>
              </w:rPr>
              <w:t>，</w:t>
            </w:r>
            <w:r>
              <w:rPr>
                <w:rFonts w:hint="eastAsia"/>
                <w:sz w:val="24"/>
                <w:szCs w:val="24"/>
              </w:rPr>
              <w:t>整个厂区主变容量合计320MVA；</w:t>
            </w:r>
            <w:r>
              <w:rPr>
                <w:color w:val="000000"/>
                <w:sz w:val="24"/>
              </w:rPr>
              <w:t>根据《环境影响评价技术导则</w:t>
            </w:r>
            <w:r>
              <w:rPr>
                <w:rFonts w:hint="eastAsia"/>
                <w:color w:val="000000"/>
                <w:sz w:val="24"/>
              </w:rPr>
              <w:t xml:space="preserve"> </w:t>
            </w:r>
            <w:r>
              <w:rPr>
                <w:color w:val="000000"/>
                <w:sz w:val="24"/>
              </w:rPr>
              <w:t>输变电》（HJ</w:t>
            </w:r>
            <w:r>
              <w:rPr>
                <w:rFonts w:hint="eastAsia"/>
                <w:color w:val="000000"/>
                <w:sz w:val="24"/>
              </w:rPr>
              <w:t xml:space="preserve"> </w:t>
            </w:r>
            <w:r>
              <w:rPr>
                <w:color w:val="000000"/>
                <w:sz w:val="24"/>
              </w:rPr>
              <w:t>24-2020），</w:t>
            </w:r>
            <w:r>
              <w:rPr>
                <w:rFonts w:hint="eastAsia"/>
                <w:color w:val="000000"/>
                <w:sz w:val="24"/>
              </w:rPr>
              <w:t>对整个以礼河三级电站作</w:t>
            </w:r>
            <w:r>
              <w:rPr>
                <w:color w:val="000000"/>
                <w:sz w:val="24"/>
              </w:rPr>
              <w:t>电磁环境影响</w:t>
            </w:r>
            <w:r>
              <w:rPr>
                <w:rFonts w:hint="eastAsia"/>
                <w:color w:val="000000"/>
                <w:sz w:val="24"/>
              </w:rPr>
              <w:t>专项</w:t>
            </w:r>
            <w:r>
              <w:rPr>
                <w:color w:val="000000"/>
                <w:sz w:val="24"/>
              </w:rPr>
              <w:t>评价。</w:t>
            </w:r>
          </w:p>
        </w:tc>
      </w:tr>
      <w:tr w14:paraId="48E7EE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894" w:hRule="atLeast"/>
        </w:trPr>
        <w:tc>
          <w:tcPr>
            <w:tcW w:w="560" w:type="pct"/>
            <w:noWrap/>
            <w:tcMar>
              <w:top w:w="16" w:type="dxa"/>
              <w:left w:w="16" w:type="dxa"/>
              <w:right w:w="16" w:type="dxa"/>
            </w:tcMar>
            <w:vAlign w:val="center"/>
          </w:tcPr>
          <w:p w14:paraId="56CE1832">
            <w:pPr>
              <w:autoSpaceDE w:val="0"/>
              <w:autoSpaceDN w:val="0"/>
              <w:adjustRightInd w:val="0"/>
              <w:snapToGrid w:val="0"/>
              <w:jc w:val="left"/>
              <w:rPr>
                <w:kern w:val="0"/>
                <w:sz w:val="24"/>
                <w:szCs w:val="24"/>
              </w:rPr>
            </w:pPr>
            <w:r>
              <w:rPr>
                <w:sz w:val="24"/>
                <w:szCs w:val="24"/>
              </w:rPr>
              <w:t>规划情况</w:t>
            </w:r>
          </w:p>
        </w:tc>
        <w:tc>
          <w:tcPr>
            <w:tcW w:w="4435" w:type="pct"/>
            <w:gridSpan w:val="3"/>
            <w:noWrap/>
            <w:tcMar>
              <w:top w:w="16" w:type="dxa"/>
              <w:left w:w="16" w:type="dxa"/>
              <w:right w:w="16" w:type="dxa"/>
            </w:tcMar>
            <w:vAlign w:val="center"/>
          </w:tcPr>
          <w:p w14:paraId="6BADB450">
            <w:pPr>
              <w:pStyle w:val="212"/>
              <w:adjustRightInd w:val="0"/>
              <w:snapToGrid w:val="0"/>
              <w:ind w:firstLine="480"/>
            </w:pPr>
            <w:bookmarkStart w:id="17" w:name="OLE_LINK13"/>
            <w:r>
              <w:rPr>
                <w:rFonts w:hint="eastAsia"/>
              </w:rPr>
              <w:t>（</w:t>
            </w:r>
            <w:r>
              <w:rPr>
                <w:rFonts w:hint="eastAsia"/>
                <w:lang w:val="en-US"/>
              </w:rPr>
              <w:t>1</w:t>
            </w:r>
            <w:r>
              <w:rPr>
                <w:rFonts w:hint="eastAsia"/>
              </w:rPr>
              <w:t>）云南省发展和改革委员会云南省能源局关于印发</w:t>
            </w:r>
            <w:bookmarkStart w:id="18" w:name="OLE_LINK9"/>
            <w:r>
              <w:rPr>
                <w:rFonts w:hint="eastAsia"/>
              </w:rPr>
              <w:t>《</w:t>
            </w:r>
            <w:bookmarkStart w:id="19" w:name="OLE_LINK14"/>
            <w:r>
              <w:rPr>
                <w:rFonts w:hint="eastAsia"/>
              </w:rPr>
              <w:t>云南省202</w:t>
            </w:r>
            <w:r>
              <w:rPr>
                <w:rFonts w:hint="eastAsia"/>
                <w:lang w:val="en-US"/>
              </w:rPr>
              <w:t>5</w:t>
            </w:r>
            <w:r>
              <w:rPr>
                <w:rFonts w:hint="eastAsia"/>
              </w:rPr>
              <w:t>年第</w:t>
            </w:r>
            <w:r>
              <w:rPr>
                <w:rFonts w:hint="eastAsia"/>
                <w:lang w:val="en-US"/>
              </w:rPr>
              <w:t>二</w:t>
            </w:r>
            <w:r>
              <w:rPr>
                <w:rFonts w:hint="eastAsia"/>
              </w:rPr>
              <w:t>批新能源项目开发建设方案的通知》</w:t>
            </w:r>
            <w:r>
              <w:rPr>
                <w:rFonts w:ascii="宋体" w:hAnsi="宋体"/>
              </w:rPr>
              <w:t>（</w:t>
            </w:r>
            <w:r>
              <w:rPr>
                <w:rFonts w:hint="eastAsia"/>
              </w:rPr>
              <w:t>云能源</w:t>
            </w:r>
            <w:bookmarkStart w:id="20" w:name="OLE_LINK12"/>
            <w:r>
              <w:rPr>
                <w:rFonts w:hint="eastAsia"/>
                <w:lang w:val="en-US"/>
              </w:rPr>
              <w:t>新能</w:t>
            </w:r>
            <w:r>
              <w:rPr>
                <w:rFonts w:hint="eastAsia"/>
              </w:rPr>
              <w:t>〔202</w:t>
            </w:r>
            <w:r>
              <w:rPr>
                <w:rFonts w:hint="eastAsia"/>
                <w:lang w:val="en-US"/>
              </w:rPr>
              <w:t>5</w:t>
            </w:r>
            <w:r>
              <w:rPr>
                <w:rFonts w:hint="eastAsia"/>
              </w:rPr>
              <w:t>〕</w:t>
            </w:r>
            <w:bookmarkEnd w:id="20"/>
            <w:bookmarkStart w:id="21" w:name="OLE_LINK10"/>
            <w:r>
              <w:rPr>
                <w:rFonts w:hint="eastAsia"/>
                <w:lang w:val="en-US"/>
              </w:rPr>
              <w:t>193</w:t>
            </w:r>
            <w:r>
              <w:rPr>
                <w:rFonts w:hint="eastAsia"/>
              </w:rPr>
              <w:t>号</w:t>
            </w:r>
            <w:bookmarkEnd w:id="21"/>
            <w:r>
              <w:rPr>
                <w:rFonts w:ascii="宋体" w:hAnsi="宋体"/>
              </w:rPr>
              <w:t>）</w:t>
            </w:r>
            <w:bookmarkEnd w:id="17"/>
            <w:bookmarkEnd w:id="18"/>
            <w:bookmarkEnd w:id="19"/>
          </w:p>
          <w:p w14:paraId="78260083">
            <w:pPr>
              <w:pStyle w:val="212"/>
              <w:ind w:firstLine="480"/>
            </w:pPr>
            <w:r>
              <w:rPr>
                <w:rFonts w:hint="eastAsia"/>
              </w:rPr>
              <w:t>规划名称：《云南省</w:t>
            </w:r>
            <w:r>
              <w:t>202</w:t>
            </w:r>
            <w:r>
              <w:rPr>
                <w:rFonts w:hint="eastAsia"/>
                <w:lang w:val="en-US"/>
              </w:rPr>
              <w:t>5</w:t>
            </w:r>
            <w:r>
              <w:rPr>
                <w:rFonts w:hint="eastAsia"/>
              </w:rPr>
              <w:t>年第</w:t>
            </w:r>
            <w:r>
              <w:rPr>
                <w:rFonts w:hint="eastAsia"/>
                <w:lang w:val="en-US"/>
              </w:rPr>
              <w:t>二</w:t>
            </w:r>
            <w:r>
              <w:rPr>
                <w:rFonts w:hint="eastAsia"/>
              </w:rPr>
              <w:t>批新能源项目开发建设方案》</w:t>
            </w:r>
          </w:p>
          <w:p w14:paraId="3248ADAB">
            <w:pPr>
              <w:pStyle w:val="212"/>
              <w:ind w:firstLine="480"/>
            </w:pPr>
            <w:r>
              <w:rPr>
                <w:rFonts w:hint="eastAsia"/>
              </w:rPr>
              <w:t>审批机关：云南省发展和改革委员会、云南省能源局</w:t>
            </w:r>
          </w:p>
          <w:p w14:paraId="667EE59C">
            <w:pPr>
              <w:pStyle w:val="212"/>
              <w:ind w:firstLine="480"/>
            </w:pPr>
            <w:r>
              <w:rPr>
                <w:rFonts w:hint="eastAsia"/>
              </w:rPr>
              <w:t>审批文件名称：《云南省发展和改革委员会云南省能源局关于印发云南省</w:t>
            </w:r>
            <w:r>
              <w:t>202</w:t>
            </w:r>
            <w:r>
              <w:rPr>
                <w:rFonts w:hint="eastAsia"/>
                <w:lang w:val="en-US"/>
              </w:rPr>
              <w:t>5</w:t>
            </w:r>
            <w:r>
              <w:rPr>
                <w:rFonts w:hint="eastAsia"/>
              </w:rPr>
              <w:t>年第</w:t>
            </w:r>
            <w:r>
              <w:rPr>
                <w:rFonts w:hint="eastAsia"/>
                <w:lang w:val="en-US"/>
              </w:rPr>
              <w:t>二</w:t>
            </w:r>
            <w:r>
              <w:rPr>
                <w:rFonts w:hint="eastAsia"/>
              </w:rPr>
              <w:t>批新能源建设方案的通知》</w:t>
            </w:r>
          </w:p>
          <w:p w14:paraId="2F7A4CA9">
            <w:pPr>
              <w:pStyle w:val="212"/>
              <w:ind w:firstLine="480"/>
              <w:rPr>
                <w:rFonts w:hint="eastAsia"/>
              </w:rPr>
            </w:pPr>
            <w:r>
              <w:rPr>
                <w:rFonts w:hint="eastAsia"/>
              </w:rPr>
              <w:t>审批文号：云能源</w:t>
            </w:r>
            <w:r>
              <w:rPr>
                <w:rFonts w:hint="eastAsia"/>
                <w:lang w:val="en-US"/>
              </w:rPr>
              <w:t>新能</w:t>
            </w:r>
            <w:r>
              <w:rPr>
                <w:rFonts w:hint="eastAsia"/>
              </w:rPr>
              <w:t>〔202</w:t>
            </w:r>
            <w:r>
              <w:rPr>
                <w:rFonts w:hint="eastAsia"/>
                <w:lang w:val="en-US"/>
              </w:rPr>
              <w:t>5</w:t>
            </w:r>
            <w:r>
              <w:rPr>
                <w:rFonts w:hint="eastAsia"/>
              </w:rPr>
              <w:t>〕</w:t>
            </w:r>
            <w:r>
              <w:rPr>
                <w:rFonts w:hint="eastAsia"/>
                <w:lang w:val="en-US"/>
              </w:rPr>
              <w:t>193</w:t>
            </w:r>
            <w:r>
              <w:rPr>
                <w:rFonts w:hint="eastAsia"/>
              </w:rPr>
              <w:t>号</w:t>
            </w:r>
          </w:p>
          <w:p w14:paraId="33677CC5">
            <w:pPr>
              <w:pStyle w:val="212"/>
              <w:ind w:firstLine="480"/>
            </w:pPr>
            <w:r>
              <w:rPr>
                <w:rFonts w:hint="eastAsia"/>
              </w:rPr>
              <w:t>（</w:t>
            </w:r>
            <w:r>
              <w:rPr>
                <w:rFonts w:hint="eastAsia"/>
                <w:lang w:val="en-US"/>
              </w:rPr>
              <w:t>2</w:t>
            </w:r>
            <w:r>
              <w:rPr>
                <w:rFonts w:hint="eastAsia"/>
              </w:rPr>
              <w:t>）《</w:t>
            </w:r>
            <w:bookmarkStart w:id="22" w:name="OLE_LINK11"/>
            <w:r>
              <w:rPr>
                <w:rFonts w:hint="eastAsia"/>
              </w:rPr>
              <w:t>云南省绿色能源发展“十四五”规划</w:t>
            </w:r>
            <w:bookmarkEnd w:id="22"/>
            <w:r>
              <w:rPr>
                <w:rFonts w:hint="eastAsia"/>
              </w:rPr>
              <w:t>》（云政办发〔2022〕99号）</w:t>
            </w:r>
          </w:p>
          <w:p w14:paraId="2899CC4B">
            <w:pPr>
              <w:pStyle w:val="212"/>
              <w:ind w:firstLine="480"/>
              <w:rPr>
                <w:rFonts w:hint="eastAsia"/>
              </w:rPr>
            </w:pPr>
            <w:r>
              <w:rPr>
                <w:rFonts w:hint="eastAsia"/>
              </w:rPr>
              <w:t>规划名称：《云南省绿色能源发展“十四五”规划》</w:t>
            </w:r>
          </w:p>
          <w:p w14:paraId="388C1221">
            <w:pPr>
              <w:pStyle w:val="212"/>
              <w:ind w:firstLine="480"/>
            </w:pPr>
            <w:r>
              <w:rPr>
                <w:rFonts w:hint="eastAsia"/>
              </w:rPr>
              <w:t>审批机关：云南省人民政府办公厅</w:t>
            </w:r>
          </w:p>
          <w:p w14:paraId="5343D676">
            <w:pPr>
              <w:pStyle w:val="212"/>
              <w:ind w:firstLine="480"/>
            </w:pPr>
            <w:r>
              <w:rPr>
                <w:rFonts w:hint="eastAsia"/>
              </w:rPr>
              <w:t>审批文件名称：《云南省人民政府办公厅关于印发云南省绿色能源发展“十四五”规划的通知》</w:t>
            </w:r>
          </w:p>
          <w:p w14:paraId="43992287">
            <w:pPr>
              <w:pStyle w:val="88"/>
              <w:ind w:firstLine="520"/>
              <w:rPr>
                <w:rFonts w:hint="eastAsia"/>
              </w:rPr>
            </w:pPr>
            <w:r>
              <w:rPr>
                <w:rFonts w:hint="eastAsia"/>
              </w:rPr>
              <w:t>审批文号：云政办发〔2022〕99号</w:t>
            </w:r>
          </w:p>
          <w:p w14:paraId="3ECA5F6F">
            <w:pPr>
              <w:pStyle w:val="212"/>
              <w:ind w:firstLine="480"/>
              <w:rPr>
                <w:rFonts w:hint="eastAsia" w:hAnsi="宋体"/>
              </w:rPr>
            </w:pPr>
            <w:r>
              <w:rPr>
                <w:rFonts w:hint="eastAsia"/>
              </w:rPr>
              <w:t>（</w:t>
            </w:r>
            <w:r>
              <w:rPr>
                <w:rFonts w:hint="eastAsia"/>
                <w:lang w:val="en-US"/>
              </w:rPr>
              <w:t>3</w:t>
            </w:r>
            <w:r>
              <w:rPr>
                <w:rFonts w:hint="eastAsia"/>
              </w:rPr>
              <w:t>）《曲靖市绿色能源发展“十四五”规划》</w:t>
            </w:r>
            <w:r>
              <w:rPr>
                <w:rFonts w:hint="eastAsia" w:hAnsi="宋体"/>
              </w:rPr>
              <w:t>（</w:t>
            </w:r>
            <w:r>
              <w:rPr>
                <w:rFonts w:hint="eastAsia" w:hAnsi="宋体"/>
                <w:lang w:val="en-US"/>
              </w:rPr>
              <w:t>曲</w:t>
            </w:r>
            <w:r>
              <w:rPr>
                <w:rFonts w:hint="eastAsia" w:hAnsi="宋体"/>
              </w:rPr>
              <w:t>政办发〔2023〕</w:t>
            </w:r>
            <w:r>
              <w:rPr>
                <w:rFonts w:hint="eastAsia" w:hAnsi="宋体"/>
                <w:lang w:val="en-US"/>
              </w:rPr>
              <w:t>28</w:t>
            </w:r>
            <w:r>
              <w:rPr>
                <w:rFonts w:hint="eastAsia" w:hAnsi="宋体"/>
              </w:rPr>
              <w:t>号）</w:t>
            </w:r>
          </w:p>
          <w:p w14:paraId="134FE011">
            <w:pPr>
              <w:pStyle w:val="212"/>
              <w:ind w:firstLine="480"/>
            </w:pPr>
            <w:r>
              <w:rPr>
                <w:rFonts w:hint="eastAsia"/>
              </w:rPr>
              <w:t>规划名称：《曲靖市绿色能源发展“十四五”规划》</w:t>
            </w:r>
          </w:p>
          <w:p w14:paraId="5A00DB6D">
            <w:pPr>
              <w:pStyle w:val="212"/>
              <w:ind w:firstLine="480"/>
            </w:pPr>
            <w:r>
              <w:rPr>
                <w:rFonts w:hint="eastAsia"/>
              </w:rPr>
              <w:t>审批机关：</w:t>
            </w:r>
            <w:r>
              <w:rPr>
                <w:rFonts w:hint="eastAsia"/>
                <w:lang w:val="en-US"/>
              </w:rPr>
              <w:t>曲靖</w:t>
            </w:r>
            <w:r>
              <w:rPr>
                <w:rFonts w:hint="eastAsia"/>
              </w:rPr>
              <w:t>市人民政府</w:t>
            </w:r>
          </w:p>
          <w:p w14:paraId="1426BBA1">
            <w:pPr>
              <w:pStyle w:val="212"/>
              <w:ind w:firstLine="480"/>
            </w:pPr>
            <w:r>
              <w:rPr>
                <w:rFonts w:hint="eastAsia"/>
              </w:rPr>
              <w:t>审批文件名称：《曲靖市人民政府办公室关于印发曲靖市绿色能源发展“十四五”规划的通知》</w:t>
            </w:r>
          </w:p>
          <w:p w14:paraId="1FB165D2">
            <w:pPr>
              <w:pStyle w:val="88"/>
              <w:ind w:firstLine="520"/>
              <w:rPr>
                <w:rFonts w:hint="eastAsia"/>
              </w:rPr>
            </w:pPr>
            <w:r>
              <w:rPr>
                <w:rFonts w:hint="eastAsia"/>
              </w:rPr>
              <w:t>审批文号：</w:t>
            </w:r>
            <w:r>
              <w:rPr>
                <w:rFonts w:hint="eastAsia" w:hAnsi="宋体"/>
              </w:rPr>
              <w:t>曲政办发〔2023〕28号</w:t>
            </w:r>
          </w:p>
        </w:tc>
      </w:tr>
      <w:tr w14:paraId="4ECEFE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60" w:type="pct"/>
            <w:noWrap/>
            <w:tcMar>
              <w:top w:w="16" w:type="dxa"/>
              <w:left w:w="16" w:type="dxa"/>
              <w:right w:w="16" w:type="dxa"/>
            </w:tcMar>
            <w:vAlign w:val="center"/>
          </w:tcPr>
          <w:p w14:paraId="3392BDBB">
            <w:pPr>
              <w:autoSpaceDE w:val="0"/>
              <w:autoSpaceDN w:val="0"/>
              <w:adjustRightInd w:val="0"/>
              <w:snapToGrid w:val="0"/>
              <w:jc w:val="center"/>
              <w:rPr>
                <w:kern w:val="0"/>
                <w:sz w:val="24"/>
              </w:rPr>
            </w:pPr>
            <w:r>
              <w:rPr>
                <w:sz w:val="24"/>
              </w:rPr>
              <w:t>规划环境影响评价情况</w:t>
            </w:r>
          </w:p>
        </w:tc>
        <w:tc>
          <w:tcPr>
            <w:tcW w:w="4435" w:type="pct"/>
            <w:gridSpan w:val="3"/>
            <w:noWrap/>
            <w:tcMar>
              <w:top w:w="16" w:type="dxa"/>
              <w:left w:w="16" w:type="dxa"/>
              <w:right w:w="16" w:type="dxa"/>
            </w:tcMar>
            <w:vAlign w:val="center"/>
          </w:tcPr>
          <w:p w14:paraId="77751341">
            <w:pPr>
              <w:pStyle w:val="88"/>
              <w:ind w:firstLine="520"/>
              <w:rPr>
                <w:rFonts w:hint="eastAsia" w:hAnsi="宋体"/>
              </w:rPr>
            </w:pPr>
            <w:r>
              <w:rPr>
                <w:rFonts w:hint="eastAsia" w:hAnsi="宋体"/>
              </w:rPr>
              <w:t>（1）《云南省绿色能源发展“十四五”规划》（云政办发〔2022〕99号）环境影响篇章（第六章）</w:t>
            </w:r>
          </w:p>
          <w:p w14:paraId="5116BDC7">
            <w:pPr>
              <w:pStyle w:val="88"/>
              <w:ind w:firstLine="520"/>
              <w:rPr>
                <w:rFonts w:hint="eastAsia" w:hAnsi="宋体"/>
              </w:rPr>
            </w:pPr>
            <w:r>
              <w:rPr>
                <w:rFonts w:hint="eastAsia"/>
              </w:rPr>
              <w:t>（2）《曲靖市绿色能源发展“十四五”规划》</w:t>
            </w:r>
            <w:r>
              <w:rPr>
                <w:rFonts w:hint="eastAsia" w:hAnsi="宋体"/>
              </w:rPr>
              <w:t>（曲政办发〔2023〕28号）环境影响篇章（第六章）</w:t>
            </w:r>
          </w:p>
        </w:tc>
      </w:tr>
      <w:tr w14:paraId="21C4F5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39" w:hRule="atLeast"/>
        </w:trPr>
        <w:tc>
          <w:tcPr>
            <w:tcW w:w="561" w:type="pct"/>
            <w:noWrap/>
            <w:tcMar>
              <w:top w:w="16" w:type="dxa"/>
              <w:left w:w="16" w:type="dxa"/>
              <w:right w:w="16" w:type="dxa"/>
            </w:tcMar>
            <w:vAlign w:val="center"/>
          </w:tcPr>
          <w:p w14:paraId="5E11A0E6">
            <w:pPr>
              <w:autoSpaceDE w:val="0"/>
              <w:autoSpaceDN w:val="0"/>
              <w:adjustRightInd w:val="0"/>
              <w:snapToGrid w:val="0"/>
              <w:jc w:val="left"/>
              <w:rPr>
                <w:kern w:val="0"/>
                <w:sz w:val="24"/>
              </w:rPr>
            </w:pPr>
            <w:r>
              <w:rPr>
                <w:kern w:val="0"/>
                <w:sz w:val="24"/>
              </w:rPr>
              <w:t>规划及</w:t>
            </w:r>
            <w:r>
              <w:rPr>
                <w:sz w:val="24"/>
              </w:rPr>
              <w:t>规划环境影响评价</w:t>
            </w:r>
            <w:r>
              <w:rPr>
                <w:kern w:val="0"/>
                <w:sz w:val="24"/>
              </w:rPr>
              <w:t>符合性分析</w:t>
            </w:r>
          </w:p>
        </w:tc>
        <w:tc>
          <w:tcPr>
            <w:tcW w:w="4438" w:type="pct"/>
            <w:gridSpan w:val="3"/>
            <w:noWrap/>
            <w:tcMar>
              <w:top w:w="16" w:type="dxa"/>
              <w:left w:w="16" w:type="dxa"/>
              <w:right w:w="16" w:type="dxa"/>
            </w:tcMar>
          </w:tcPr>
          <w:p w14:paraId="58486229">
            <w:pPr>
              <w:pStyle w:val="73"/>
              <w:keepNext w:val="0"/>
              <w:keepLines w:val="0"/>
              <w:jc w:val="both"/>
              <w:rPr>
                <w:kern w:val="2"/>
                <w:sz w:val="24"/>
                <w:szCs w:val="24"/>
              </w:rPr>
            </w:pPr>
            <w:r>
              <w:rPr>
                <w:rFonts w:hint="eastAsia"/>
                <w:kern w:val="2"/>
                <w:sz w:val="24"/>
                <w:szCs w:val="24"/>
              </w:rPr>
              <w:t xml:space="preserve">1.1 </w:t>
            </w:r>
            <w:r>
              <w:rPr>
                <w:sz w:val="24"/>
              </w:rPr>
              <w:t>规划及规划环境影响评价符合性分析</w:t>
            </w:r>
          </w:p>
          <w:p w14:paraId="4E81CC22">
            <w:pPr>
              <w:pStyle w:val="73"/>
              <w:keepNext w:val="0"/>
              <w:keepLines w:val="0"/>
              <w:jc w:val="both"/>
              <w:rPr>
                <w:kern w:val="2"/>
                <w:sz w:val="24"/>
                <w:szCs w:val="24"/>
              </w:rPr>
            </w:pPr>
            <w:r>
              <w:rPr>
                <w:rFonts w:hint="eastAsia"/>
                <w:kern w:val="2"/>
                <w:sz w:val="24"/>
                <w:szCs w:val="24"/>
              </w:rPr>
              <w:t>1.1.1 与《</w:t>
            </w:r>
            <w:r>
              <w:rPr>
                <w:kern w:val="2"/>
                <w:sz w:val="24"/>
                <w:szCs w:val="24"/>
              </w:rPr>
              <w:t>云南省202</w:t>
            </w:r>
            <w:r>
              <w:rPr>
                <w:rFonts w:hint="eastAsia"/>
                <w:kern w:val="2"/>
                <w:sz w:val="24"/>
                <w:szCs w:val="24"/>
              </w:rPr>
              <w:t>5</w:t>
            </w:r>
            <w:r>
              <w:rPr>
                <w:kern w:val="2"/>
                <w:sz w:val="24"/>
                <w:szCs w:val="24"/>
              </w:rPr>
              <w:t>年第二批新能源建设方案的通知》（云能新能源〔202</w:t>
            </w:r>
            <w:r>
              <w:rPr>
                <w:rFonts w:hint="eastAsia"/>
                <w:kern w:val="2"/>
                <w:sz w:val="24"/>
                <w:szCs w:val="24"/>
              </w:rPr>
              <w:t>5</w:t>
            </w:r>
            <w:r>
              <w:rPr>
                <w:kern w:val="2"/>
                <w:sz w:val="24"/>
                <w:szCs w:val="24"/>
              </w:rPr>
              <w:t>〕19</w:t>
            </w:r>
            <w:r>
              <w:rPr>
                <w:rFonts w:hint="eastAsia"/>
                <w:kern w:val="2"/>
                <w:sz w:val="24"/>
                <w:szCs w:val="24"/>
              </w:rPr>
              <w:t>3</w:t>
            </w:r>
            <w:r>
              <w:rPr>
                <w:kern w:val="2"/>
                <w:sz w:val="24"/>
                <w:szCs w:val="24"/>
              </w:rPr>
              <w:t>号）的符合性分析</w:t>
            </w:r>
          </w:p>
          <w:p w14:paraId="49A76575">
            <w:pPr>
              <w:pStyle w:val="29"/>
              <w:spacing w:after="0" w:line="360" w:lineRule="auto"/>
              <w:ind w:left="0" w:leftChars="0" w:firstLine="480"/>
              <w:rPr>
                <w:sz w:val="24"/>
              </w:rPr>
            </w:pPr>
            <w:r>
              <w:rPr>
                <w:sz w:val="24"/>
              </w:rPr>
              <w:t>为深入贯彻落实习近平总书记关于大力推动我国新能源高质量发展的重要讲话精神及党的二十届三中全会精神关于完善推动新能源等战略性产业发展政策，扎实推进省委</w:t>
            </w:r>
            <w:r>
              <w:rPr>
                <w:rFonts w:hint="eastAsia" w:ascii="宋体" w:hAnsi="宋体" w:cs="宋体"/>
                <w:sz w:val="24"/>
              </w:rPr>
              <w:t>“</w:t>
            </w:r>
            <w:r>
              <w:rPr>
                <w:sz w:val="24"/>
              </w:rPr>
              <w:t>3815</w:t>
            </w:r>
            <w:r>
              <w:rPr>
                <w:rFonts w:hint="eastAsia" w:ascii="宋体" w:hAnsi="宋体" w:cs="宋体"/>
                <w:sz w:val="24"/>
              </w:rPr>
              <w:t>”</w:t>
            </w:r>
            <w:r>
              <w:rPr>
                <w:sz w:val="24"/>
              </w:rPr>
              <w:t>战略发展目标实施，持续打造绿色能源强省要求，实现</w:t>
            </w:r>
            <w:r>
              <w:rPr>
                <w:rFonts w:hint="eastAsia" w:ascii="宋体" w:hAnsi="宋体" w:cs="宋体"/>
                <w:sz w:val="24"/>
              </w:rPr>
              <w:t>“</w:t>
            </w:r>
            <w:r>
              <w:rPr>
                <w:sz w:val="24"/>
              </w:rPr>
              <w:t>十四五</w:t>
            </w:r>
            <w:r>
              <w:rPr>
                <w:rFonts w:hint="eastAsia" w:ascii="宋体" w:hAnsi="宋体" w:cs="宋体"/>
                <w:sz w:val="24"/>
              </w:rPr>
              <w:t>”</w:t>
            </w:r>
            <w:r>
              <w:rPr>
                <w:sz w:val="24"/>
              </w:rPr>
              <w:t>圆满收</w:t>
            </w:r>
            <w:r>
              <w:rPr>
                <w:rFonts w:ascii="宋体" w:hAnsi="宋体" w:cs="宋体"/>
                <w:sz w:val="24"/>
              </w:rPr>
              <w:t>官</w:t>
            </w:r>
            <w:r>
              <w:rPr>
                <w:rFonts w:hint="eastAsia" w:ascii="宋体" w:hAnsi="宋体" w:cs="宋体"/>
                <w:sz w:val="24"/>
              </w:rPr>
              <w:t>“</w:t>
            </w:r>
            <w:r>
              <w:rPr>
                <w:rFonts w:ascii="宋体" w:hAnsi="宋体" w:cs="宋体"/>
                <w:sz w:val="24"/>
              </w:rPr>
              <w:t>十五五</w:t>
            </w:r>
            <w:r>
              <w:rPr>
                <w:rFonts w:hint="eastAsia" w:ascii="宋体" w:hAnsi="宋体" w:cs="宋体"/>
                <w:sz w:val="24"/>
              </w:rPr>
              <w:t>”</w:t>
            </w:r>
            <w:r>
              <w:rPr>
                <w:rFonts w:ascii="宋体" w:hAnsi="宋体" w:cs="宋体"/>
                <w:sz w:val="24"/>
              </w:rPr>
              <w:t>开</w:t>
            </w:r>
            <w:r>
              <w:rPr>
                <w:sz w:val="24"/>
              </w:rPr>
              <w:t>门红，根据《云南省人民政府印发关于加快光伏发电发展若干政策措施的通知》（云政发〔2022〕16号）等相关要求，纳入云南省2025年第二批新能源项目开发建设方案实施的项目共206个装机1427.155万千瓦。其中，光伏项目154个装机1123万千瓦，风电项目52个装机304.155万千瓦。</w:t>
            </w:r>
          </w:p>
          <w:p w14:paraId="4A601F4D">
            <w:pPr>
              <w:pStyle w:val="29"/>
              <w:spacing w:after="0" w:line="360" w:lineRule="auto"/>
              <w:ind w:left="0" w:leftChars="0" w:firstLine="480"/>
              <w:rPr>
                <w:rFonts w:hint="eastAsia"/>
                <w:sz w:val="24"/>
              </w:rPr>
            </w:pPr>
            <w:r>
              <w:rPr>
                <w:rFonts w:hint="eastAsia"/>
                <w:sz w:val="24"/>
              </w:rPr>
              <w:t>本项目为《云南省2025年第二批新能源项目建设清单》中“第44、曲靖市会泽县、绿坪村光伏发电项目”，核定装机容量5万千瓦，根据投资备案证（2511-530326-04-05-844717）中内容，项目位于云南省曲靖市会泽县，额定容量50</w:t>
            </w:r>
            <w:r>
              <w:rPr>
                <w:sz w:val="24"/>
              </w:rPr>
              <w:t>MW</w:t>
            </w:r>
            <w:r>
              <w:rPr>
                <w:rFonts w:hint="eastAsia"/>
                <w:sz w:val="24"/>
              </w:rPr>
              <w:t>，因此本项目符合该规划要求。</w:t>
            </w:r>
          </w:p>
          <w:p w14:paraId="11FA4A16">
            <w:pPr>
              <w:jc w:val="center"/>
              <w:rPr>
                <w:rFonts w:hint="eastAsia"/>
              </w:rPr>
            </w:pPr>
            <w:r>
              <w:drawing>
                <wp:inline distT="0" distB="0" distL="0" distR="0">
                  <wp:extent cx="5089525" cy="1509395"/>
                  <wp:effectExtent l="0" t="0" r="0" b="0"/>
                  <wp:docPr id="30"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089525" cy="1509395"/>
                          </a:xfrm>
                          <a:prstGeom prst="rect">
                            <a:avLst/>
                          </a:prstGeom>
                          <a:noFill/>
                          <a:ln>
                            <a:noFill/>
                          </a:ln>
                        </pic:spPr>
                      </pic:pic>
                    </a:graphicData>
                  </a:graphic>
                </wp:inline>
              </w:drawing>
            </w:r>
          </w:p>
          <w:p w14:paraId="6E4DF7B9">
            <w:pPr>
              <w:spacing w:after="120" w:afterLines="50" w:line="360" w:lineRule="auto"/>
              <w:jc w:val="center"/>
              <w:rPr>
                <w:sz w:val="24"/>
                <w:szCs w:val="24"/>
              </w:rPr>
            </w:pPr>
            <w:r>
              <w:rPr>
                <w:rFonts w:hint="eastAsia"/>
                <w:b/>
                <w:bCs/>
                <w:sz w:val="24"/>
                <w:szCs w:val="24"/>
              </w:rPr>
              <w:t>图1.1.1-1  绿坪村光伏发电项目清单</w:t>
            </w:r>
          </w:p>
          <w:p w14:paraId="21D1AE86">
            <w:pPr>
              <w:pStyle w:val="73"/>
              <w:keepNext w:val="0"/>
              <w:keepLines w:val="0"/>
              <w:jc w:val="both"/>
              <w:rPr>
                <w:kern w:val="2"/>
                <w:sz w:val="24"/>
                <w:szCs w:val="24"/>
              </w:rPr>
            </w:pPr>
            <w:r>
              <w:rPr>
                <w:rFonts w:hint="eastAsia"/>
                <w:kern w:val="2"/>
                <w:sz w:val="24"/>
                <w:szCs w:val="24"/>
              </w:rPr>
              <w:t>1.1.2 与</w:t>
            </w:r>
            <w:r>
              <w:rPr>
                <w:kern w:val="2"/>
                <w:sz w:val="24"/>
                <w:szCs w:val="24"/>
              </w:rPr>
              <w:t>《云南省绿色能源发展</w:t>
            </w:r>
            <w:r>
              <w:rPr>
                <w:rFonts w:hint="eastAsia"/>
                <w:kern w:val="2"/>
                <w:sz w:val="24"/>
                <w:szCs w:val="24"/>
              </w:rPr>
              <w:t>“</w:t>
            </w:r>
            <w:r>
              <w:rPr>
                <w:kern w:val="2"/>
                <w:sz w:val="24"/>
                <w:szCs w:val="24"/>
              </w:rPr>
              <w:t>十四五</w:t>
            </w:r>
            <w:r>
              <w:rPr>
                <w:rFonts w:hint="eastAsia"/>
                <w:kern w:val="2"/>
                <w:sz w:val="24"/>
                <w:szCs w:val="24"/>
              </w:rPr>
              <w:t>”</w:t>
            </w:r>
            <w:r>
              <w:rPr>
                <w:kern w:val="2"/>
                <w:sz w:val="24"/>
                <w:szCs w:val="24"/>
              </w:rPr>
              <w:t>规划》</w:t>
            </w:r>
            <w:r>
              <w:rPr>
                <w:rFonts w:hint="eastAsia"/>
                <w:kern w:val="2"/>
                <w:sz w:val="24"/>
                <w:szCs w:val="24"/>
              </w:rPr>
              <w:t>的</w:t>
            </w:r>
            <w:r>
              <w:rPr>
                <w:kern w:val="2"/>
                <w:sz w:val="24"/>
                <w:szCs w:val="24"/>
              </w:rPr>
              <w:t>符合性分析</w:t>
            </w:r>
          </w:p>
          <w:p w14:paraId="682D30B4">
            <w:pPr>
              <w:pStyle w:val="212"/>
              <w:adjustRightInd w:val="0"/>
              <w:snapToGrid w:val="0"/>
              <w:ind w:firstLine="480"/>
              <w:rPr>
                <w:rFonts w:hint="eastAsia"/>
              </w:rPr>
            </w:pPr>
            <w:r>
              <w:rPr>
                <w:rStyle w:val="143"/>
                <w:rFonts w:hint="default" w:ascii="Times New Roman" w:hAnsi="Times New Roman"/>
                <w:color w:val="auto"/>
              </w:rPr>
              <w:t>（</w:t>
            </w:r>
            <w:r>
              <w:rPr>
                <w:rStyle w:val="217"/>
                <w:rFonts w:hint="default" w:ascii="Times New Roman" w:hAnsi="Times New Roman"/>
                <w:color w:val="auto"/>
              </w:rPr>
              <w:t>1</w:t>
            </w:r>
            <w:r>
              <w:rPr>
                <w:rStyle w:val="143"/>
                <w:rFonts w:hint="default" w:ascii="Times New Roman" w:hAnsi="Times New Roman"/>
                <w:color w:val="auto"/>
              </w:rPr>
              <w:t>）与《云南省绿色能源发展</w:t>
            </w:r>
            <w:r>
              <w:rPr>
                <w:rStyle w:val="217"/>
                <w:rFonts w:hint="default" w:eastAsia="宋体"/>
                <w:color w:val="auto"/>
              </w:rPr>
              <w:t>“</w:t>
            </w:r>
            <w:r>
              <w:rPr>
                <w:rStyle w:val="143"/>
                <w:rFonts w:hint="default" w:ascii="Times New Roman" w:hAnsi="Times New Roman"/>
                <w:color w:val="auto"/>
              </w:rPr>
              <w:t>十四五</w:t>
            </w:r>
            <w:r>
              <w:rPr>
                <w:rStyle w:val="217"/>
                <w:rFonts w:hint="default" w:eastAsia="宋体"/>
                <w:color w:val="auto"/>
              </w:rPr>
              <w:t>”</w:t>
            </w:r>
            <w:r>
              <w:rPr>
                <w:rStyle w:val="143"/>
                <w:rFonts w:hint="default" w:ascii="Times New Roman" w:hAnsi="Times New Roman"/>
                <w:color w:val="auto"/>
              </w:rPr>
              <w:t>规划》符合性分析</w:t>
            </w:r>
          </w:p>
          <w:p w14:paraId="59B8662F">
            <w:pPr>
              <w:pStyle w:val="212"/>
              <w:adjustRightInd w:val="0"/>
              <w:snapToGrid w:val="0"/>
              <w:ind w:firstLine="480"/>
              <w:rPr>
                <w:rFonts w:hint="eastAsia"/>
              </w:rPr>
            </w:pPr>
            <w:r>
              <w:rPr>
                <w:rFonts w:hint="eastAsia"/>
              </w:rPr>
              <w:t>《云南省绿色能源发展“十四五”规划》的发展目标是着力打造绿色能源强省、“一基地三示范一枢纽”。重点任务中有优化布局全面有序开发风电光伏新能源。按照“能开全开，能开尽开，依法依规，科学有序”的原则，全面有序放开新能源开发，推动新能源成为未来增量电源主体。加快新能源布局规划、研究等工作，推行规划+动态项目库管理，支持条件成熟的项目尽快启动建设，动态调整，滚动发展，宜开全开。充分利用现有调节能力，打造“风光水火储”多能互补基地，重点布局金沙江下游、澜沧江中下游、红河流域、金沙江中游、澜沧江与金沙江上游“风光水储”和曲靖“风光火储”基地；加快推进集中式复合新能源项目，打造一批新能源+生态修复、新能源+乡村振兴以及农光、林光互补试点示范。以整县分布式光伏、产业园区分布式光伏和多场景应用分布式光伏为重点，积极发展分布式光伏。……在项目开发中，坚持绿色发展，项目严格避让永久基本农田、生态保护红线，符合国土空间规划要求，严格进行要素审批，认真落实生态保护各项措施。</w:t>
            </w:r>
          </w:p>
          <w:p w14:paraId="0C4D820F">
            <w:pPr>
              <w:pStyle w:val="29"/>
              <w:spacing w:after="0" w:line="360" w:lineRule="auto"/>
              <w:ind w:left="0" w:leftChars="0" w:firstLine="480"/>
              <w:rPr>
                <w:rFonts w:hint="eastAsia"/>
                <w:sz w:val="24"/>
              </w:rPr>
            </w:pPr>
            <w:r>
              <w:rPr>
                <w:rFonts w:hint="eastAsia"/>
                <w:sz w:val="24"/>
                <w:szCs w:val="22"/>
              </w:rPr>
              <w:t>本</w:t>
            </w:r>
            <w:r>
              <w:rPr>
                <w:rFonts w:hint="eastAsia"/>
                <w:sz w:val="24"/>
                <w:szCs w:val="22"/>
                <w:lang w:val="zh-CN"/>
              </w:rPr>
              <w:t>项目位于</w:t>
            </w:r>
            <w:r>
              <w:rPr>
                <w:rFonts w:hint="eastAsia"/>
                <w:sz w:val="24"/>
              </w:rPr>
              <w:t>曲靖市会泽县娜姑镇大闸村、石门坎村、红泥村、绿坪村、盐水村、牛泥塘村、发基卡村和干海子村，属于曲靖“风光火储”</w:t>
            </w:r>
            <w:r>
              <w:rPr>
                <w:rFonts w:hint="eastAsia"/>
                <w:sz w:val="24"/>
                <w:szCs w:val="22"/>
                <w:lang w:val="zh-CN"/>
              </w:rPr>
              <w:t>中的分布式光伏发电项目。项目</w:t>
            </w:r>
            <w:r>
              <w:rPr>
                <w:rFonts w:hint="eastAsia"/>
                <w:sz w:val="24"/>
                <w:szCs w:val="22"/>
              </w:rPr>
              <w:t>在</w:t>
            </w:r>
            <w:r>
              <w:rPr>
                <w:rFonts w:hint="eastAsia"/>
                <w:sz w:val="24"/>
                <w:szCs w:val="22"/>
                <w:lang w:val="zh-CN"/>
              </w:rPr>
              <w:t>建设中注重生态保护与修复，根据《会泽县自然资源局关于云南省曲靖市会泽县绿坪村光伏发电项目查询的情况说明》，本项目不涉及占用“三区三线”划定的会泽县生态保护红线，不涉及占用永久基本农田核实处置成果和耕地保护目标。</w:t>
            </w:r>
            <w:r>
              <w:rPr>
                <w:rFonts w:hint="eastAsia"/>
                <w:sz w:val="24"/>
              </w:rPr>
              <w:t>因此本项目建设符合该规划要求。</w:t>
            </w:r>
          </w:p>
          <w:p w14:paraId="5A2484FE">
            <w:pPr>
              <w:pStyle w:val="212"/>
              <w:ind w:firstLine="480"/>
            </w:pPr>
            <w:r>
              <w:rPr>
                <w:rStyle w:val="143"/>
                <w:rFonts w:hint="default" w:ascii="Times New Roman" w:hAnsi="Times New Roman"/>
                <w:color w:val="auto"/>
              </w:rPr>
              <w:t>（</w:t>
            </w:r>
            <w:r>
              <w:rPr>
                <w:rStyle w:val="143"/>
                <w:rFonts w:hint="default" w:ascii="Times New Roman" w:hAnsi="Times New Roman"/>
                <w:color w:val="auto"/>
                <w:lang w:val="en-US"/>
              </w:rPr>
              <w:t>2</w:t>
            </w:r>
            <w:r>
              <w:rPr>
                <w:rStyle w:val="143"/>
                <w:rFonts w:hint="default" w:ascii="Times New Roman" w:hAnsi="Times New Roman"/>
                <w:color w:val="auto"/>
              </w:rPr>
              <w:t>）与《云南省绿色能源发展</w:t>
            </w:r>
            <w:r>
              <w:rPr>
                <w:rStyle w:val="218"/>
                <w:rFonts w:hint="default" w:ascii="宋体" w:hAnsi="宋体" w:eastAsia="宋体" w:cs="宋体"/>
                <w:color w:val="auto"/>
              </w:rPr>
              <w:t>“</w:t>
            </w:r>
            <w:r>
              <w:rPr>
                <w:rStyle w:val="143"/>
                <w:rFonts w:hint="default" w:ascii="Times New Roman" w:hAnsi="Times New Roman"/>
                <w:color w:val="auto"/>
              </w:rPr>
              <w:t>十四五</w:t>
            </w:r>
            <w:r>
              <w:rPr>
                <w:rStyle w:val="218"/>
                <w:rFonts w:hint="default" w:ascii="宋体" w:hAnsi="宋体" w:eastAsia="宋体" w:cs="宋体"/>
                <w:color w:val="auto"/>
              </w:rPr>
              <w:t>”</w:t>
            </w:r>
            <w:r>
              <w:rPr>
                <w:rStyle w:val="143"/>
                <w:rFonts w:hint="default" w:ascii="Times New Roman" w:hAnsi="Times New Roman"/>
                <w:color w:val="auto"/>
              </w:rPr>
              <w:t>规划》环境影响篇章符合性分析</w:t>
            </w:r>
          </w:p>
          <w:p w14:paraId="43EAFEAA">
            <w:pPr>
              <w:pStyle w:val="212"/>
              <w:ind w:firstLine="480"/>
              <w:rPr>
                <w:rFonts w:hint="eastAsia"/>
                <w:lang w:val="en-US"/>
              </w:rPr>
            </w:pPr>
            <w:r>
              <w:rPr>
                <w:lang w:val="en-US"/>
              </w:rPr>
              <w:t>云南省人民政府办公厅于</w:t>
            </w:r>
            <w:r>
              <w:rPr>
                <w:rFonts w:hint="eastAsia"/>
                <w:lang w:val="en-US"/>
              </w:rPr>
              <w:t>2023</w:t>
            </w:r>
            <w:r>
              <w:rPr>
                <w:lang w:val="en-US"/>
              </w:rPr>
              <w:t>年</w:t>
            </w:r>
            <w:r>
              <w:rPr>
                <w:rFonts w:hint="eastAsia"/>
                <w:lang w:val="en-US"/>
              </w:rPr>
              <w:t>1</w:t>
            </w:r>
            <w:r>
              <w:rPr>
                <w:lang w:val="en-US"/>
              </w:rPr>
              <w:t>月</w:t>
            </w:r>
            <w:r>
              <w:rPr>
                <w:rFonts w:hint="eastAsia"/>
                <w:lang w:val="en-US"/>
              </w:rPr>
              <w:t>4日</w:t>
            </w:r>
            <w:r>
              <w:rPr>
                <w:lang w:val="en-US"/>
              </w:rPr>
              <w:t>下发了《云南省人民政府办公厅关于印发云南省绿色能源发展</w:t>
            </w:r>
            <w:r>
              <w:rPr>
                <w:rFonts w:hint="eastAsia"/>
                <w:lang w:val="en-US"/>
              </w:rPr>
              <w:t>“</w:t>
            </w:r>
            <w:r>
              <w:rPr>
                <w:lang w:val="en-US"/>
              </w:rPr>
              <w:t>十四五</w:t>
            </w:r>
            <w:r>
              <w:rPr>
                <w:rFonts w:hint="eastAsia"/>
                <w:lang w:val="en-US"/>
              </w:rPr>
              <w:t>”</w:t>
            </w:r>
            <w:r>
              <w:rPr>
                <w:lang w:val="en-US"/>
              </w:rPr>
              <w:t>规划的通知》，项目与该规划中第六章</w:t>
            </w:r>
            <w:r>
              <w:rPr>
                <w:rFonts w:hint="eastAsia"/>
                <w:lang w:val="en-US"/>
              </w:rPr>
              <w:t>“</w:t>
            </w:r>
            <w:r>
              <w:rPr>
                <w:lang w:val="en-US"/>
              </w:rPr>
              <w:t>环境影响分析与国土空间规划衔接性评价</w:t>
            </w:r>
            <w:r>
              <w:rPr>
                <w:rFonts w:hint="eastAsia"/>
                <w:lang w:val="en-US"/>
              </w:rPr>
              <w:t>”</w:t>
            </w:r>
            <w:r>
              <w:rPr>
                <w:lang w:val="en-US"/>
              </w:rPr>
              <w:t>符合性分析见下表</w:t>
            </w:r>
            <w:r>
              <w:rPr>
                <w:rFonts w:hint="eastAsia"/>
                <w:lang w:val="en-US"/>
              </w:rPr>
              <w:t>。</w:t>
            </w:r>
          </w:p>
          <w:p w14:paraId="5E7E778D">
            <w:pPr>
              <w:pStyle w:val="219"/>
              <w:spacing w:before="0" w:beforeLines="0"/>
              <w:rPr>
                <w:rFonts w:hint="eastAsia"/>
                <w:sz w:val="24"/>
                <w:szCs w:val="24"/>
              </w:rPr>
            </w:pPr>
            <w:r>
              <w:rPr>
                <w:sz w:val="24"/>
                <w:szCs w:val="24"/>
              </w:rPr>
              <w:t>表</w:t>
            </w:r>
            <w:r>
              <w:rPr>
                <w:rFonts w:hint="eastAsia"/>
                <w:sz w:val="24"/>
                <w:szCs w:val="24"/>
              </w:rPr>
              <w:t xml:space="preserve">1.1.2-1  </w:t>
            </w:r>
            <w:r>
              <w:rPr>
                <w:sz w:val="24"/>
                <w:szCs w:val="24"/>
              </w:rPr>
              <w:t>项目与《</w:t>
            </w:r>
            <w:r>
              <w:rPr>
                <w:rFonts w:hint="eastAsia"/>
                <w:sz w:val="24"/>
                <w:szCs w:val="24"/>
              </w:rPr>
              <w:t>通知</w:t>
            </w:r>
            <w:r>
              <w:rPr>
                <w:sz w:val="24"/>
                <w:szCs w:val="24"/>
              </w:rPr>
              <w:t>》</w:t>
            </w:r>
            <w:r>
              <w:rPr>
                <w:rFonts w:hint="eastAsia"/>
                <w:sz w:val="24"/>
                <w:szCs w:val="24"/>
              </w:rPr>
              <w:t>环境影响篇章</w:t>
            </w:r>
            <w:r>
              <w:rPr>
                <w:sz w:val="24"/>
                <w:szCs w:val="24"/>
              </w:rPr>
              <w:t>的符合性</w:t>
            </w:r>
            <w:r>
              <w:rPr>
                <w:rFonts w:hint="eastAsia"/>
                <w:sz w:val="24"/>
                <w:szCs w:val="24"/>
              </w:rPr>
              <w:t>分析</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4"/>
              <w:gridCol w:w="3429"/>
              <w:gridCol w:w="1018"/>
            </w:tblGrid>
            <w:tr w14:paraId="7248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vAlign w:val="center"/>
                </w:tcPr>
                <w:p w14:paraId="5D6D7B09">
                  <w:pPr>
                    <w:pStyle w:val="83"/>
                    <w:spacing w:before="24" w:after="24" w:line="260" w:lineRule="auto"/>
                    <w:rPr>
                      <w:b/>
                      <w:bCs/>
                    </w:rPr>
                  </w:pPr>
                  <w:r>
                    <w:rPr>
                      <w:b/>
                      <w:bCs/>
                    </w:rPr>
                    <w:t>规划要求</w:t>
                  </w:r>
                </w:p>
              </w:tc>
              <w:tc>
                <w:tcPr>
                  <w:tcW w:w="2142" w:type="pct"/>
                  <w:vAlign w:val="center"/>
                </w:tcPr>
                <w:p w14:paraId="696A074E">
                  <w:pPr>
                    <w:pStyle w:val="83"/>
                    <w:spacing w:before="24" w:after="24" w:line="260" w:lineRule="auto"/>
                    <w:rPr>
                      <w:b/>
                      <w:bCs/>
                    </w:rPr>
                  </w:pPr>
                  <w:r>
                    <w:rPr>
                      <w:b/>
                      <w:bCs/>
                    </w:rPr>
                    <w:t>项目情况</w:t>
                  </w:r>
                </w:p>
              </w:tc>
              <w:tc>
                <w:tcPr>
                  <w:tcW w:w="636" w:type="pct"/>
                  <w:vAlign w:val="center"/>
                </w:tcPr>
                <w:p w14:paraId="347AC582">
                  <w:pPr>
                    <w:pStyle w:val="83"/>
                    <w:spacing w:before="24" w:after="24" w:line="260" w:lineRule="auto"/>
                    <w:rPr>
                      <w:b/>
                      <w:bCs/>
                    </w:rPr>
                  </w:pPr>
                  <w:r>
                    <w:rPr>
                      <w:rFonts w:hint="eastAsia"/>
                      <w:b/>
                      <w:bCs/>
                    </w:rPr>
                    <w:t>符合性</w:t>
                  </w:r>
                </w:p>
              </w:tc>
            </w:tr>
            <w:tr w14:paraId="3ACC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vAlign w:val="center"/>
                </w:tcPr>
                <w:p w14:paraId="6C53B3DB">
                  <w:pPr>
                    <w:pStyle w:val="83"/>
                    <w:adjustRightInd/>
                    <w:snapToGrid/>
                    <w:spacing w:beforeLines="0" w:afterLines="0" w:line="240" w:lineRule="auto"/>
                    <w:jc w:val="both"/>
                  </w:pPr>
                  <w:r>
                    <w:rPr>
                      <w:rStyle w:val="143"/>
                      <w:rFonts w:hint="default" w:ascii="Times New Roman" w:hAnsi="Times New Roman"/>
                      <w:color w:val="auto"/>
                      <w:sz w:val="21"/>
                      <w:szCs w:val="21"/>
                    </w:rPr>
                    <w:t>合理规划项目布局，避让自然保护区、风景名胜区等各类自然保护地和集中居民区等环境敏感区，采取工程和生态保护措施，减少树木采伐，及时进行生态修复，降低生态影响。</w:t>
                  </w:r>
                </w:p>
              </w:tc>
              <w:tc>
                <w:tcPr>
                  <w:tcW w:w="2142" w:type="pct"/>
                  <w:vAlign w:val="center"/>
                </w:tcPr>
                <w:p w14:paraId="4A865239">
                  <w:pPr>
                    <w:pStyle w:val="83"/>
                    <w:adjustRightInd/>
                    <w:snapToGrid/>
                    <w:spacing w:beforeLines="0" w:afterLines="0" w:line="240" w:lineRule="auto"/>
                    <w:jc w:val="both"/>
                  </w:pPr>
                  <w:r>
                    <w:rPr>
                      <w:rStyle w:val="143"/>
                      <w:rFonts w:hint="default" w:ascii="Times New Roman" w:hAnsi="Times New Roman"/>
                      <w:color w:val="auto"/>
                      <w:sz w:val="21"/>
                      <w:szCs w:val="21"/>
                    </w:rPr>
                    <w:t>项目选址符合规划的各项选址原则和要求，在项目设计选址过程中，多次调整光伏与集电线路的用地范围。本项目不涉及环评分类名录中关于光伏项目中要求的环境敏感区（不涉及国家公园、自然保护区、风景名胜区、世界文化和自然遗产地、海洋特别保护区、饮用水水源保护区），以及避让了居住、医疗卫生、文化教育、科研、行政办公为主要功能的区域，以及文物保护单位。在报告表后续的分析以及措施章节对工程提出了各项对大气、噪声、废水、固体废物和电磁辐射的污染防治措施，项目占地以其他草地和园地为主，在光伏场区建设过程中，除了必要的位置，其他地方尽量减少生态破坏，根据提出的措施，能及时在施工期后对占地进行生态修复，降低生态影响。</w:t>
                  </w:r>
                </w:p>
              </w:tc>
              <w:tc>
                <w:tcPr>
                  <w:tcW w:w="636" w:type="pct"/>
                  <w:vAlign w:val="center"/>
                </w:tcPr>
                <w:p w14:paraId="12C2F0AB">
                  <w:pPr>
                    <w:pStyle w:val="83"/>
                    <w:spacing w:before="24" w:after="24"/>
                  </w:pPr>
                  <w:r>
                    <w:rPr>
                      <w:rFonts w:hint="eastAsia"/>
                    </w:rPr>
                    <w:t>符合</w:t>
                  </w:r>
                </w:p>
              </w:tc>
            </w:tr>
            <w:tr w14:paraId="7069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vAlign w:val="center"/>
                </w:tcPr>
                <w:p w14:paraId="68000387">
                  <w:pPr>
                    <w:pStyle w:val="83"/>
                    <w:spacing w:before="24" w:after="24"/>
                    <w:jc w:val="both"/>
                  </w:pPr>
                  <w:r>
                    <w:rPr>
                      <w:rFonts w:hint="eastAsia"/>
                    </w:rPr>
                    <w:t>做好项目建设涉及的自然生态环境保护工作，注意避让生态环境敏感区和脆弱区。加强施工准备、筹建和施工过程中的环境保护。提高电网运行安全稳定水平，降低电磁环境影响。</w:t>
                  </w:r>
                </w:p>
              </w:tc>
              <w:tc>
                <w:tcPr>
                  <w:tcW w:w="2142" w:type="pct"/>
                  <w:vAlign w:val="center"/>
                </w:tcPr>
                <w:p w14:paraId="549C48BD">
                  <w:pPr>
                    <w:pStyle w:val="83"/>
                    <w:adjustRightInd/>
                    <w:snapToGrid/>
                    <w:spacing w:beforeLines="0" w:afterLines="0" w:line="240" w:lineRule="auto"/>
                    <w:jc w:val="both"/>
                    <w:rPr>
                      <w:rFonts w:ascii="Times New Roman"/>
                    </w:rPr>
                  </w:pPr>
                  <w:r>
                    <w:rPr>
                      <w:rFonts w:ascii="Times New Roman"/>
                    </w:rPr>
                    <w:t>根据</w:t>
                  </w:r>
                  <w:r>
                    <w:rPr>
                      <w:rStyle w:val="143"/>
                      <w:rFonts w:hint="default" w:ascii="Times New Roman" w:hAnsi="Times New Roman"/>
                      <w:color w:val="auto"/>
                      <w:sz w:val="21"/>
                      <w:szCs w:val="21"/>
                    </w:rPr>
                    <w:t>行政主管部门选址意见（附件5</w:t>
                  </w:r>
                  <w:r>
                    <w:rPr>
                      <w:rStyle w:val="143"/>
                      <w:rFonts w:hint="default"/>
                      <w:sz w:val="21"/>
                      <w:szCs w:val="21"/>
                    </w:rPr>
                    <w:t>-附件8</w:t>
                  </w:r>
                  <w:r>
                    <w:rPr>
                      <w:rStyle w:val="143"/>
                      <w:rFonts w:hint="default" w:ascii="Times New Roman" w:hAnsi="Times New Roman"/>
                      <w:color w:val="auto"/>
                      <w:sz w:val="21"/>
                      <w:szCs w:val="21"/>
                    </w:rPr>
                    <w:t>）</w:t>
                  </w:r>
                  <w:r>
                    <w:rPr>
                      <w:rFonts w:ascii="Times New Roman"/>
                    </w:rPr>
                    <w:t>，项目不涉及</w:t>
                  </w:r>
                  <w:r>
                    <w:rPr>
                      <w:rStyle w:val="143"/>
                      <w:rFonts w:hint="default" w:ascii="Times New Roman" w:hAnsi="Times New Roman"/>
                      <w:color w:val="auto"/>
                      <w:sz w:val="21"/>
                      <w:szCs w:val="21"/>
                    </w:rPr>
                    <w:t>国家公园、自然保护区、风景名胜区、世界文化和自然遗产地、海洋特别保护区、饮用水水源保护区，</w:t>
                  </w:r>
                  <w:r>
                    <w:rPr>
                      <w:rFonts w:hint="eastAsia"/>
                    </w:rPr>
                    <w:t>选址意见未包含新建及改扩建道路、集电线路及塔基占地，经复核，该内容不涉及响应敏感因素。项目</w:t>
                  </w:r>
                  <w:r>
                    <w:rPr>
                      <w:rStyle w:val="143"/>
                      <w:rFonts w:hint="default" w:ascii="Times New Roman" w:hAnsi="Times New Roman"/>
                      <w:color w:val="auto"/>
                      <w:sz w:val="21"/>
                      <w:szCs w:val="21"/>
                    </w:rPr>
                    <w:t>避让了居住、医疗卫生、文化教育、科研、行政办公为主要功能的区域，以及文物保护单位。</w:t>
                  </w:r>
                </w:p>
                <w:p w14:paraId="639A9B0D">
                  <w:pPr>
                    <w:pStyle w:val="83"/>
                    <w:adjustRightInd/>
                    <w:snapToGrid/>
                    <w:spacing w:beforeLines="0" w:afterLines="0" w:line="240" w:lineRule="auto"/>
                    <w:jc w:val="both"/>
                    <w:rPr>
                      <w:rFonts w:ascii="Times New Roman"/>
                    </w:rPr>
                  </w:pPr>
                  <w:r>
                    <w:rPr>
                      <w:rFonts w:ascii="Times New Roman"/>
                    </w:rPr>
                    <w:t>在报告表中提出了优化设计、合理选址，并要求施工期采取对大气、废水、噪声、固废、生态环境等环境保护措施等内容，加强施工期环境保护。</w:t>
                  </w:r>
                </w:p>
                <w:p w14:paraId="71CA4E51">
                  <w:pPr>
                    <w:pStyle w:val="83"/>
                    <w:adjustRightInd/>
                    <w:snapToGrid/>
                    <w:spacing w:beforeLines="0" w:afterLines="0" w:line="240" w:lineRule="auto"/>
                    <w:jc w:val="both"/>
                  </w:pPr>
                  <w:r>
                    <w:rPr>
                      <w:rFonts w:ascii="Times New Roman"/>
                    </w:rPr>
                    <w:t>根据现状监测及类比分析，项目电磁环境现状能够满足《电磁环境控制限值》（GB 8702-2014）相关规定。并在报告中提出了提高电网运行安全稳定水平，降低电磁环境影响等措施。</w:t>
                  </w:r>
                </w:p>
              </w:tc>
              <w:tc>
                <w:tcPr>
                  <w:tcW w:w="636" w:type="pct"/>
                  <w:vAlign w:val="center"/>
                </w:tcPr>
                <w:p w14:paraId="3CACF166">
                  <w:pPr>
                    <w:pStyle w:val="83"/>
                    <w:spacing w:before="24" w:after="24"/>
                  </w:pPr>
                  <w:r>
                    <w:rPr>
                      <w:rFonts w:hint="eastAsia"/>
                    </w:rPr>
                    <w:t>符合</w:t>
                  </w:r>
                </w:p>
              </w:tc>
            </w:tr>
            <w:tr w14:paraId="5B56C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jc w:val="center"/>
              </w:trPr>
              <w:tc>
                <w:tcPr>
                  <w:tcW w:w="2220" w:type="pct"/>
                  <w:vAlign w:val="center"/>
                </w:tcPr>
                <w:p w14:paraId="1692F103">
                  <w:pPr>
                    <w:pStyle w:val="83"/>
                    <w:spacing w:before="24" w:after="24"/>
                    <w:jc w:val="both"/>
                  </w:pPr>
                  <w:r>
                    <w:rPr>
                      <w:rFonts w:hint="eastAsia"/>
                    </w:rPr>
                    <w:t>严格落实国土空间规划管控要求，尽量避让生态保护红线、耕地和永久基本农田。</w:t>
                  </w:r>
                </w:p>
              </w:tc>
              <w:tc>
                <w:tcPr>
                  <w:tcW w:w="2142" w:type="pct"/>
                  <w:vAlign w:val="center"/>
                </w:tcPr>
                <w:p w14:paraId="5C61E1BB">
                  <w:pPr>
                    <w:pStyle w:val="83"/>
                    <w:spacing w:before="24" w:after="24"/>
                    <w:jc w:val="both"/>
                  </w:pPr>
                  <w:r>
                    <w:rPr>
                      <w:rFonts w:ascii="Times New Roman"/>
                    </w:rPr>
                    <w:t>根据</w:t>
                  </w:r>
                  <w:r>
                    <w:rPr>
                      <w:rStyle w:val="143"/>
                      <w:rFonts w:hint="default" w:ascii="Times New Roman" w:hAnsi="Times New Roman"/>
                      <w:color w:val="auto"/>
                      <w:sz w:val="21"/>
                      <w:szCs w:val="21"/>
                    </w:rPr>
                    <w:t>《会泽县自然资源局关于云南省曲靖市会泽县绿坪村光伏发电项目查询的情况说明》（附件8）</w:t>
                  </w:r>
                  <w:r>
                    <w:rPr>
                      <w:rFonts w:ascii="Times New Roman"/>
                    </w:rPr>
                    <w:t>，项目区域不占用生态保护红线、耕地和永久基本农田。</w:t>
                  </w:r>
                </w:p>
              </w:tc>
              <w:tc>
                <w:tcPr>
                  <w:tcW w:w="636" w:type="pct"/>
                  <w:vAlign w:val="center"/>
                </w:tcPr>
                <w:p w14:paraId="2CA7B169">
                  <w:pPr>
                    <w:pStyle w:val="83"/>
                    <w:spacing w:before="24" w:after="24"/>
                  </w:pPr>
                  <w:r>
                    <w:rPr>
                      <w:rFonts w:hint="eastAsia"/>
                    </w:rPr>
                    <w:t>符合</w:t>
                  </w:r>
                </w:p>
              </w:tc>
            </w:tr>
          </w:tbl>
          <w:p w14:paraId="0DFD0208">
            <w:pPr>
              <w:pStyle w:val="73"/>
              <w:keepNext w:val="0"/>
              <w:keepLines w:val="0"/>
              <w:jc w:val="both"/>
              <w:rPr>
                <w:rFonts w:hint="eastAsia"/>
                <w:kern w:val="2"/>
                <w:sz w:val="24"/>
                <w:szCs w:val="24"/>
              </w:rPr>
            </w:pPr>
            <w:r>
              <w:rPr>
                <w:rFonts w:hint="eastAsia"/>
                <w:kern w:val="2"/>
                <w:sz w:val="24"/>
                <w:szCs w:val="24"/>
              </w:rPr>
              <w:t>1.1.3 与《曲靖市绿色能源发展“十四五”规划》的符合性分析</w:t>
            </w:r>
          </w:p>
          <w:p w14:paraId="4DF67A36">
            <w:pPr>
              <w:pStyle w:val="212"/>
              <w:ind w:firstLine="480"/>
              <w:rPr>
                <w:rFonts w:hint="eastAsia"/>
                <w:lang w:val="en-US"/>
              </w:rPr>
            </w:pPr>
            <w:r>
              <w:rPr>
                <w:rFonts w:hint="eastAsia"/>
                <w:lang w:val="en-US"/>
              </w:rPr>
              <w:t>（1）与《曲靖市绿色能源发展“十四五”规划》的符合性分析</w:t>
            </w:r>
          </w:p>
          <w:p w14:paraId="7069F1BE">
            <w:pPr>
              <w:pStyle w:val="212"/>
              <w:ind w:firstLine="480"/>
              <w:rPr>
                <w:lang w:val="en-US"/>
              </w:rPr>
            </w:pPr>
            <w:r>
              <w:rPr>
                <w:rFonts w:hint="eastAsia"/>
                <w:lang w:val="en-US"/>
              </w:rPr>
              <w:t>《曲靖市绿色能源发展“十四五”规划》发展目标是着力打造绿色能源强市，到“十四五”末，煤炭转型升级取得重大进展，产业结构更加优化，科技装备水平显著提升，实现集约、安全、高效、绿色、低碳发展；火电可持续发展能力不断增强，风电、光伏等清洁能源开发建设取得重大进展，将打造成为云南省乃至西南重要的新能源基地。重点任务之一是积极推进风电、光伏新能源项目建设。按照“能开全开、能开尽开、依法依规、科学有序”的原则，全面有序开发利用新能源。</w:t>
            </w:r>
          </w:p>
          <w:p w14:paraId="59C41E07">
            <w:pPr>
              <w:pStyle w:val="29"/>
              <w:spacing w:after="0" w:line="360" w:lineRule="auto"/>
              <w:ind w:left="0" w:leftChars="0" w:firstLine="480"/>
              <w:rPr>
                <w:rFonts w:hint="eastAsia"/>
                <w:sz w:val="24"/>
                <w:szCs w:val="22"/>
                <w:lang w:val="zh-CN"/>
              </w:rPr>
            </w:pPr>
            <w:r>
              <w:rPr>
                <w:rFonts w:hint="eastAsia"/>
                <w:sz w:val="24"/>
                <w:szCs w:val="22"/>
              </w:rPr>
              <w:t>本</w:t>
            </w:r>
            <w:r>
              <w:rPr>
                <w:rFonts w:hint="eastAsia"/>
                <w:sz w:val="24"/>
                <w:szCs w:val="22"/>
                <w:lang w:val="zh-CN"/>
              </w:rPr>
              <w:t>项目</w:t>
            </w:r>
            <w:r>
              <w:rPr>
                <w:rFonts w:hint="eastAsia"/>
                <w:sz w:val="24"/>
                <w:szCs w:val="22"/>
              </w:rPr>
              <w:t>光伏电站的建设</w:t>
            </w:r>
            <w:r>
              <w:rPr>
                <w:sz w:val="24"/>
              </w:rPr>
              <w:t>将有助于减少区域对</w:t>
            </w:r>
            <w:r>
              <w:rPr>
                <w:rFonts w:hint="eastAsia"/>
                <w:sz w:val="24"/>
              </w:rPr>
              <w:t>曲靖地区煤炭、</w:t>
            </w:r>
            <w:r>
              <w:rPr>
                <w:sz w:val="24"/>
              </w:rPr>
              <w:t>石化资源的依赖，推进绿色低碳发展，推动</w:t>
            </w:r>
            <w:r>
              <w:rPr>
                <w:rFonts w:hint="eastAsia"/>
                <w:sz w:val="24"/>
              </w:rPr>
              <w:t>曲靖</w:t>
            </w:r>
            <w:r>
              <w:rPr>
                <w:sz w:val="24"/>
              </w:rPr>
              <w:t>成为云南重要的绿色清洁能源生产基地，助力实现</w:t>
            </w:r>
            <w:r>
              <w:rPr>
                <w:rFonts w:hint="eastAsia"/>
                <w:sz w:val="24"/>
              </w:rPr>
              <w:t>“</w:t>
            </w:r>
            <w:r>
              <w:rPr>
                <w:sz w:val="24"/>
              </w:rPr>
              <w:t>双碳</w:t>
            </w:r>
            <w:r>
              <w:rPr>
                <w:rFonts w:hint="eastAsia"/>
                <w:sz w:val="24"/>
              </w:rPr>
              <w:t>”</w:t>
            </w:r>
            <w:r>
              <w:rPr>
                <w:sz w:val="24"/>
              </w:rPr>
              <w:t>目标。</w:t>
            </w:r>
            <w:r>
              <w:rPr>
                <w:rFonts w:hint="eastAsia"/>
                <w:sz w:val="24"/>
                <w:szCs w:val="22"/>
                <w:lang w:val="zh-CN"/>
              </w:rPr>
              <w:t>因此</w:t>
            </w:r>
            <w:r>
              <w:rPr>
                <w:rFonts w:hint="eastAsia"/>
                <w:sz w:val="24"/>
                <w:szCs w:val="22"/>
              </w:rPr>
              <w:t>本</w:t>
            </w:r>
            <w:r>
              <w:rPr>
                <w:rFonts w:hint="eastAsia"/>
                <w:sz w:val="24"/>
                <w:szCs w:val="22"/>
                <w:lang w:val="zh-CN"/>
              </w:rPr>
              <w:t>项目与</w:t>
            </w:r>
            <w:r>
              <w:rPr>
                <w:rFonts w:hint="eastAsia"/>
                <w:sz w:val="24"/>
                <w:szCs w:val="22"/>
              </w:rPr>
              <w:t>该</w:t>
            </w:r>
            <w:r>
              <w:rPr>
                <w:rFonts w:hint="eastAsia"/>
                <w:sz w:val="24"/>
                <w:szCs w:val="22"/>
                <w:lang w:val="zh-CN"/>
              </w:rPr>
              <w:t>规划相符。</w:t>
            </w:r>
          </w:p>
          <w:p w14:paraId="50EACC6D">
            <w:pPr>
              <w:pStyle w:val="212"/>
              <w:ind w:firstLine="480"/>
              <w:rPr>
                <w:rStyle w:val="143"/>
                <w:rFonts w:hint="default" w:ascii="Times New Roman" w:hAnsi="Times New Roman"/>
                <w:color w:val="auto"/>
              </w:rPr>
            </w:pPr>
            <w:r>
              <w:rPr>
                <w:rFonts w:hint="eastAsia"/>
                <w:lang w:val="en-US"/>
              </w:rPr>
              <w:t>（2）</w:t>
            </w:r>
            <w:r>
              <w:rPr>
                <w:rFonts w:hint="eastAsia"/>
              </w:rPr>
              <w:t>与《曲靖市绿色能源发展“十四五”规划》</w:t>
            </w:r>
            <w:r>
              <w:rPr>
                <w:rStyle w:val="143"/>
                <w:rFonts w:hint="default" w:ascii="Times New Roman" w:hAnsi="Times New Roman"/>
                <w:color w:val="auto"/>
              </w:rPr>
              <w:t>环境影响篇章的符合性分析</w:t>
            </w:r>
          </w:p>
          <w:p w14:paraId="2A962E3D">
            <w:pPr>
              <w:pStyle w:val="212"/>
              <w:ind w:firstLine="480"/>
              <w:rPr>
                <w:rFonts w:hint="eastAsia"/>
              </w:rPr>
            </w:pPr>
            <w:r>
              <w:rPr>
                <w:rFonts w:hint="eastAsia"/>
              </w:rPr>
              <w:t>2023年</w:t>
            </w:r>
            <w:r>
              <w:rPr>
                <w:rFonts w:hint="eastAsia"/>
                <w:lang w:val="en-US"/>
              </w:rPr>
              <w:t>5</w:t>
            </w:r>
            <w:r>
              <w:rPr>
                <w:rFonts w:hint="eastAsia"/>
              </w:rPr>
              <w:t>月</w:t>
            </w:r>
            <w:r>
              <w:rPr>
                <w:rFonts w:hint="eastAsia"/>
                <w:lang w:val="en-US"/>
              </w:rPr>
              <w:t>10</w:t>
            </w:r>
            <w:r>
              <w:rPr>
                <w:rFonts w:hint="eastAsia"/>
              </w:rPr>
              <w:t>日，曲靖市人民政府印发《曲靖市人民政府办公室关于印发曲靖市绿色能源发展“十四五”规划的通知》（</w:t>
            </w:r>
            <w:r>
              <w:rPr>
                <w:rFonts w:hint="eastAsia"/>
                <w:lang w:val="en-US"/>
              </w:rPr>
              <w:t>曲</w:t>
            </w:r>
            <w:r>
              <w:rPr>
                <w:rFonts w:hint="eastAsia"/>
              </w:rPr>
              <w:t>政办发〔2023〕</w:t>
            </w:r>
            <w:r>
              <w:rPr>
                <w:rFonts w:hint="eastAsia"/>
                <w:lang w:val="en-US"/>
              </w:rPr>
              <w:t>28</w:t>
            </w:r>
            <w:r>
              <w:rPr>
                <w:rFonts w:hint="eastAsia"/>
              </w:rPr>
              <w:t>号）。项目与《曲靖市绿色能源发展“十四五”规划》</w:t>
            </w:r>
            <w:r>
              <w:rPr>
                <w:rFonts w:hint="eastAsia"/>
                <w:lang w:val="en-US"/>
              </w:rPr>
              <w:t>中</w:t>
            </w:r>
            <w:r>
              <w:rPr>
                <w:rFonts w:hint="eastAsia"/>
              </w:rPr>
              <w:t>的</w:t>
            </w:r>
            <w:r>
              <w:rPr>
                <w:lang w:val="en-US"/>
              </w:rPr>
              <w:t>第六章</w:t>
            </w:r>
            <w:r>
              <w:rPr>
                <w:rFonts w:hint="eastAsia"/>
                <w:lang w:val="en-US"/>
              </w:rPr>
              <w:t>“</w:t>
            </w:r>
            <w:r>
              <w:rPr>
                <w:lang w:val="en-US"/>
              </w:rPr>
              <w:t>环境影响分析与</w:t>
            </w:r>
            <w:r>
              <w:rPr>
                <w:rFonts w:hint="eastAsia"/>
                <w:lang w:val="en-US"/>
              </w:rPr>
              <w:t>相关</w:t>
            </w:r>
            <w:r>
              <w:rPr>
                <w:lang w:val="en-US"/>
              </w:rPr>
              <w:t>规划</w:t>
            </w:r>
            <w:r>
              <w:rPr>
                <w:rFonts w:hint="eastAsia"/>
                <w:lang w:val="en-US"/>
              </w:rPr>
              <w:t>的</w:t>
            </w:r>
            <w:r>
              <w:rPr>
                <w:lang w:val="en-US"/>
              </w:rPr>
              <w:t>衔接性</w:t>
            </w:r>
            <w:r>
              <w:rPr>
                <w:rFonts w:hint="eastAsia"/>
                <w:lang w:val="en-US"/>
              </w:rPr>
              <w:t>分析”</w:t>
            </w:r>
            <w:r>
              <w:rPr>
                <w:lang w:val="en-US"/>
              </w:rPr>
              <w:t>符合性分析见下表</w:t>
            </w:r>
            <w:r>
              <w:rPr>
                <w:rFonts w:hint="eastAsia"/>
              </w:rPr>
              <w:t>。</w:t>
            </w:r>
          </w:p>
          <w:p w14:paraId="2BE29501">
            <w:pPr>
              <w:pStyle w:val="219"/>
              <w:spacing w:before="0" w:beforeLines="0"/>
              <w:rPr>
                <w:rFonts w:hint="eastAsia"/>
                <w:sz w:val="24"/>
                <w:szCs w:val="24"/>
              </w:rPr>
            </w:pPr>
            <w:r>
              <w:rPr>
                <w:rFonts w:hint="eastAsia"/>
                <w:sz w:val="24"/>
                <w:szCs w:val="24"/>
              </w:rPr>
              <w:t>表1.1.3-1  项目与《通知》环境影响篇章的符合性分析</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4"/>
              <w:gridCol w:w="3178"/>
              <w:gridCol w:w="1019"/>
            </w:tblGrid>
            <w:tr w14:paraId="4FB0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376" w:type="pct"/>
                  <w:vAlign w:val="center"/>
                </w:tcPr>
                <w:p w14:paraId="374D5A23">
                  <w:pPr>
                    <w:pStyle w:val="83"/>
                    <w:spacing w:before="24" w:after="24"/>
                    <w:rPr>
                      <w:b/>
                      <w:bCs/>
                    </w:rPr>
                  </w:pPr>
                  <w:r>
                    <w:rPr>
                      <w:b/>
                      <w:bCs/>
                    </w:rPr>
                    <w:t>规划要求</w:t>
                  </w:r>
                </w:p>
              </w:tc>
              <w:tc>
                <w:tcPr>
                  <w:tcW w:w="1985" w:type="pct"/>
                  <w:vAlign w:val="center"/>
                </w:tcPr>
                <w:p w14:paraId="6B147A91">
                  <w:pPr>
                    <w:pStyle w:val="83"/>
                    <w:spacing w:before="24" w:after="24"/>
                    <w:rPr>
                      <w:b/>
                      <w:bCs/>
                    </w:rPr>
                  </w:pPr>
                  <w:r>
                    <w:rPr>
                      <w:b/>
                      <w:bCs/>
                    </w:rPr>
                    <w:t>项目情况</w:t>
                  </w:r>
                </w:p>
              </w:tc>
              <w:tc>
                <w:tcPr>
                  <w:tcW w:w="637" w:type="pct"/>
                  <w:vAlign w:val="center"/>
                </w:tcPr>
                <w:p w14:paraId="7FBB0963">
                  <w:pPr>
                    <w:pStyle w:val="83"/>
                    <w:spacing w:before="24" w:after="24"/>
                    <w:rPr>
                      <w:b/>
                      <w:bCs/>
                    </w:rPr>
                  </w:pPr>
                  <w:r>
                    <w:rPr>
                      <w:rFonts w:hint="eastAsia"/>
                      <w:b/>
                      <w:bCs/>
                    </w:rPr>
                    <w:t>符合性</w:t>
                  </w:r>
                </w:p>
              </w:tc>
            </w:tr>
            <w:tr w14:paraId="30F9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376" w:type="pct"/>
                  <w:vAlign w:val="center"/>
                </w:tcPr>
                <w:p w14:paraId="41612F4F">
                  <w:pPr>
                    <w:pStyle w:val="83"/>
                    <w:spacing w:beforeLines="0" w:afterLines="0" w:line="240" w:lineRule="auto"/>
                    <w:jc w:val="both"/>
                  </w:pPr>
                  <w:r>
                    <w:rPr>
                      <w:b/>
                      <w:bCs/>
                    </w:rPr>
                    <w:t>（一）发挥规划的指导约束作用。</w:t>
                  </w:r>
                  <w:r>
                    <w:t>发挥能源规划及规划环评的指导约束作用，合理规划项目布局，避让自然资源保护区、风景名胜区等各类资源保护地、集中居民区等环境敏感区，采取工程和生态保护措施，减少树木采伐，及时进行生态修复，降低生态影响。</w:t>
                  </w:r>
                </w:p>
              </w:tc>
              <w:tc>
                <w:tcPr>
                  <w:tcW w:w="1985" w:type="pct"/>
                  <w:vAlign w:val="center"/>
                </w:tcPr>
                <w:p w14:paraId="7E6CF671">
                  <w:pPr>
                    <w:tabs>
                      <w:tab w:val="left" w:pos="1135"/>
                    </w:tabs>
                    <w:suppressAutoHyphens/>
                    <w:overflowPunct w:val="0"/>
                    <w:outlineLvl w:val="1"/>
                  </w:pPr>
                  <w:bookmarkStart w:id="23" w:name="_Toc231571692"/>
                  <w:bookmarkStart w:id="24" w:name="_Toc233036172"/>
                  <w:r>
                    <w:rPr>
                      <w:rStyle w:val="143"/>
                      <w:rFonts w:hint="default" w:ascii="Times New Roman" w:hAnsi="Times New Roman"/>
                      <w:color w:val="auto"/>
                      <w:sz w:val="21"/>
                      <w:szCs w:val="21"/>
                    </w:rPr>
                    <w:t>项目选址符合规划的各项选址原则和要求，在项目设计选址过程中，多次调整光伏与集电线路的用地范围。本项目不涉及环评分类名录中关于光伏项目中要求的环境敏感区（不涉及国家公园、自然保护区、风景名胜区、世界文化和自然遗产地、饮用水水源保护区），以及避让了居住、医疗卫生、文化教育、科研、行政办公为主要功能的区域，以及文物保护单位。在报告表后续的分析以及措施章节对工程提出了各项对大气、噪声、废水、固体废物和电磁辐射的污染防治措施，项目占地以其他草地为主，在光伏场区建设过程中，除了必要的位置，其他地方尽量减少生态破坏，根据提出的措施，能及时在施工期后对占地进行生态修复，降低生态影响。</w:t>
                  </w:r>
                  <w:bookmarkEnd w:id="23"/>
                  <w:bookmarkEnd w:id="24"/>
                </w:p>
              </w:tc>
              <w:tc>
                <w:tcPr>
                  <w:tcW w:w="637" w:type="pct"/>
                  <w:vAlign w:val="center"/>
                </w:tcPr>
                <w:p w14:paraId="195EB5AD">
                  <w:pPr>
                    <w:pStyle w:val="83"/>
                    <w:spacing w:beforeLines="0" w:afterLines="0" w:line="240" w:lineRule="auto"/>
                  </w:pPr>
                  <w:r>
                    <w:rPr>
                      <w:rFonts w:hint="eastAsia"/>
                    </w:rPr>
                    <w:t>符合</w:t>
                  </w:r>
                </w:p>
              </w:tc>
            </w:tr>
            <w:tr w14:paraId="6404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376" w:type="pct"/>
                  <w:vAlign w:val="center"/>
                </w:tcPr>
                <w:p w14:paraId="0128D647">
                  <w:pPr>
                    <w:pStyle w:val="83"/>
                    <w:spacing w:beforeLines="0" w:afterLines="0" w:line="240" w:lineRule="auto"/>
                    <w:jc w:val="both"/>
                    <w:rPr>
                      <w:b/>
                      <w:bCs/>
                    </w:rPr>
                  </w:pPr>
                  <w:r>
                    <w:rPr>
                      <w:b/>
                      <w:bCs/>
                    </w:rPr>
                    <w:t>（二）严格各类能源开发生产的过程控制。</w:t>
                  </w:r>
                  <w:r>
                    <w:t>做好项目建设涉及的生物多样性保护工作，注意避让环境敏感区。加强施工准备、筹建和施工过程中的环境保护。提高电网运行安全稳定水平，降低电磁环境影响。制定矿区生态综合整治目标，严格控制施工占地。加强油气管网生产运营与环境保护。</w:t>
                  </w:r>
                </w:p>
              </w:tc>
              <w:tc>
                <w:tcPr>
                  <w:tcW w:w="1985" w:type="pct"/>
                  <w:vAlign w:val="center"/>
                </w:tcPr>
                <w:p w14:paraId="7766EE54">
                  <w:pPr>
                    <w:pStyle w:val="83"/>
                    <w:adjustRightInd/>
                    <w:snapToGrid/>
                    <w:spacing w:beforeLines="0" w:afterLines="0" w:line="240" w:lineRule="auto"/>
                    <w:jc w:val="both"/>
                  </w:pPr>
                  <w:r>
                    <w:rPr>
                      <w:rFonts w:hint="eastAsia"/>
                    </w:rPr>
                    <w:t>根据</w:t>
                  </w:r>
                  <w:r>
                    <w:rPr>
                      <w:rStyle w:val="143"/>
                      <w:rFonts w:hint="default" w:ascii="Times New Roman" w:hAnsi="Times New Roman"/>
                      <w:color w:val="auto"/>
                      <w:sz w:val="21"/>
                      <w:szCs w:val="21"/>
                    </w:rPr>
                    <w:t>行政主管部门选址意见（附件5</w:t>
                  </w:r>
                  <w:r>
                    <w:rPr>
                      <w:rStyle w:val="143"/>
                      <w:rFonts w:hint="default"/>
                      <w:sz w:val="21"/>
                      <w:szCs w:val="21"/>
                    </w:rPr>
                    <w:t>-附件8</w:t>
                  </w:r>
                  <w:r>
                    <w:rPr>
                      <w:rStyle w:val="143"/>
                      <w:rFonts w:hint="default" w:ascii="Times New Roman" w:hAnsi="Times New Roman"/>
                      <w:color w:val="auto"/>
                      <w:sz w:val="21"/>
                      <w:szCs w:val="21"/>
                    </w:rPr>
                    <w:t>）</w:t>
                  </w:r>
                  <w:r>
                    <w:rPr>
                      <w:rFonts w:hint="eastAsia"/>
                    </w:rPr>
                    <w:t>，项目不涉及</w:t>
                  </w:r>
                  <w:r>
                    <w:rPr>
                      <w:rStyle w:val="143"/>
                      <w:rFonts w:hint="default" w:ascii="Times New Roman" w:hAnsi="Times New Roman"/>
                      <w:color w:val="auto"/>
                      <w:sz w:val="21"/>
                      <w:szCs w:val="21"/>
                    </w:rPr>
                    <w:t>国家公园、自然保护区、风景名胜区、世界文化和自然遗产地、饮用水水源保护区，避让了居住、医疗卫生、文化教育、科研、行政办公为主要功能的区域，以及文物保护单位。</w:t>
                  </w:r>
                </w:p>
                <w:p w14:paraId="618C3000">
                  <w:pPr>
                    <w:pStyle w:val="83"/>
                    <w:topLinePunct/>
                    <w:adjustRightInd/>
                    <w:snapToGrid/>
                    <w:spacing w:beforeLines="0" w:afterLines="0" w:line="240" w:lineRule="auto"/>
                    <w:jc w:val="both"/>
                  </w:pPr>
                  <w:r>
                    <w:rPr>
                      <w:rFonts w:hint="eastAsia"/>
                    </w:rPr>
                    <w:t>在报告表中，提出了优化设计、合理选址，并要求施工期采取对大气、废水、噪声、固废、生态环境等环境保护措施等内容，加强施工期环境保护。</w:t>
                  </w:r>
                </w:p>
                <w:p w14:paraId="046FE63E">
                  <w:pPr>
                    <w:tabs>
                      <w:tab w:val="left" w:pos="1135"/>
                    </w:tabs>
                    <w:suppressAutoHyphens/>
                    <w:overflowPunct w:val="0"/>
                    <w:topLinePunct/>
                    <w:outlineLvl w:val="1"/>
                    <w:rPr>
                      <w:rStyle w:val="143"/>
                      <w:rFonts w:hint="default" w:ascii="Times New Roman" w:hAnsi="Times New Roman"/>
                      <w:color w:val="auto"/>
                      <w:sz w:val="21"/>
                      <w:szCs w:val="21"/>
                    </w:rPr>
                  </w:pPr>
                  <w:bookmarkStart w:id="25" w:name="_Toc231571693"/>
                  <w:bookmarkStart w:id="26" w:name="_Toc233036173"/>
                  <w:r>
                    <w:rPr>
                      <w:rFonts w:hint="eastAsia"/>
                    </w:rPr>
                    <w:t>根据现状监测及类比分析，项目电磁环境现状能够满足《电磁环境控制限值》（</w:t>
                  </w:r>
                  <w:r>
                    <w:t>GB</w:t>
                  </w:r>
                  <w:r>
                    <w:rPr>
                      <w:rFonts w:hint="eastAsia"/>
                    </w:rPr>
                    <w:t xml:space="preserve"> </w:t>
                  </w:r>
                  <w:r>
                    <w:t>8702-2014</w:t>
                  </w:r>
                  <w:r>
                    <w:rPr>
                      <w:rFonts w:hint="eastAsia"/>
                    </w:rPr>
                    <w:t>）相关规定。并在报告中提出了提高电网运行安全稳定水平，降低电磁环境影响等措施。</w:t>
                  </w:r>
                  <w:bookmarkEnd w:id="25"/>
                  <w:bookmarkEnd w:id="26"/>
                </w:p>
              </w:tc>
              <w:tc>
                <w:tcPr>
                  <w:tcW w:w="637" w:type="pct"/>
                  <w:vAlign w:val="center"/>
                </w:tcPr>
                <w:p w14:paraId="63EAB06A">
                  <w:pPr>
                    <w:pStyle w:val="83"/>
                    <w:spacing w:beforeLines="0" w:afterLines="0" w:line="240" w:lineRule="auto"/>
                    <w:rPr>
                      <w:rFonts w:hint="eastAsia"/>
                    </w:rPr>
                  </w:pPr>
                  <w:r>
                    <w:rPr>
                      <w:rFonts w:hint="eastAsia"/>
                    </w:rPr>
                    <w:t>符合</w:t>
                  </w:r>
                </w:p>
              </w:tc>
            </w:tr>
            <w:tr w14:paraId="1EB0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76" w:type="pct"/>
                  <w:vAlign w:val="center"/>
                </w:tcPr>
                <w:p w14:paraId="7716ECFC">
                  <w:pPr>
                    <w:pStyle w:val="83"/>
                    <w:adjustRightInd/>
                    <w:snapToGrid/>
                    <w:spacing w:beforeLines="0" w:afterLines="0" w:line="240" w:lineRule="auto"/>
                    <w:jc w:val="both"/>
                    <w:rPr>
                      <w:b/>
                      <w:bCs/>
                    </w:rPr>
                  </w:pPr>
                  <w:bookmarkStart w:id="27" w:name="bookmark3"/>
                  <w:bookmarkStart w:id="28" w:name="bookmark4"/>
                  <w:r>
                    <w:rPr>
                      <w:b/>
                      <w:bCs/>
                    </w:rPr>
                    <w:t>四、环境影响评价结论</w:t>
                  </w:r>
                  <w:bookmarkEnd w:id="27"/>
                </w:p>
                <w:p w14:paraId="4C4DB8CA">
                  <w:pPr>
                    <w:pStyle w:val="83"/>
                    <w:adjustRightInd/>
                    <w:snapToGrid/>
                    <w:spacing w:beforeLines="0" w:afterLines="0" w:line="240" w:lineRule="auto"/>
                    <w:jc w:val="both"/>
                    <w:rPr>
                      <w:rFonts w:hint="eastAsia" w:ascii="Times New Roman"/>
                    </w:rPr>
                  </w:pPr>
                  <w:r>
                    <w:t>总体来看，规划实施过程中虽然会对环境带来一定压力，但通过相应的预防措施和生态保护策略，可以消除和</w:t>
                  </w:r>
                  <w:r>
                    <w:rPr>
                      <w:rFonts w:ascii="Times New Roman"/>
                    </w:rPr>
                    <w:t>缓解环境保护压力，本规划的环境保护影响在可接受范围内。同时，规划的实施使曲靖能源资源得到了有效利用，使曲靖能源发展更加清洁低碳，经济发展与生态环境更加平衡协调，到2025年，全市预计可再生能源发电量比2020年增加162亿千瓦时，按替代燃煤发电测算，折合节约标准煤493万吨，相应减少二氧化硫年排放约0.54万吨、氮氧化物排放约0.54万吨、烟尘排放约0.16万吨、二氧化碳排放约1213万吨。</w:t>
                  </w:r>
                </w:p>
              </w:tc>
              <w:tc>
                <w:tcPr>
                  <w:tcW w:w="1985" w:type="pct"/>
                  <w:vAlign w:val="center"/>
                </w:tcPr>
                <w:p w14:paraId="13523BDA">
                  <w:pPr>
                    <w:tabs>
                      <w:tab w:val="left" w:pos="1135"/>
                    </w:tabs>
                    <w:suppressAutoHyphens/>
                    <w:overflowPunct w:val="0"/>
                    <w:outlineLvl w:val="1"/>
                    <w:rPr>
                      <w:rFonts w:hint="eastAsia"/>
                    </w:rPr>
                  </w:pPr>
                  <w:bookmarkStart w:id="29" w:name="_Toc233036174"/>
                  <w:bookmarkStart w:id="30" w:name="_Toc231571694"/>
                  <w:r>
                    <w:rPr>
                      <w:rFonts w:hint="eastAsia"/>
                    </w:rPr>
                    <w:t>根据《云南省曲靖市会泽县绿坪村光伏发电项目可行性研究报告》，本项目额定交流容量为50MW，安装直流容量为61.71984MWp，年平均上网电量8531万kW•h。按照火电煤耗（标准煤）每度电耗煤300.7g，建设投运每年可节约标准煤约2.57万t，每年可减少因燃煤造成的废气排放，其中减少</w:t>
                  </w:r>
                  <w:bookmarkStart w:id="31" w:name="OLE_LINK15"/>
                  <w:r>
                    <w:rPr>
                      <w:rFonts w:hint="eastAsia"/>
                    </w:rPr>
                    <w:t>二氧化硫</w:t>
                  </w:r>
                  <w:bookmarkEnd w:id="31"/>
                  <w:r>
                    <w:rPr>
                      <w:rFonts w:hint="eastAsia"/>
                    </w:rPr>
                    <w:t>7.41t，二氧化碳7.35万t，氮氧化合物11.87t，烟尘1.51t，本光伏电站建设环境效益明显。</w:t>
                  </w:r>
                  <w:bookmarkEnd w:id="29"/>
                  <w:bookmarkEnd w:id="30"/>
                </w:p>
              </w:tc>
              <w:tc>
                <w:tcPr>
                  <w:tcW w:w="637" w:type="pct"/>
                  <w:vAlign w:val="center"/>
                </w:tcPr>
                <w:p w14:paraId="583607A8">
                  <w:pPr>
                    <w:pStyle w:val="83"/>
                    <w:spacing w:beforeLines="0" w:afterLines="0" w:line="240" w:lineRule="auto"/>
                    <w:rPr>
                      <w:rFonts w:hint="eastAsia"/>
                    </w:rPr>
                  </w:pPr>
                  <w:r>
                    <w:rPr>
                      <w:rFonts w:hint="eastAsia"/>
                    </w:rPr>
                    <w:t>符合</w:t>
                  </w:r>
                </w:p>
              </w:tc>
            </w:tr>
            <w:tr w14:paraId="4E9F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376" w:type="pct"/>
                  <w:vAlign w:val="center"/>
                </w:tcPr>
                <w:p w14:paraId="71ECAD6C">
                  <w:pPr>
                    <w:pStyle w:val="83"/>
                    <w:spacing w:beforeLines="0" w:afterLines="0" w:line="240" w:lineRule="auto"/>
                    <w:jc w:val="both"/>
                    <w:rPr>
                      <w:b/>
                      <w:bCs/>
                    </w:rPr>
                  </w:pPr>
                  <w:r>
                    <w:rPr>
                      <w:b/>
                      <w:bCs/>
                    </w:rPr>
                    <w:t>五、国土空间规划衔接性评价</w:t>
                  </w:r>
                  <w:bookmarkEnd w:id="28"/>
                </w:p>
                <w:p w14:paraId="44867EE6">
                  <w:pPr>
                    <w:pStyle w:val="83"/>
                    <w:spacing w:beforeLines="0" w:afterLines="0" w:line="240" w:lineRule="auto"/>
                    <w:jc w:val="both"/>
                    <w:rPr>
                      <w:b/>
                      <w:bCs/>
                    </w:rPr>
                  </w:pPr>
                  <w:r>
                    <w:t>本《规划》有关建设项目在推动前需充分衔接国土空间规划</w:t>
                  </w:r>
                  <w:r>
                    <w:rPr>
                      <w:rFonts w:hint="eastAsia"/>
                    </w:rPr>
                    <w:t>“</w:t>
                  </w:r>
                  <w:r>
                    <w:t>三区三线</w:t>
                  </w:r>
                  <w:r>
                    <w:rPr>
                      <w:rFonts w:hint="eastAsia"/>
                    </w:rPr>
                    <w:t>”</w:t>
                  </w:r>
                  <w:r>
                    <w:t>，严格落实国土空间规划管控要求，坚持最严格的耕地保护制度、生态环境保护制度和节约集约用地制度，尽量避让生态保护红线、耕地和永久基本农田，符合国家、省规定且确需占用的，严格按照国家和省有关规定办理。</w:t>
                  </w:r>
                </w:p>
              </w:tc>
              <w:tc>
                <w:tcPr>
                  <w:tcW w:w="1985" w:type="pct"/>
                  <w:vAlign w:val="center"/>
                </w:tcPr>
                <w:p w14:paraId="2E6CBF88">
                  <w:pPr>
                    <w:tabs>
                      <w:tab w:val="left" w:pos="1135"/>
                    </w:tabs>
                    <w:suppressAutoHyphens/>
                    <w:overflowPunct w:val="0"/>
                    <w:outlineLvl w:val="1"/>
                    <w:rPr>
                      <w:rFonts w:hint="eastAsia"/>
                    </w:rPr>
                  </w:pPr>
                  <w:bookmarkStart w:id="32" w:name="_Toc233036175"/>
                  <w:bookmarkStart w:id="33" w:name="_Toc231571695"/>
                  <w:r>
                    <w:rPr>
                      <w:rFonts w:eastAsia="Liberation Serif"/>
                      <w:kern w:val="0"/>
                      <w:szCs w:val="20"/>
                    </w:rPr>
                    <w:t>本项目在《云南省2025年第二批新能源项目建设清单》中，取得《云南省固定资产投资项目备案证》</w:t>
                  </w:r>
                  <w:r>
                    <w:rPr>
                      <w:rFonts w:hint="eastAsia" w:ascii="宋体" w:hAnsi="宋体" w:cs="宋体"/>
                      <w:kern w:val="0"/>
                      <w:szCs w:val="20"/>
                    </w:rPr>
                    <w:t>以及会泽县自然资源局、水务局、林业和草原局、曲靖市生态环境局会泽分局等行政主管部门关于本项目的选址意见</w:t>
                  </w:r>
                  <w:r>
                    <w:rPr>
                      <w:rFonts w:eastAsia="Liberation Serif"/>
                      <w:kern w:val="0"/>
                      <w:szCs w:val="20"/>
                    </w:rPr>
                    <w:t>，</w:t>
                  </w:r>
                  <w:r>
                    <w:t>严格按照国家和省有关规定办理各类手续。</w:t>
                  </w:r>
                  <w:bookmarkEnd w:id="32"/>
                  <w:bookmarkEnd w:id="33"/>
                </w:p>
              </w:tc>
              <w:tc>
                <w:tcPr>
                  <w:tcW w:w="637" w:type="pct"/>
                  <w:vAlign w:val="center"/>
                </w:tcPr>
                <w:p w14:paraId="48E05107">
                  <w:pPr>
                    <w:pStyle w:val="83"/>
                    <w:spacing w:beforeLines="0" w:afterLines="0" w:line="240" w:lineRule="auto"/>
                    <w:rPr>
                      <w:rFonts w:hint="eastAsia"/>
                    </w:rPr>
                  </w:pPr>
                  <w:r>
                    <w:rPr>
                      <w:rFonts w:hint="eastAsia"/>
                    </w:rPr>
                    <w:t>符合</w:t>
                  </w:r>
                </w:p>
              </w:tc>
            </w:tr>
          </w:tbl>
          <w:p w14:paraId="0A2C8CD0">
            <w:pPr>
              <w:pStyle w:val="212"/>
              <w:topLinePunct/>
              <w:ind w:firstLine="480"/>
              <w:rPr>
                <w:rFonts w:hint="eastAsia"/>
              </w:rPr>
            </w:pPr>
            <w:r>
              <w:rPr>
                <w:rFonts w:hint="eastAsia"/>
                <w:lang w:val="en-US"/>
              </w:rPr>
              <w:t>综上</w:t>
            </w:r>
            <w:r>
              <w:rPr>
                <w:rFonts w:hint="eastAsia"/>
              </w:rPr>
              <w:t>，</w:t>
            </w:r>
            <w:r>
              <w:rPr>
                <w:rFonts w:hint="eastAsia"/>
                <w:lang w:val="en-US"/>
              </w:rPr>
              <w:t>本</w:t>
            </w:r>
            <w:r>
              <w:rPr>
                <w:rFonts w:hint="eastAsia"/>
              </w:rPr>
              <w:t>项目</w:t>
            </w:r>
            <w:r>
              <w:rPr>
                <w:rFonts w:hint="eastAsia"/>
                <w:lang w:val="en-US"/>
              </w:rPr>
              <w:t>符合</w:t>
            </w:r>
            <w:r>
              <w:rPr>
                <w:rFonts w:hint="eastAsia"/>
              </w:rPr>
              <w:t>《云南省绿色能源发展“十四五”规划》</w:t>
            </w:r>
            <w:r>
              <w:rPr>
                <w:rFonts w:hint="eastAsia"/>
                <w:lang w:val="en-US"/>
              </w:rPr>
              <w:t>与《曲靖市绿色能源发展“十四五”规划》</w:t>
            </w:r>
            <w:r>
              <w:rPr>
                <w:rFonts w:hint="eastAsia"/>
              </w:rPr>
              <w:t>中的</w:t>
            </w:r>
            <w:r>
              <w:rPr>
                <w:rFonts w:hint="eastAsia"/>
                <w:lang w:val="en-US"/>
              </w:rPr>
              <w:t>相关</w:t>
            </w:r>
            <w:r>
              <w:rPr>
                <w:rFonts w:hint="eastAsia"/>
              </w:rPr>
              <w:t>要求。在选址及立项阶段，项目选址符合规划中避开</w:t>
            </w:r>
            <w:r>
              <w:rPr>
                <w:rFonts w:hint="eastAsia"/>
                <w:lang w:val="en-US"/>
              </w:rPr>
              <w:t>了</w:t>
            </w:r>
            <w:r>
              <w:rPr>
                <w:rFonts w:hint="eastAsia"/>
              </w:rPr>
              <w:t>相关环境敏感区，并且取得了会泽县自然资源局、水务局、林业和草原局、曲靖市生态环境局会泽分局等行政主管部门关于本项目的选址意见，并在项目进行前按照要求办理相关手续。</w:t>
            </w:r>
          </w:p>
        </w:tc>
      </w:tr>
      <w:tr w14:paraId="79C986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27" w:hRule="atLeast"/>
        </w:trPr>
        <w:tc>
          <w:tcPr>
            <w:tcW w:w="561" w:type="pct"/>
            <w:noWrap/>
            <w:tcMar>
              <w:top w:w="16" w:type="dxa"/>
              <w:left w:w="16" w:type="dxa"/>
              <w:right w:w="16" w:type="dxa"/>
            </w:tcMar>
            <w:vAlign w:val="center"/>
          </w:tcPr>
          <w:p w14:paraId="239503EE">
            <w:pPr>
              <w:autoSpaceDE w:val="0"/>
              <w:autoSpaceDN w:val="0"/>
              <w:adjustRightInd w:val="0"/>
              <w:snapToGrid w:val="0"/>
              <w:jc w:val="center"/>
              <w:rPr>
                <w:kern w:val="0"/>
                <w:sz w:val="24"/>
              </w:rPr>
            </w:pPr>
            <w:bookmarkStart w:id="34" w:name="_Hlk56690880"/>
            <w:r>
              <w:rPr>
                <w:kern w:val="0"/>
                <w:sz w:val="24"/>
              </w:rPr>
              <w:t>其他符合性分析</w:t>
            </w:r>
          </w:p>
        </w:tc>
        <w:tc>
          <w:tcPr>
            <w:tcW w:w="4438" w:type="pct"/>
            <w:gridSpan w:val="3"/>
            <w:noWrap/>
            <w:tcMar>
              <w:top w:w="16" w:type="dxa"/>
              <w:left w:w="16" w:type="dxa"/>
              <w:right w:w="16" w:type="dxa"/>
            </w:tcMar>
            <w:vAlign w:val="center"/>
          </w:tcPr>
          <w:p w14:paraId="3C71D0B2">
            <w:pPr>
              <w:pStyle w:val="73"/>
              <w:keepNext w:val="0"/>
              <w:keepLines w:val="0"/>
              <w:jc w:val="both"/>
              <w:rPr>
                <w:rFonts w:hint="eastAsia"/>
                <w:kern w:val="2"/>
                <w:sz w:val="24"/>
                <w:szCs w:val="24"/>
              </w:rPr>
            </w:pPr>
            <w:r>
              <w:rPr>
                <w:rFonts w:hint="eastAsia"/>
                <w:sz w:val="24"/>
              </w:rPr>
              <w:t xml:space="preserve">1.2 </w:t>
            </w:r>
            <w:r>
              <w:rPr>
                <w:sz w:val="24"/>
              </w:rPr>
              <w:t>其他符合性分析</w:t>
            </w:r>
          </w:p>
          <w:p w14:paraId="167332AA">
            <w:pPr>
              <w:pStyle w:val="73"/>
              <w:keepNext w:val="0"/>
              <w:keepLines w:val="0"/>
              <w:jc w:val="both"/>
              <w:rPr>
                <w:kern w:val="2"/>
                <w:sz w:val="24"/>
                <w:szCs w:val="24"/>
              </w:rPr>
            </w:pPr>
            <w:r>
              <w:rPr>
                <w:rFonts w:hint="eastAsia"/>
                <w:kern w:val="2"/>
                <w:sz w:val="24"/>
                <w:szCs w:val="24"/>
              </w:rPr>
              <w:t>1.2.</w:t>
            </w:r>
            <w:r>
              <w:rPr>
                <w:kern w:val="2"/>
                <w:sz w:val="24"/>
                <w:szCs w:val="24"/>
              </w:rPr>
              <w:t>1</w:t>
            </w:r>
            <w:r>
              <w:rPr>
                <w:rFonts w:hint="eastAsia"/>
                <w:kern w:val="2"/>
                <w:sz w:val="24"/>
                <w:szCs w:val="24"/>
              </w:rPr>
              <w:t xml:space="preserve"> </w:t>
            </w:r>
            <w:r>
              <w:rPr>
                <w:kern w:val="2"/>
                <w:sz w:val="24"/>
                <w:szCs w:val="24"/>
              </w:rPr>
              <w:t>产业结构符合性分析</w:t>
            </w:r>
          </w:p>
          <w:p w14:paraId="1118FE13">
            <w:pPr>
              <w:pStyle w:val="23"/>
              <w:topLinePunct/>
              <w:spacing w:line="360" w:lineRule="auto"/>
              <w:ind w:left="0" w:leftChars="0" w:firstLine="480" w:firstLineChars="200"/>
              <w:rPr>
                <w:sz w:val="24"/>
                <w:szCs w:val="24"/>
              </w:rPr>
            </w:pPr>
            <w:r>
              <w:rPr>
                <w:sz w:val="24"/>
                <w:szCs w:val="24"/>
              </w:rPr>
              <w:t>本项目为光伏电站建设，对照</w:t>
            </w:r>
            <w:r>
              <w:rPr>
                <w:rFonts w:hint="eastAsia"/>
                <w:sz w:val="24"/>
                <w:szCs w:val="24"/>
              </w:rPr>
              <w:t>《产业结构调整指导目录（2024年本）》</w:t>
            </w:r>
            <w:r>
              <w:rPr>
                <w:sz w:val="24"/>
                <w:szCs w:val="24"/>
              </w:rPr>
              <w:t>，项目属于鼓励类</w:t>
            </w:r>
            <w:r>
              <w:rPr>
                <w:rFonts w:hint="eastAsia"/>
                <w:sz w:val="24"/>
                <w:szCs w:val="24"/>
              </w:rPr>
              <w:t>“</w:t>
            </w:r>
            <w:r>
              <w:rPr>
                <w:sz w:val="24"/>
                <w:szCs w:val="24"/>
              </w:rPr>
              <w:t>五、新能源</w:t>
            </w:r>
            <w:r>
              <w:rPr>
                <w:rFonts w:hint="eastAsia"/>
                <w:sz w:val="24"/>
                <w:szCs w:val="24"/>
              </w:rPr>
              <w:t>”</w:t>
            </w:r>
            <w:r>
              <w:rPr>
                <w:sz w:val="24"/>
                <w:szCs w:val="24"/>
              </w:rPr>
              <w:t>中</w:t>
            </w:r>
            <w:r>
              <w:rPr>
                <w:rFonts w:hint="eastAsia"/>
                <w:sz w:val="24"/>
                <w:szCs w:val="24"/>
              </w:rPr>
              <w:t>“</w:t>
            </w:r>
            <w:r>
              <w:rPr>
                <w:sz w:val="24"/>
                <w:szCs w:val="24"/>
              </w:rPr>
              <w:t>可再生能源利用技术与应用</w:t>
            </w:r>
            <w:r>
              <w:rPr>
                <w:rFonts w:hint="eastAsia"/>
                <w:sz w:val="24"/>
                <w:szCs w:val="24"/>
              </w:rPr>
              <w:t>”</w:t>
            </w:r>
            <w:r>
              <w:rPr>
                <w:sz w:val="24"/>
                <w:szCs w:val="24"/>
              </w:rPr>
              <w:t>，属于鼓励类项目。同时，项目于2025年11月25日取得了投资备案证（项目代码为：2511-530326-04-05-844717）。因此，项目建设符合国家产业政策。</w:t>
            </w:r>
          </w:p>
          <w:p w14:paraId="6AAE3D9C">
            <w:pPr>
              <w:pStyle w:val="73"/>
              <w:keepNext w:val="0"/>
              <w:keepLines w:val="0"/>
              <w:jc w:val="both"/>
              <w:rPr>
                <w:kern w:val="2"/>
                <w:sz w:val="24"/>
                <w:szCs w:val="24"/>
              </w:rPr>
            </w:pPr>
            <w:r>
              <w:rPr>
                <w:rFonts w:hint="eastAsia"/>
                <w:kern w:val="2"/>
                <w:sz w:val="24"/>
                <w:szCs w:val="24"/>
              </w:rPr>
              <w:t xml:space="preserve">1.2.2 </w:t>
            </w:r>
            <w:r>
              <w:rPr>
                <w:kern w:val="2"/>
                <w:sz w:val="24"/>
                <w:szCs w:val="24"/>
              </w:rPr>
              <w:t>与</w:t>
            </w:r>
            <w:r>
              <w:rPr>
                <w:rFonts w:hint="eastAsia"/>
                <w:kern w:val="2"/>
                <w:sz w:val="24"/>
                <w:szCs w:val="24"/>
              </w:rPr>
              <w:t>曲靖市“三线一单”</w:t>
            </w:r>
            <w:r>
              <w:rPr>
                <w:kern w:val="2"/>
                <w:sz w:val="24"/>
                <w:szCs w:val="24"/>
              </w:rPr>
              <w:t>的符合性分析</w:t>
            </w:r>
          </w:p>
          <w:p w14:paraId="792E6781">
            <w:pPr>
              <w:spacing w:line="360" w:lineRule="auto"/>
              <w:ind w:firstLine="480" w:firstLineChars="200"/>
              <w:rPr>
                <w:snapToGrid w:val="0"/>
                <w:color w:val="000000"/>
                <w:kern w:val="0"/>
                <w:sz w:val="24"/>
              </w:rPr>
            </w:pPr>
            <w:r>
              <w:rPr>
                <w:sz w:val="24"/>
                <w:szCs w:val="24"/>
              </w:rPr>
              <w:t>2021年7月30日，曲靖市人民政府以曲政发〔2021〕27号文印发了曲靖市“三线一单”生态环境分区管控实施方案。2024年7月15日，曲靖市生态环境局印发了</w:t>
            </w:r>
            <w:r>
              <w:rPr>
                <w:snapToGrid w:val="0"/>
                <w:color w:val="000000"/>
                <w:kern w:val="0"/>
                <w:sz w:val="24"/>
              </w:rPr>
              <w:t>《曲靖市生态环境分区管控动态更新调整方案（2023年）》，全市共划定91个环境管控单元。其中，优先保护单元27个，重点管控单元55个，一般管控单元9个，会泽县优先保护单元3个，重点管控单元6个，一般管控单元1个。根据“云南省生态环境分区管控公共服务查询平台”查询，本项目涉及的管控单元见表1.2.2-1，项目与涉及的区域管控要求的符合性见表1.2.2-2，环境管控单元准入要求的符合性见表1.2.2-3，项目与曲靖市环境管控单元分类图叠图见图1.2.2-1。</w:t>
            </w:r>
          </w:p>
          <w:p w14:paraId="11B2BC22">
            <w:pPr>
              <w:pStyle w:val="219"/>
              <w:spacing w:before="0" w:beforeLines="0"/>
              <w:rPr>
                <w:rFonts w:hint="eastAsia"/>
                <w:sz w:val="24"/>
                <w:szCs w:val="24"/>
              </w:rPr>
            </w:pPr>
            <w:r>
              <w:rPr>
                <w:rFonts w:hint="eastAsia"/>
                <w:sz w:val="24"/>
                <w:szCs w:val="24"/>
              </w:rPr>
              <w:t>表1.2.2-1  项目涉及</w:t>
            </w:r>
            <w:r>
              <w:rPr>
                <w:sz w:val="24"/>
                <w:szCs w:val="24"/>
              </w:rPr>
              <w:t>的生态环境分区</w:t>
            </w:r>
            <w:r>
              <w:rPr>
                <w:rFonts w:hint="eastAsia"/>
                <w:sz w:val="24"/>
                <w:szCs w:val="24"/>
              </w:rPr>
              <w:t>管控单元一览表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947"/>
              <w:gridCol w:w="3874"/>
              <w:gridCol w:w="1519"/>
            </w:tblGrid>
            <w:tr w14:paraId="079A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4" w:type="dxa"/>
                  <w:vAlign w:val="center"/>
                </w:tcPr>
                <w:p w14:paraId="0C0EC9C6">
                  <w:pPr>
                    <w:jc w:val="left"/>
                    <w:rPr>
                      <w:b/>
                      <w:bCs/>
                    </w:rPr>
                  </w:pPr>
                  <w:r>
                    <w:rPr>
                      <w:b/>
                      <w:bCs/>
                    </w:rPr>
                    <w:t>序号</w:t>
                  </w:r>
                </w:p>
              </w:tc>
              <w:tc>
                <w:tcPr>
                  <w:tcW w:w="1809" w:type="dxa"/>
                  <w:vAlign w:val="center"/>
                </w:tcPr>
                <w:p w14:paraId="088E9861">
                  <w:pPr>
                    <w:jc w:val="center"/>
                    <w:rPr>
                      <w:b/>
                      <w:bCs/>
                    </w:rPr>
                  </w:pPr>
                  <w:r>
                    <w:rPr>
                      <w:b/>
                      <w:bCs/>
                    </w:rPr>
                    <w:t>环境管控单元编码</w:t>
                  </w:r>
                </w:p>
              </w:tc>
              <w:tc>
                <w:tcPr>
                  <w:tcW w:w="3600" w:type="dxa"/>
                  <w:vAlign w:val="center"/>
                </w:tcPr>
                <w:p w14:paraId="08E67ED8">
                  <w:pPr>
                    <w:jc w:val="center"/>
                    <w:rPr>
                      <w:b/>
                      <w:bCs/>
                    </w:rPr>
                  </w:pPr>
                  <w:r>
                    <w:rPr>
                      <w:b/>
                      <w:bCs/>
                    </w:rPr>
                    <w:t>环境管控单元名称</w:t>
                  </w:r>
                </w:p>
              </w:tc>
              <w:tc>
                <w:tcPr>
                  <w:tcW w:w="1411" w:type="dxa"/>
                  <w:vAlign w:val="center"/>
                </w:tcPr>
                <w:p w14:paraId="18FD84FC">
                  <w:pPr>
                    <w:jc w:val="center"/>
                    <w:rPr>
                      <w:b/>
                      <w:bCs/>
                    </w:rPr>
                  </w:pPr>
                  <w:r>
                    <w:rPr>
                      <w:b/>
                      <w:bCs/>
                    </w:rPr>
                    <w:t>管控单元类型</w:t>
                  </w:r>
                </w:p>
              </w:tc>
            </w:tr>
            <w:tr w14:paraId="1A184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4" w:type="dxa"/>
                  <w:vAlign w:val="center"/>
                </w:tcPr>
                <w:p w14:paraId="17F638EA">
                  <w:pPr>
                    <w:jc w:val="center"/>
                  </w:pPr>
                  <w:r>
                    <w:t>1</w:t>
                  </w:r>
                </w:p>
              </w:tc>
              <w:tc>
                <w:tcPr>
                  <w:tcW w:w="1809" w:type="dxa"/>
                  <w:vAlign w:val="center"/>
                </w:tcPr>
                <w:p w14:paraId="4471EC17">
                  <w:pPr>
                    <w:jc w:val="center"/>
                  </w:pPr>
                  <w:r>
                    <w:rPr>
                      <w:lang w:eastAsia="en-US"/>
                    </w:rPr>
                    <w:t>ZH53032610002</w:t>
                  </w:r>
                </w:p>
              </w:tc>
              <w:tc>
                <w:tcPr>
                  <w:tcW w:w="3600" w:type="dxa"/>
                  <w:vAlign w:val="center"/>
                </w:tcPr>
                <w:p w14:paraId="2FD0D837">
                  <w:pPr>
                    <w:jc w:val="center"/>
                  </w:pPr>
                  <w:r>
                    <w:t>会泽县一般生态空间优先保护单元</w:t>
                  </w:r>
                </w:p>
              </w:tc>
              <w:tc>
                <w:tcPr>
                  <w:tcW w:w="1411" w:type="dxa"/>
                  <w:vAlign w:val="center"/>
                </w:tcPr>
                <w:p w14:paraId="0C9A3BEA">
                  <w:pPr>
                    <w:jc w:val="center"/>
                  </w:pPr>
                  <w:r>
                    <w:rPr>
                      <w:lang w:eastAsia="en-US"/>
                    </w:rPr>
                    <w:t>优先保护单元</w:t>
                  </w:r>
                </w:p>
              </w:tc>
            </w:tr>
            <w:tr w14:paraId="555A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4" w:type="dxa"/>
                  <w:vAlign w:val="center"/>
                </w:tcPr>
                <w:p w14:paraId="11F7649F">
                  <w:pPr>
                    <w:jc w:val="center"/>
                  </w:pPr>
                  <w:r>
                    <w:t>2</w:t>
                  </w:r>
                </w:p>
              </w:tc>
              <w:tc>
                <w:tcPr>
                  <w:tcW w:w="1809" w:type="dxa"/>
                  <w:vAlign w:val="center"/>
                </w:tcPr>
                <w:p w14:paraId="55FC7248">
                  <w:pPr>
                    <w:jc w:val="center"/>
                  </w:pPr>
                  <w:r>
                    <w:t>ZH53032620003</w:t>
                  </w:r>
                </w:p>
              </w:tc>
              <w:tc>
                <w:tcPr>
                  <w:tcW w:w="3600" w:type="dxa"/>
                  <w:vAlign w:val="center"/>
                </w:tcPr>
                <w:p w14:paraId="7187CF56">
                  <w:pPr>
                    <w:jc w:val="center"/>
                  </w:pPr>
                  <w:r>
                    <w:t>会泽县矿产资源重点管控单元</w:t>
                  </w:r>
                </w:p>
              </w:tc>
              <w:tc>
                <w:tcPr>
                  <w:tcW w:w="1411" w:type="dxa"/>
                  <w:vAlign w:val="center"/>
                </w:tcPr>
                <w:p w14:paraId="307F1061">
                  <w:pPr>
                    <w:jc w:val="center"/>
                  </w:pPr>
                  <w:r>
                    <w:t>重点管控单元</w:t>
                  </w:r>
                </w:p>
              </w:tc>
            </w:tr>
            <w:tr w14:paraId="3058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14" w:type="dxa"/>
                  <w:vAlign w:val="center"/>
                </w:tcPr>
                <w:p w14:paraId="57B9C3B1">
                  <w:pPr>
                    <w:jc w:val="center"/>
                  </w:pPr>
                  <w:r>
                    <w:t>3</w:t>
                  </w:r>
                </w:p>
              </w:tc>
              <w:tc>
                <w:tcPr>
                  <w:tcW w:w="1809" w:type="dxa"/>
                  <w:vAlign w:val="center"/>
                </w:tcPr>
                <w:p w14:paraId="3C1D614A">
                  <w:pPr>
                    <w:jc w:val="center"/>
                  </w:pPr>
                  <w:r>
                    <w:t>ZH53032630001</w:t>
                  </w:r>
                </w:p>
              </w:tc>
              <w:tc>
                <w:tcPr>
                  <w:tcW w:w="3600" w:type="dxa"/>
                  <w:vAlign w:val="center"/>
                </w:tcPr>
                <w:p w14:paraId="17D0AF4E">
                  <w:pPr>
                    <w:jc w:val="center"/>
                  </w:pPr>
                  <w:r>
                    <w:t>会泽县一般管控单元</w:t>
                  </w:r>
                </w:p>
              </w:tc>
              <w:tc>
                <w:tcPr>
                  <w:tcW w:w="1411" w:type="dxa"/>
                  <w:vAlign w:val="center"/>
                </w:tcPr>
                <w:p w14:paraId="3FF5C8DE">
                  <w:pPr>
                    <w:jc w:val="center"/>
                  </w:pPr>
                  <w:r>
                    <w:t>一般管控单元</w:t>
                  </w:r>
                </w:p>
              </w:tc>
            </w:tr>
          </w:tbl>
          <w:p w14:paraId="130D7A05">
            <w:pPr>
              <w:widowControl/>
              <w:spacing w:before="100" w:beforeAutospacing="1" w:after="100" w:afterAutospacing="1"/>
              <w:jc w:val="center"/>
              <w:rPr>
                <w:rFonts w:ascii="宋体" w:hAnsi="宋体" w:cs="宋体"/>
                <w:kern w:val="0"/>
                <w:sz w:val="24"/>
                <w:szCs w:val="24"/>
              </w:rPr>
            </w:pPr>
            <w:r>
              <w:rPr>
                <w:rFonts w:ascii="宋体" w:hAnsi="宋体" w:cs="宋体"/>
                <w:kern w:val="0"/>
                <w:sz w:val="24"/>
                <w:szCs w:val="24"/>
              </w:rPr>
              <w:drawing>
                <wp:inline distT="0" distB="0" distL="0" distR="0">
                  <wp:extent cx="4891405" cy="580580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891405" cy="5805805"/>
                          </a:xfrm>
                          <a:prstGeom prst="rect">
                            <a:avLst/>
                          </a:prstGeom>
                          <a:noFill/>
                          <a:ln>
                            <a:noFill/>
                          </a:ln>
                        </pic:spPr>
                      </pic:pic>
                    </a:graphicData>
                  </a:graphic>
                </wp:inline>
              </w:drawing>
            </w:r>
          </w:p>
          <w:p w14:paraId="510BA6EC">
            <w:pPr>
              <w:pStyle w:val="219"/>
              <w:spacing w:before="120"/>
              <w:ind w:firstLine="480"/>
              <w:rPr>
                <w:rFonts w:hint="eastAsia"/>
                <w:sz w:val="24"/>
                <w:szCs w:val="24"/>
              </w:rPr>
            </w:pPr>
            <w:r>
              <w:rPr>
                <w:rFonts w:hint="eastAsia"/>
                <w:sz w:val="24"/>
                <w:szCs w:val="24"/>
              </w:rPr>
              <w:t>图1.2.2-</w:t>
            </w:r>
            <w:r>
              <w:rPr>
                <w:sz w:val="24"/>
                <w:szCs w:val="24"/>
              </w:rPr>
              <w:t>1</w:t>
            </w:r>
            <w:r>
              <w:rPr>
                <w:rFonts w:hint="eastAsia"/>
                <w:sz w:val="24"/>
                <w:szCs w:val="24"/>
              </w:rPr>
              <w:t xml:space="preserve">  项目与曲靖市环境管控单元分类图叠图</w:t>
            </w:r>
          </w:p>
          <w:p w14:paraId="0733DBAA">
            <w:pPr>
              <w:spacing w:line="360" w:lineRule="auto"/>
              <w:ind w:firstLine="480" w:firstLineChars="200"/>
              <w:rPr>
                <w:sz w:val="24"/>
                <w:szCs w:val="24"/>
              </w:rPr>
            </w:pPr>
            <w:r>
              <w:rPr>
                <w:rFonts w:hint="eastAsia"/>
                <w:sz w:val="24"/>
                <w:szCs w:val="24"/>
              </w:rPr>
              <w:t>（1）生态保护红线</w:t>
            </w:r>
          </w:p>
          <w:p w14:paraId="78A940E8">
            <w:pPr>
              <w:spacing w:line="360" w:lineRule="auto"/>
              <w:ind w:firstLine="480" w:firstLineChars="200"/>
              <w:rPr>
                <w:sz w:val="24"/>
                <w:szCs w:val="24"/>
              </w:rPr>
            </w:pPr>
            <w:r>
              <w:rPr>
                <w:rFonts w:hint="eastAsia"/>
                <w:sz w:val="24"/>
                <w:szCs w:val="24"/>
              </w:rPr>
              <w:t>2022年10月14日，自然资源部启用云南省“三区三线”划定成果，根据会泽县自然资源局关于云南省曲靖市会泽县绿坪村光伏发电项目查询的情况说明，本项目不涉及生态保护红线，本项目</w:t>
            </w:r>
            <w:bookmarkStart w:id="35" w:name="OLE_LINK86"/>
            <w:r>
              <w:rPr>
                <w:rFonts w:hint="eastAsia"/>
                <w:sz w:val="24"/>
                <w:szCs w:val="24"/>
              </w:rPr>
              <w:t>集电线路无害化跨越“金沙江下游-小江流域水土流失控制生态保护红线”约877m，</w:t>
            </w:r>
            <w:bookmarkEnd w:id="35"/>
            <w:r>
              <w:rPr>
                <w:rFonts w:hint="eastAsia"/>
                <w:sz w:val="24"/>
                <w:szCs w:val="24"/>
              </w:rPr>
              <w:t>属于对生态功能不造成破坏的有限人为活动（县级以上国土空间规划的基础设施）。架空线路塔基不占用生态保护红线，集电线路跨越生态保护红线不会造成红线区域的生态分割，不会对其水源涵养、水土保持功能产生不利影响，也不会引发土流失。</w:t>
            </w:r>
          </w:p>
          <w:p w14:paraId="7FF3F443">
            <w:pPr>
              <w:spacing w:line="360" w:lineRule="auto"/>
              <w:ind w:firstLine="480" w:firstLineChars="200"/>
              <w:rPr>
                <w:sz w:val="24"/>
                <w:szCs w:val="24"/>
              </w:rPr>
            </w:pPr>
            <w:r>
              <w:rPr>
                <w:rFonts w:hint="eastAsia"/>
                <w:sz w:val="24"/>
                <w:szCs w:val="24"/>
              </w:rPr>
              <w:t>（2）环境质量底线</w:t>
            </w:r>
          </w:p>
          <w:p w14:paraId="22EB65FE">
            <w:pPr>
              <w:spacing w:line="360" w:lineRule="auto"/>
              <w:ind w:firstLine="480" w:firstLineChars="200"/>
              <w:rPr>
                <w:sz w:val="24"/>
                <w:szCs w:val="24"/>
              </w:rPr>
            </w:pPr>
            <w:r>
              <w:rPr>
                <w:rFonts w:hint="eastAsia"/>
                <w:sz w:val="24"/>
                <w:szCs w:val="24"/>
              </w:rPr>
              <w:t>①水环境质量底线</w:t>
            </w:r>
          </w:p>
          <w:p w14:paraId="5EFE687E">
            <w:pPr>
              <w:spacing w:line="360" w:lineRule="auto"/>
              <w:ind w:firstLine="480" w:firstLineChars="200"/>
              <w:rPr>
                <w:sz w:val="24"/>
                <w:szCs w:val="24"/>
              </w:rPr>
            </w:pPr>
            <w:r>
              <w:rPr>
                <w:sz w:val="24"/>
                <w:szCs w:val="24"/>
              </w:rPr>
              <w:t>到2035年，全市地表水体水质优良率全面提升，各监测断面水质达到水环境功能要求，消除劣Ⅴ类水体，集中式饮用水水源地水质稳定达标。</w:t>
            </w:r>
          </w:p>
          <w:p w14:paraId="5DAF5750">
            <w:pPr>
              <w:spacing w:line="360" w:lineRule="auto"/>
              <w:ind w:firstLine="480" w:firstLineChars="200"/>
              <w:rPr>
                <w:sz w:val="24"/>
                <w:szCs w:val="24"/>
              </w:rPr>
            </w:pPr>
            <w:r>
              <w:rPr>
                <w:rFonts w:hint="eastAsia"/>
                <w:sz w:val="24"/>
                <w:szCs w:val="24"/>
              </w:rPr>
              <w:t>本项目施工期和运营期，废水均处理后回用，无废水外排至水环境，对区域水环境影响较小，不会突破区域水环境质量底线。</w:t>
            </w:r>
          </w:p>
          <w:p w14:paraId="11F0F4CC">
            <w:pPr>
              <w:spacing w:line="360" w:lineRule="auto"/>
              <w:ind w:firstLine="480" w:firstLineChars="200"/>
              <w:rPr>
                <w:sz w:val="24"/>
                <w:szCs w:val="24"/>
              </w:rPr>
            </w:pPr>
            <w:r>
              <w:rPr>
                <w:rFonts w:hint="eastAsia"/>
                <w:sz w:val="24"/>
                <w:szCs w:val="24"/>
              </w:rPr>
              <w:t>②大气环境质量底线</w:t>
            </w:r>
          </w:p>
          <w:p w14:paraId="2C556A44">
            <w:pPr>
              <w:spacing w:line="360" w:lineRule="auto"/>
              <w:ind w:firstLine="480" w:firstLineChars="200"/>
              <w:rPr>
                <w:sz w:val="24"/>
                <w:szCs w:val="24"/>
              </w:rPr>
            </w:pPr>
            <w:r>
              <w:rPr>
                <w:rFonts w:hint="eastAsia"/>
                <w:sz w:val="24"/>
                <w:szCs w:val="24"/>
              </w:rPr>
              <w:t>到2035年，环境空气质量全面改善，中心城市和各县（市、区）环境空气质量稳定达到国家二级标准。</w:t>
            </w:r>
          </w:p>
          <w:p w14:paraId="7396E3AF">
            <w:pPr>
              <w:spacing w:line="360" w:lineRule="auto"/>
              <w:ind w:firstLine="480" w:firstLineChars="200"/>
              <w:rPr>
                <w:sz w:val="24"/>
                <w:szCs w:val="24"/>
              </w:rPr>
            </w:pPr>
            <w:r>
              <w:rPr>
                <w:rFonts w:hint="eastAsia"/>
                <w:sz w:val="24"/>
                <w:szCs w:val="24"/>
              </w:rPr>
              <w:t>本项目的建设实施，施工期间产生的扬尘采取相应的防尘措施，能减小对环境的影响，且影响时间短，对区域大气环境影响小，不会突破区域大气环境质量底线。</w:t>
            </w:r>
          </w:p>
          <w:p w14:paraId="70188ED3">
            <w:pPr>
              <w:spacing w:line="360" w:lineRule="auto"/>
              <w:ind w:firstLine="480" w:firstLineChars="200"/>
              <w:rPr>
                <w:sz w:val="24"/>
                <w:szCs w:val="24"/>
              </w:rPr>
            </w:pPr>
            <w:r>
              <w:rPr>
                <w:rFonts w:hint="eastAsia"/>
                <w:sz w:val="24"/>
                <w:szCs w:val="24"/>
              </w:rPr>
              <w:t>③土壤环境风险防控底线</w:t>
            </w:r>
          </w:p>
          <w:p w14:paraId="165A5873">
            <w:pPr>
              <w:spacing w:line="360" w:lineRule="auto"/>
              <w:ind w:firstLine="480" w:firstLineChars="200"/>
              <w:rPr>
                <w:sz w:val="24"/>
                <w:szCs w:val="24"/>
              </w:rPr>
            </w:pPr>
            <w:r>
              <w:rPr>
                <w:rFonts w:hint="eastAsia"/>
                <w:sz w:val="24"/>
                <w:szCs w:val="24"/>
              </w:rPr>
              <w:t>到2035年，全市土壤环境质量稳中向好，农用地和建设用地土壤环境安全得到有效保障，土壤环境风险得到全面管控。</w:t>
            </w:r>
          </w:p>
          <w:p w14:paraId="7935B725">
            <w:pPr>
              <w:spacing w:line="360" w:lineRule="auto"/>
              <w:ind w:firstLine="480" w:firstLineChars="200"/>
              <w:rPr>
                <w:rFonts w:hint="eastAsia"/>
                <w:sz w:val="24"/>
                <w:szCs w:val="24"/>
              </w:rPr>
            </w:pPr>
            <w:r>
              <w:rPr>
                <w:rFonts w:hint="eastAsia"/>
                <w:sz w:val="24"/>
                <w:szCs w:val="24"/>
              </w:rPr>
              <w:t>本项目施工期间不会对区域土壤造成污染，运营期间，设置箱变事故油池，基础地面重点防渗，危险废物委托资质单位清运处置，对区域土环境影响较小，不会突破土壤环境风险防控底线。</w:t>
            </w:r>
          </w:p>
          <w:p w14:paraId="019BA8CC">
            <w:pPr>
              <w:spacing w:line="360" w:lineRule="auto"/>
              <w:ind w:firstLine="480" w:firstLineChars="200"/>
              <w:rPr>
                <w:sz w:val="24"/>
                <w:szCs w:val="24"/>
              </w:rPr>
            </w:pPr>
            <w:r>
              <w:rPr>
                <w:rFonts w:hint="eastAsia"/>
                <w:sz w:val="24"/>
                <w:szCs w:val="24"/>
              </w:rPr>
              <w:t>（3）资源利用上线</w:t>
            </w:r>
          </w:p>
          <w:p w14:paraId="4B1AD69C">
            <w:pPr>
              <w:spacing w:line="360" w:lineRule="auto"/>
              <w:ind w:firstLine="480" w:firstLineChars="200"/>
              <w:rPr>
                <w:rFonts w:hint="eastAsia"/>
                <w:sz w:val="24"/>
                <w:szCs w:val="24"/>
              </w:rPr>
            </w:pPr>
            <w:r>
              <w:rPr>
                <w:rFonts w:hint="eastAsia"/>
                <w:sz w:val="24"/>
                <w:szCs w:val="24"/>
              </w:rPr>
              <w:t>本项目为光伏发电，不使用燃煤；用水主要为施工期的施工用水和工作人员的生活用水，且项目施工期较短；本项目不占用耕地，对区域农业生产影响较小，不会突破能源、水资源和土地资源利用上线。</w:t>
            </w:r>
          </w:p>
          <w:p w14:paraId="2CA88811">
            <w:pPr>
              <w:pStyle w:val="219"/>
              <w:spacing w:before="120"/>
              <w:ind w:firstLine="480"/>
              <w:rPr>
                <w:rFonts w:hint="eastAsia"/>
                <w:sz w:val="24"/>
                <w:szCs w:val="24"/>
              </w:rPr>
            </w:pPr>
            <w:r>
              <w:rPr>
                <w:rFonts w:hint="eastAsia"/>
                <w:sz w:val="24"/>
                <w:szCs w:val="24"/>
              </w:rPr>
              <w:t>表1.2.2-</w:t>
            </w:r>
            <w:r>
              <w:rPr>
                <w:sz w:val="24"/>
                <w:szCs w:val="24"/>
              </w:rPr>
              <w:t>3</w:t>
            </w:r>
            <w:r>
              <w:rPr>
                <w:rFonts w:hint="eastAsia"/>
                <w:sz w:val="24"/>
                <w:szCs w:val="24"/>
              </w:rPr>
              <w:t xml:space="preserve">  项目与涉及的区域管控要求的符合性</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2"/>
              <w:gridCol w:w="3251"/>
              <w:gridCol w:w="948"/>
            </w:tblGrid>
            <w:tr w14:paraId="5342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376" w:type="pct"/>
                  <w:vAlign w:val="center"/>
                </w:tcPr>
                <w:p w14:paraId="41EE7C3C">
                  <w:pPr>
                    <w:jc w:val="center"/>
                    <w:rPr>
                      <w:b/>
                      <w:bCs/>
                    </w:rPr>
                  </w:pPr>
                  <w:bookmarkStart w:id="36" w:name="_Hlk232410760"/>
                  <w:r>
                    <w:rPr>
                      <w:b/>
                      <w:bCs/>
                    </w:rPr>
                    <w:t>准入要求</w:t>
                  </w:r>
                </w:p>
              </w:tc>
              <w:tc>
                <w:tcPr>
                  <w:tcW w:w="2032" w:type="pct"/>
                  <w:vAlign w:val="center"/>
                </w:tcPr>
                <w:p w14:paraId="0BFE438F">
                  <w:pPr>
                    <w:jc w:val="center"/>
                    <w:rPr>
                      <w:b/>
                      <w:bCs/>
                    </w:rPr>
                  </w:pPr>
                  <w:r>
                    <w:rPr>
                      <w:b/>
                      <w:bCs/>
                    </w:rPr>
                    <w:t>项目情况</w:t>
                  </w:r>
                </w:p>
              </w:tc>
              <w:tc>
                <w:tcPr>
                  <w:tcW w:w="592" w:type="pct"/>
                  <w:vAlign w:val="center"/>
                </w:tcPr>
                <w:p w14:paraId="2E0C817B">
                  <w:pPr>
                    <w:jc w:val="center"/>
                    <w:rPr>
                      <w:b/>
                      <w:bCs/>
                    </w:rPr>
                  </w:pPr>
                  <w:r>
                    <w:rPr>
                      <w:b/>
                      <w:bCs/>
                    </w:rPr>
                    <w:t>符合性</w:t>
                  </w:r>
                </w:p>
              </w:tc>
            </w:tr>
            <w:tr w14:paraId="7DDB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376" w:type="pct"/>
                  <w:vAlign w:val="center"/>
                </w:tcPr>
                <w:p w14:paraId="6CA1AAD5">
                  <w:pPr>
                    <w:rPr>
                      <w:rFonts w:hint="eastAsia"/>
                    </w:rPr>
                  </w:pPr>
                  <w:r>
                    <w:rPr>
                      <w:rFonts w:hint="eastAsia"/>
                    </w:rPr>
                    <w:t>（一）空间布局约束</w:t>
                  </w:r>
                </w:p>
                <w:p w14:paraId="7CE1F927">
                  <w:pPr>
                    <w:rPr>
                      <w:rFonts w:hint="eastAsia"/>
                    </w:rPr>
                  </w:pPr>
                  <w:r>
                    <w:rPr>
                      <w:rFonts w:hint="eastAsia"/>
                    </w:rPr>
                    <w:t>（1）严格执行《长江经济带发展负面清单指南（试行，2022年版）》《云南省长江经济带发展负面清单指南实施细则（试行）》等产业准入有关要求。</w:t>
                  </w:r>
                </w:p>
                <w:p w14:paraId="6E90DDF3">
                  <w:pPr>
                    <w:rPr>
                      <w:rFonts w:hint="eastAsia"/>
                    </w:rPr>
                  </w:pPr>
                  <w:r>
                    <w:rPr>
                      <w:rFonts w:hint="eastAsia"/>
                    </w:rPr>
                    <w:t>（2）严格实施化解过剩产能和淘汰落后产能，制定产能过剩行业淘汰计划，确保国家、省下达的淘汰落后产能目标任务全面完成。</w:t>
                  </w:r>
                </w:p>
                <w:p w14:paraId="4C4D59DF">
                  <w:pPr>
                    <w:rPr>
                      <w:rFonts w:hint="eastAsia"/>
                    </w:rPr>
                  </w:pPr>
                  <w:r>
                    <w:rPr>
                      <w:rFonts w:hint="eastAsia"/>
                    </w:rPr>
                    <w:t>（3）将资源承载能力、生态环境容量作为承接产业转移的基础和前提，合理确定承接产业转移重点，禁止引进环境污染大、资源消耗高、技术落后的生产能力。</w:t>
                  </w:r>
                </w:p>
                <w:p w14:paraId="1945119B">
                  <w:pPr>
                    <w:rPr>
                      <w:rFonts w:hint="eastAsia"/>
                    </w:rPr>
                  </w:pPr>
                  <w:r>
                    <w:rPr>
                      <w:rFonts w:hint="eastAsia"/>
                    </w:rPr>
                    <w:t>（4）支持现有各类产业园区有供热需求的实施热电联产或者集中供热改造，具备条件的工业园区实现集中供热。</w:t>
                  </w:r>
                </w:p>
                <w:p w14:paraId="6F60BF31">
                  <w:pPr>
                    <w:rPr>
                      <w:rFonts w:hint="eastAsia"/>
                    </w:rPr>
                  </w:pPr>
                  <w:r>
                    <w:rPr>
                      <w:rFonts w:hint="eastAsia"/>
                    </w:rPr>
                    <w:t>（5）严格控制在生态脆弱或环境敏感地区建设《环境保护综合名录》中“高污染、高环境风险”行业项目。</w:t>
                  </w:r>
                </w:p>
                <w:p w14:paraId="1AEACF7E">
                  <w:pPr>
                    <w:rPr>
                      <w:rFonts w:hint="eastAsia"/>
                    </w:rPr>
                  </w:pPr>
                  <w:r>
                    <w:rPr>
                      <w:rFonts w:hint="eastAsia"/>
                    </w:rPr>
                    <w:t>（6）禁止在合规园区外新建、扩建钢铁、石化、化工、焦化、建材、有色行业中的高污染项目。</w:t>
                  </w:r>
                </w:p>
                <w:p w14:paraId="522B125D">
                  <w:pPr>
                    <w:rPr>
                      <w:rFonts w:hint="eastAsia"/>
                    </w:rPr>
                  </w:pPr>
                  <w:r>
                    <w:rPr>
                      <w:rFonts w:hint="eastAsia"/>
                    </w:rPr>
                    <w:t>（7）集中式饮用水水源地严格执行《中华人民共和国水污染防治法》《地下水管理条例》《饮用水水源保护区污染防治管理规定》《云南省牛栏江保护条例》《曲靖市集中式饮用水水源地保护条例》《云南省曲靖独木水库保护条例》，水源地内城镇开发边界范围已开发区域强化环境基础设施建设与运行维护。</w:t>
                  </w:r>
                </w:p>
                <w:p w14:paraId="67E127B5">
                  <w:r>
                    <w:rPr>
                      <w:rFonts w:hint="eastAsia"/>
                    </w:rPr>
                    <w:t>（8）各县（市、区）产业园区重点管控单元、曲靖经济开发区重点管控单元、曲靖高新技术产业开发区重点管控单元、宣威市经济技术开发区重点管控单元空间布局约束、污染物排放管控、环境风险防控、资源利用效率四个维度严格执行现行有效的园区规划、规划环评及其审查意见。</w:t>
                  </w:r>
                </w:p>
              </w:tc>
              <w:tc>
                <w:tcPr>
                  <w:tcW w:w="2032" w:type="pct"/>
                  <w:vAlign w:val="center"/>
                </w:tcPr>
                <w:p w14:paraId="0A128A18">
                  <w:pPr>
                    <w:pStyle w:val="23"/>
                    <w:ind w:left="0" w:leftChars="0"/>
                  </w:pPr>
                  <w:r>
                    <w:rPr>
                      <w:rFonts w:hint="eastAsia"/>
                    </w:rPr>
                    <w:t>本项目为光伏发电项目，属于清洁能源产业，不在长江经济带负面清单管控范畴。项目不涉及过剩、落后产能，也不属于高污染、高耗能产业，契合区域产业发展导向。项目选址避开了自然保护地、集中式饮用水水源保护区等管控区域，不属于钢铁、石化、化工等禁限类高污染行业。项目不涉及园区集中供热改造相关内容，选址及建设范围均符合国土空间规划要求，空间布局合规。</w:t>
                  </w:r>
                </w:p>
              </w:tc>
              <w:tc>
                <w:tcPr>
                  <w:tcW w:w="592" w:type="pct"/>
                  <w:vAlign w:val="center"/>
                </w:tcPr>
                <w:p w14:paraId="1682CA1B">
                  <w:pPr>
                    <w:jc w:val="center"/>
                  </w:pPr>
                  <w:r>
                    <w:rPr>
                      <w:rFonts w:hint="eastAsia" w:ascii="宋体"/>
                      <w:kern w:val="0"/>
                      <w:szCs w:val="20"/>
                    </w:rPr>
                    <w:t>符合</w:t>
                  </w:r>
                </w:p>
              </w:tc>
            </w:tr>
            <w:tr w14:paraId="7FC2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376" w:type="pct"/>
                  <w:vAlign w:val="center"/>
                </w:tcPr>
                <w:p w14:paraId="46D62375">
                  <w:pPr>
                    <w:rPr>
                      <w:rFonts w:hint="eastAsia"/>
                    </w:rPr>
                  </w:pPr>
                  <w:r>
                    <w:rPr>
                      <w:rFonts w:hint="eastAsia"/>
                    </w:rPr>
                    <w:t>（二）污染物排放管控</w:t>
                  </w:r>
                </w:p>
                <w:p w14:paraId="667FC699">
                  <w:pPr>
                    <w:rPr>
                      <w:rFonts w:hint="eastAsia"/>
                    </w:rPr>
                  </w:pPr>
                  <w:r>
                    <w:rPr>
                      <w:rFonts w:hint="eastAsia"/>
                    </w:rPr>
                    <w:t>（1）推进以能源、化工、冶金、建材、造纸、农副食品加工、工业涂装和包装印刷等行业为重点的清洁生产审核工作，具体行业包括但不限于煤矿、火力发电，甲醇、焦化、氮肥、磷肥、氯碱、电石、制药、农药、黄磷、铬盐生产，钢铁、铁合金铅锌铝冶炼及再生，水泥、石灰、建筑陶瓷、平板玻璃、沥青防水材料，纸浆造纸，酿造、味精、柠檬酸、酶制剂、酵母，新能源电池（正负极材料），多晶硅、单晶硅、有机硅，工业涂装和包装印刷等行业。</w:t>
                  </w:r>
                </w:p>
                <w:p w14:paraId="084E37BE">
                  <w:pPr>
                    <w:rPr>
                      <w:rFonts w:hint="eastAsia"/>
                    </w:rPr>
                  </w:pPr>
                  <w:r>
                    <w:rPr>
                      <w:rFonts w:hint="eastAsia"/>
                    </w:rPr>
                    <w:t>（2）落实云南省碳达峰碳中和相关要求，处理好发展和减排、整体和局部、长远目标和短期目标、政府和市场的关系，加快推动减污降碳协同创新试点，坚定不移走生态优先、绿色低碳的高质量发展道路。</w:t>
                  </w:r>
                </w:p>
                <w:p w14:paraId="5DADD158">
                  <w:pPr>
                    <w:rPr>
                      <w:rFonts w:hint="eastAsia"/>
                    </w:rPr>
                  </w:pPr>
                  <w:r>
                    <w:rPr>
                      <w:rFonts w:hint="eastAsia"/>
                    </w:rPr>
                    <w:t>（3）加大重点流域水污染防治，确保水质如期达标。南盘江龚家坝、北盘江旧营桥等断面汇水区，新建、改建、扩建重点行业建设项目实行主要污染物排放减量置换。到2025年，牛栏江、南盘江、北盘江流域内所有城镇区域内实现生活污水处理设施全覆盖、生活污水全处理。</w:t>
                  </w:r>
                </w:p>
                <w:p w14:paraId="3FFBB964">
                  <w:pPr>
                    <w:rPr>
                      <w:rFonts w:hint="eastAsia"/>
                    </w:rPr>
                  </w:pPr>
                  <w:r>
                    <w:rPr>
                      <w:rFonts w:hint="eastAsia"/>
                    </w:rPr>
                    <w:t>（4）牛栏江等流域内，严格按照《云南省牛栏江保护条例》《牛栏江流域（云南部分）水环境保护规划报告》及其中期评估报告有关要求，禁止在牛栏江水源保护区核心区新建、改建、扩建排污口。牛栏江流域上游保护区内已设置排污口的生产企业，排放水污染物应当符合国家或者地方规定的水污染物排放标准和重点水污染物排放总量控制指标。</w:t>
                  </w:r>
                </w:p>
                <w:p w14:paraId="77F54015">
                  <w:pPr>
                    <w:rPr>
                      <w:rFonts w:hint="eastAsia"/>
                    </w:rPr>
                  </w:pPr>
                  <w:r>
                    <w:rPr>
                      <w:rFonts w:hint="eastAsia"/>
                    </w:rPr>
                    <w:t>（5）严格保护集中式饮用水水源地，整治饮用水源保护区内的污染源，确保饮水安全。</w:t>
                  </w:r>
                </w:p>
                <w:p w14:paraId="6840F6AC">
                  <w:pPr>
                    <w:rPr>
                      <w:rFonts w:hint="eastAsia"/>
                    </w:rPr>
                  </w:pPr>
                  <w:r>
                    <w:rPr>
                      <w:rFonts w:hint="eastAsia"/>
                    </w:rPr>
                    <w:t>（6）全面开展城市（县城）排水管网排查整治，消除城市建成区管网空白区、污水直排口，解决雨污混流、管网破损漏损、错接混接等问题。加大城市生活污水提标改造及扩容工作力度，麒麟区、沾益区、曲靖经开区新、改、扩建城市生活污水集中处理设施及工业园区污水集中处理设施污染物排放标准严格执行《地表水环境质量标准》IV类标准（其中总氮&lt;10mg/L，类大肠菌群&lt;1000个/L）。陆良县、宣威市根据水生态环境质量变化趋势适时推进执行《地表水环境质量标准》IV类标准（其中总氮&lt;10mg/L，类大肠菌群&lt;1000个/L）。其他县（市区）执行《城镇污水处理厂污染物排放标准》一级标准A标准。</w:t>
                  </w:r>
                </w:p>
                <w:p w14:paraId="12D687B4">
                  <w:pPr>
                    <w:rPr>
                      <w:rFonts w:hint="eastAsia"/>
                    </w:rPr>
                  </w:pPr>
                  <w:r>
                    <w:rPr>
                      <w:rFonts w:hint="eastAsia"/>
                    </w:rPr>
                    <w:t>（7）加快推进污泥无害化处理处置工程建设，鼓励采用资源化利用方式处理处置污泥，经处理后的污泥达到《农用污泥污染物控制标准》（GB</w:t>
                  </w:r>
                  <w:r>
                    <w:t xml:space="preserve"> </w:t>
                  </w:r>
                  <w:r>
                    <w:rPr>
                      <w:rFonts w:hint="eastAsia"/>
                    </w:rPr>
                    <w:t>4282-2018）要求的用于还田利用。</w:t>
                  </w:r>
                </w:p>
                <w:p w14:paraId="1CB53479">
                  <w:r>
                    <w:rPr>
                      <w:rFonts w:hint="eastAsia"/>
                    </w:rPr>
                    <w:t>（8）加快生活垃圾处理设施建设，推进实施生活垃圾焚烧发电，全面提升城镇生活垃圾分类收转运能力和厨余垃圾处理能力。</w:t>
                  </w:r>
                </w:p>
                <w:p w14:paraId="3575AF1A">
                  <w:pPr>
                    <w:rPr>
                      <w:rFonts w:hint="eastAsia"/>
                    </w:rPr>
                  </w:pPr>
                  <w:r>
                    <w:rPr>
                      <w:rFonts w:hint="eastAsia"/>
                    </w:rPr>
                    <w:t>（9）到2025年，中心城区、县城中心城市建成区基本实现污水全收集、全处理，建制镇污水收集处理能力明显提升，中心城市、县城平均污泥无害化处理率达到90%以上，力争实现全市生活垃圾焚烧处理实现全覆盖，餐厨垃圾实现零填埋无害化处理。</w:t>
                  </w:r>
                </w:p>
                <w:p w14:paraId="37E1540D">
                  <w:pPr>
                    <w:rPr>
                      <w:rFonts w:hint="eastAsia"/>
                    </w:rPr>
                  </w:pPr>
                  <w:r>
                    <w:rPr>
                      <w:rFonts w:hint="eastAsia"/>
                    </w:rPr>
                    <w:t>（1</w:t>
                  </w:r>
                  <w:r>
                    <w:t>0</w:t>
                  </w:r>
                  <w:r>
                    <w:rPr>
                      <w:rFonts w:hint="eastAsia"/>
                    </w:rPr>
                    <w:t>）到2025年，全市农村生活污水治理率达到40%以上，城乡生活垃圾焚烧处理比重达90%以上，全市农村卫生户厕覆盖率达到70%以上，农膜回收率达到90%以上，秸秆综合利用率稳定在90%以上，畜禽粪污综合利用率达到95%以上;基本实现化肥农药施用量减少3%以上。</w:t>
                  </w:r>
                </w:p>
                <w:p w14:paraId="5FF0A0A0">
                  <w:pPr>
                    <w:rPr>
                      <w:rFonts w:hint="eastAsia"/>
                    </w:rPr>
                  </w:pPr>
                  <w:r>
                    <w:rPr>
                      <w:rFonts w:hint="eastAsia"/>
                    </w:rPr>
                    <w:t>（1</w:t>
                  </w:r>
                  <w:r>
                    <w:t>1</w:t>
                  </w:r>
                  <w:r>
                    <w:rPr>
                      <w:rFonts w:hint="eastAsia"/>
                    </w:rPr>
                    <w:t>）严把新建、改扩建涉重金属重点行业建设项目审批关，切实降低区域重金属排放总量。会泽县新、改、扩建涉重金属重点行业建设项目重点重金属污染物排放遵循“减量替代”原则，替代比例不低于1.2:1；其他县（市、区）遵循“等量替代”原则。</w:t>
                  </w:r>
                </w:p>
                <w:p w14:paraId="01A2450E">
                  <w:pPr>
                    <w:rPr>
                      <w:rFonts w:hint="eastAsia"/>
                    </w:rPr>
                  </w:pPr>
                  <w:r>
                    <w:rPr>
                      <w:rFonts w:hint="eastAsia"/>
                    </w:rPr>
                    <w:t>（1</w:t>
                  </w:r>
                  <w:r>
                    <w:t>2</w:t>
                  </w:r>
                  <w:r>
                    <w:rPr>
                      <w:rFonts w:hint="eastAsia"/>
                    </w:rPr>
                    <w:t>）到2025年，曲靖市重点行业重点重金属污染物排放量比2020年下降6%。</w:t>
                  </w:r>
                </w:p>
                <w:p w14:paraId="5129C374">
                  <w:pPr>
                    <w:rPr>
                      <w:rFonts w:hint="eastAsia"/>
                    </w:rPr>
                  </w:pPr>
                  <w:r>
                    <w:rPr>
                      <w:rFonts w:hint="eastAsia"/>
                    </w:rPr>
                    <w:t>（1</w:t>
                  </w:r>
                  <w:r>
                    <w:t>3</w:t>
                  </w:r>
                  <w:r>
                    <w:rPr>
                      <w:rFonts w:hint="eastAsia"/>
                    </w:rPr>
                    <w:t>）到2025年，全市化学需氧量、氨氮、氮氧化物、挥发性有机物排放总量等重点工程减排量分别达到7984吨、496吨、3611吨、1181吨。</w:t>
                  </w:r>
                </w:p>
              </w:tc>
              <w:tc>
                <w:tcPr>
                  <w:tcW w:w="2032" w:type="pct"/>
                  <w:vAlign w:val="center"/>
                </w:tcPr>
                <w:p w14:paraId="3955BC75">
                  <w:pPr>
                    <w:topLinePunct/>
                    <w:rPr>
                      <w:rFonts w:hint="eastAsia"/>
                    </w:rPr>
                  </w:pPr>
                  <w:r>
                    <w:rPr>
                      <w:rFonts w:hint="eastAsia"/>
                    </w:rPr>
                    <w:t>（1）本项目为光伏发电，生产过程基本无废气、废水、固废排放，不属于清洁生产审核、重金属管控、重点污染物减排管控的重点行业。</w:t>
                  </w:r>
                </w:p>
                <w:p w14:paraId="28D86F43">
                  <w:pPr>
                    <w:topLinePunct/>
                    <w:rPr>
                      <w:rFonts w:hint="eastAsia"/>
                    </w:rPr>
                  </w:pPr>
                  <w:r>
                    <w:rPr>
                      <w:rFonts w:hint="eastAsia"/>
                    </w:rPr>
                    <w:t>（2）项目属于绿色清洁能源，可替代传统化石能源，助力区域减污降碳、落实“双碳”目标。</w:t>
                  </w:r>
                </w:p>
                <w:p w14:paraId="730DDDB7">
                  <w:pPr>
                    <w:topLinePunct/>
                    <w:rPr>
                      <w:rFonts w:hint="eastAsia"/>
                    </w:rPr>
                  </w:pPr>
                  <w:r>
                    <w:rPr>
                      <w:rFonts w:hint="eastAsia"/>
                    </w:rPr>
                    <w:t>（3）项目不设置生产排污口，不向牛栏江、南盘江、北盘江等流域排放污染物，不涉及饮用水水源保护区，不会影响流域水质及集中式饮用水水源地安全。</w:t>
                  </w:r>
                </w:p>
                <w:p w14:paraId="335166CA">
                  <w:pPr>
                    <w:topLinePunct/>
                  </w:pPr>
                  <w:r>
                    <w:rPr>
                      <w:rFonts w:hint="eastAsia"/>
                    </w:rPr>
                    <w:t>（4）项目运营不产生生活污水以外的生产废水、污泥、工业垃圾，不涉及污水管网、污泥处置、生活垃圾焚烧等设施提标改造相关要求。区域现有城乡环境治理、农村人居环境整治等工作均按规划有序推进，各项2025年管控目标可顺利完成。整体污染物排放管控要求均满足。</w:t>
                  </w:r>
                </w:p>
              </w:tc>
              <w:tc>
                <w:tcPr>
                  <w:tcW w:w="592" w:type="pct"/>
                  <w:vAlign w:val="center"/>
                </w:tcPr>
                <w:p w14:paraId="0A07748B">
                  <w:pPr>
                    <w:jc w:val="center"/>
                  </w:pPr>
                  <w:r>
                    <w:t>符合</w:t>
                  </w:r>
                </w:p>
              </w:tc>
            </w:tr>
            <w:tr w14:paraId="5AFE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376" w:type="pct"/>
                  <w:vAlign w:val="center"/>
                </w:tcPr>
                <w:p w14:paraId="19965026">
                  <w:pPr>
                    <w:rPr>
                      <w:rFonts w:hint="eastAsia"/>
                    </w:rPr>
                  </w:pPr>
                  <w:r>
                    <w:rPr>
                      <w:rFonts w:hint="eastAsia"/>
                    </w:rPr>
                    <w:t>（三）环境风险防控</w:t>
                  </w:r>
                </w:p>
                <w:p w14:paraId="3A5A9193">
                  <w:pPr>
                    <w:rPr>
                      <w:rFonts w:hint="eastAsia"/>
                    </w:rPr>
                  </w:pPr>
                  <w:r>
                    <w:rPr>
                      <w:rFonts w:hint="eastAsia"/>
                    </w:rPr>
                    <w:t>（1）以南盘江、北盘江、牛栏江流域为重点，定期开展流域工业企业、工业集聚区环境风险评估，落实防控措施。</w:t>
                  </w:r>
                </w:p>
                <w:p w14:paraId="3E4452CC">
                  <w:pPr>
                    <w:rPr>
                      <w:rFonts w:hint="eastAsia"/>
                    </w:rPr>
                  </w:pPr>
                  <w:r>
                    <w:rPr>
                      <w:rFonts w:hint="eastAsia"/>
                    </w:rPr>
                    <w:t>（2）开展麒沾马区域大气污染联防联控，逐步推行区域统一规划，统一监测，实行协同的环境准入、落后产能淘汰、机动车环境管理政策和考核评估制度。</w:t>
                  </w:r>
                </w:p>
                <w:p w14:paraId="56346AD4">
                  <w:pPr>
                    <w:rPr>
                      <w:rFonts w:hint="eastAsia"/>
                    </w:rPr>
                  </w:pPr>
                  <w:r>
                    <w:rPr>
                      <w:rFonts w:hint="eastAsia"/>
                    </w:rPr>
                    <w:t>（3）强化与昆明省跨流域上下游突发水污染事件联防联控，与贵州省六盘水珠江流域生态环境执法与应急联防联动。</w:t>
                  </w:r>
                </w:p>
                <w:p w14:paraId="472FCC0C">
                  <w:pPr>
                    <w:rPr>
                      <w:rFonts w:hint="eastAsia"/>
                    </w:rPr>
                  </w:pPr>
                  <w:r>
                    <w:rPr>
                      <w:rFonts w:hint="eastAsia"/>
                    </w:rPr>
                    <w:t>（4）强化大气污染分区分时分类差异化精细化协同管控，加强监测预警应急能力建设，及时采取差异化管控措施。</w:t>
                  </w:r>
                </w:p>
                <w:p w14:paraId="24C72E1F">
                  <w:pPr>
                    <w:rPr>
                      <w:rFonts w:hint="eastAsia"/>
                    </w:rPr>
                  </w:pPr>
                  <w:r>
                    <w:rPr>
                      <w:rFonts w:hint="eastAsia"/>
                    </w:rPr>
                    <w:t>（5）逐步建成全市土壤环境质量监测网络，推进各县（市、区）土壤环境质量监测点位全覆盖；有色金属矿采选、有色金属冶炼、石油加工、化工、农药、焦化、电镀、制革、印染、危险废物处置等行业企业拆除生产设施设备、构筑物和污染治理设施，要事先制定残留污染物清理和安全处置方案。</w:t>
                  </w:r>
                </w:p>
                <w:p w14:paraId="72E3FA92">
                  <w:pPr>
                    <w:rPr>
                      <w:rFonts w:hint="eastAsia"/>
                    </w:rPr>
                  </w:pPr>
                  <w:r>
                    <w:rPr>
                      <w:rFonts w:hint="eastAsia"/>
                    </w:rPr>
                    <w:t>（6）加强环境风险防控和应急管理，制定和完善突发环境事件和饮用水水源地突发环境事件应急预案，加强风险防控和突发环境事件应急处理处置能力。</w:t>
                  </w:r>
                </w:p>
                <w:p w14:paraId="78C95004">
                  <w:r>
                    <w:rPr>
                      <w:rFonts w:hint="eastAsia"/>
                    </w:rPr>
                    <w:t>（7）严格管控类农用地，重金属超标区域严禁种植食用农产品；涉重金属、持久性有机物等有毒有害污染物工业企业退出用地，须经评估符合建设用地、农用地土壤环境质量相关要求后，方可用于居住或农业用地。</w:t>
                  </w:r>
                </w:p>
              </w:tc>
              <w:tc>
                <w:tcPr>
                  <w:tcW w:w="2032" w:type="pct"/>
                  <w:vAlign w:val="center"/>
                </w:tcPr>
                <w:p w14:paraId="3ED0DC44">
                  <w:pPr>
                    <w:rPr>
                      <w:rFonts w:hint="eastAsia"/>
                    </w:rPr>
                  </w:pPr>
                  <w:r>
                    <w:rPr>
                      <w:rFonts w:hint="eastAsia"/>
                    </w:rPr>
                    <w:t>（1）项目运营期无大气、水污染物排放，不参与大气污染联防联控管控，也不会对南盘江、北盘江、牛栏江流域造成水环境风险。</w:t>
                  </w:r>
                </w:p>
                <w:p w14:paraId="2F2EB488">
                  <w:pPr>
                    <w:rPr>
                      <w:rFonts w:hint="eastAsia"/>
                    </w:rPr>
                  </w:pPr>
                  <w:r>
                    <w:rPr>
                      <w:rFonts w:hint="eastAsia"/>
                    </w:rPr>
                    <w:t>（2）项目不属于有色金属冶炼、化工、危废处置等高风险行业，设施拆除无大量残留污染物风险。</w:t>
                  </w:r>
                </w:p>
                <w:p w14:paraId="714961E3">
                  <w:r>
                    <w:rPr>
                      <w:rFonts w:hint="eastAsia"/>
                    </w:rPr>
                    <w:t>（3）工程施工将编制突发环境事件应急预案，落实风险防控举措；区域农用地将严格执行土壤分类管控要求，环境风险整体可控。</w:t>
                  </w:r>
                </w:p>
              </w:tc>
              <w:tc>
                <w:tcPr>
                  <w:tcW w:w="592" w:type="pct"/>
                  <w:vAlign w:val="center"/>
                </w:tcPr>
                <w:p w14:paraId="5F368C6D">
                  <w:pPr>
                    <w:jc w:val="center"/>
                  </w:pPr>
                  <w:r>
                    <w:rPr>
                      <w:rFonts w:hint="eastAsia"/>
                    </w:rPr>
                    <w:t>符合</w:t>
                  </w:r>
                </w:p>
              </w:tc>
            </w:tr>
            <w:tr w14:paraId="17FD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376" w:type="pct"/>
                  <w:vAlign w:val="center"/>
                </w:tcPr>
                <w:p w14:paraId="0677F4EE">
                  <w:pPr>
                    <w:rPr>
                      <w:rFonts w:hint="eastAsia"/>
                    </w:rPr>
                  </w:pPr>
                  <w:r>
                    <w:rPr>
                      <w:rFonts w:hint="eastAsia"/>
                    </w:rPr>
                    <w:t>（四）资源开发效率要求</w:t>
                  </w:r>
                </w:p>
                <w:p w14:paraId="7C965E76">
                  <w:pPr>
                    <w:rPr>
                      <w:rFonts w:hint="eastAsia"/>
                    </w:rPr>
                  </w:pPr>
                  <w:r>
                    <w:rPr>
                      <w:rFonts w:hint="eastAsia"/>
                    </w:rPr>
                    <w:t>（1）坚持以水而定、量水而行，统筹生活、生产和生态用水，科学合理配置水资源，保障河湖基本生态用水。确定河流生态需水量，确保河流生态系统功能。通过电站引水闸的调节，使最低下泄流量不小于河道所需的最小生态径流，以维持下游生物的最小生态需水，以维持坝下游最小生态需水。</w:t>
                  </w:r>
                </w:p>
                <w:p w14:paraId="575A5C13">
                  <w:pPr>
                    <w:rPr>
                      <w:rFonts w:hint="eastAsia"/>
                    </w:rPr>
                  </w:pPr>
                  <w:r>
                    <w:rPr>
                      <w:rFonts w:hint="eastAsia"/>
                    </w:rPr>
                    <w:t>（2）加强南盘江、北盘江、牛栏江等生态流量保障工程建设，合理安排闸坝下泄水量和泄洪时段，维护河湖基本生态用水需求，重点保障、生态敏感区生态流量。</w:t>
                  </w:r>
                </w:p>
                <w:p w14:paraId="0EF85234">
                  <w:pPr>
                    <w:rPr>
                      <w:rFonts w:hint="eastAsia"/>
                    </w:rPr>
                  </w:pPr>
                  <w:r>
                    <w:rPr>
                      <w:rFonts w:hint="eastAsia"/>
                    </w:rPr>
                    <w:t>（3）加快建设麒麟区、沾益区、马龙区水系连通工程，形成独木水库—水城水库—潇湘水库—潇湘江等6条生态流量通道，生态流量月保障程度达到90%以上，加强牛栏江流域水资源配置和调度管理，保障公锁、土格樟、黄梨树、黑山河流控制断面和苏斗河水库、金乐水库、长海子水库3个水库控制断面生态基流，确保生态流量泄放，确保德泽水库下泄流量在丰水期和枯水期分别达到16立方米/秒和5.4立方米/秒。</w:t>
                  </w:r>
                </w:p>
                <w:p w14:paraId="3A694753">
                  <w:pPr>
                    <w:rPr>
                      <w:rFonts w:hint="eastAsia"/>
                    </w:rPr>
                  </w:pPr>
                  <w:r>
                    <w:rPr>
                      <w:rFonts w:hint="eastAsia"/>
                    </w:rPr>
                    <w:t>（4）建立水资源刚性约束制度，实行水资源消耗总量和强度双控，严格实施取水许可和水资源有偿使用制度，强化用水全过程管理，深入抓好工业、城镇、农业等方面用水量控制，严格规范取水许可审批管理。</w:t>
                  </w:r>
                </w:p>
                <w:p w14:paraId="65F64894">
                  <w:pPr>
                    <w:rPr>
                      <w:rFonts w:hint="eastAsia"/>
                    </w:rPr>
                  </w:pPr>
                  <w:r>
                    <w:rPr>
                      <w:rFonts w:hint="eastAsia"/>
                    </w:rPr>
                    <w:t>（5）大力推进各县（市、区）农业、工业、城镇节水，扩大曲靖市县域节水型社会比例。强化农业节水，优化农业种植结构，加大农业节水力度，加快实施规模化高效节水灌溉行动。推广和普及田间节水技术，开辟抗旱水源，科学调度抗旱用水。</w:t>
                  </w:r>
                </w:p>
                <w:p w14:paraId="004C9185">
                  <w:pPr>
                    <w:rPr>
                      <w:rFonts w:hint="eastAsia"/>
                    </w:rPr>
                  </w:pPr>
                  <w:r>
                    <w:rPr>
                      <w:rFonts w:hint="eastAsia"/>
                    </w:rPr>
                    <w:t>（6）到2025年，曲靖市用水总量控制在18.68亿立方米以内，万元GDP用水量、万元工业增加值用水量比2020 年分别不低于20%和16%，</w:t>
                  </w:r>
                  <w:r>
                    <w:rPr>
                      <w:rFonts w:hint="eastAsia"/>
                      <w:lang w:eastAsia="zh-CN"/>
                    </w:rPr>
                    <w:t>农田灌溉水有效利用系数</w:t>
                  </w:r>
                  <w:r>
                    <w:rPr>
                      <w:rFonts w:hint="eastAsia"/>
                    </w:rPr>
                    <w:t>不低于0.545。</w:t>
                  </w:r>
                </w:p>
                <w:p w14:paraId="5F8581AC">
                  <w:pPr>
                    <w:rPr>
                      <w:rFonts w:hint="eastAsia"/>
                    </w:rPr>
                  </w:pPr>
                  <w:r>
                    <w:rPr>
                      <w:rFonts w:hint="eastAsia"/>
                    </w:rPr>
                    <w:t>（7）坚持最严格的耕地保护制度，坚决制止耕地“非农化”防止耕地“非粮化”。坚持节约用地，严格执行耕地占补平衡等制度，提高土地投资强度和单位面积产出水平。</w:t>
                  </w:r>
                </w:p>
                <w:p w14:paraId="23811FA8">
                  <w:pPr>
                    <w:rPr>
                      <w:rFonts w:hint="eastAsia"/>
                    </w:rPr>
                  </w:pPr>
                  <w:r>
                    <w:rPr>
                      <w:rFonts w:hint="eastAsia"/>
                    </w:rPr>
                    <w:t>（8）矿产能源发展区应在符合国家产业政策的前提下，依法依规办理用地手续，在符合矿产资源总体规划的前提下合理开采，促进土地集约节约利用，保护区域生态环境，避免造成地质灾害。</w:t>
                  </w:r>
                </w:p>
                <w:p w14:paraId="55B8941D">
                  <w:r>
                    <w:rPr>
                      <w:rFonts w:hint="eastAsia"/>
                    </w:rPr>
                    <w:t>（9）到2025年，全市规模化以上工业单位增加值能耗下降16%，万元工业增加值用水量下降16%，重点耗能行业能效达到标杆水平的比例超过30%。</w:t>
                  </w:r>
                </w:p>
                <w:p w14:paraId="43CAC51F">
                  <w:pPr>
                    <w:rPr>
                      <w:rFonts w:hint="eastAsia"/>
                    </w:rPr>
                  </w:pPr>
                  <w:r>
                    <w:rPr>
                      <w:rFonts w:hint="eastAsia"/>
                    </w:rPr>
                    <w:t>（1</w:t>
                  </w:r>
                  <w:r>
                    <w:t>0</w:t>
                  </w:r>
                  <w:r>
                    <w:rPr>
                      <w:rFonts w:hint="eastAsia"/>
                    </w:rPr>
                    <w:t>）加强南盘江、牛栏江等岸线保护，强化九龙河（麒麟段、罗平段、陆良段、富源段）、牛栏江（会泽段、沾益段、宣威段）、清水江（罗平段、师宗段），宣威市窑上海子、北盘江、可渡河、拖长江、西泽河、以那河，马龙区马龙河，师宗县甸溪河、篆长河，富源县、小黄泥河，会泽县以礼河、硝厂河、小江等河湖岸线保护与管控。</w:t>
                  </w:r>
                </w:p>
                <w:p w14:paraId="15AAD11F">
                  <w:pPr>
                    <w:rPr>
                      <w:rFonts w:hint="eastAsia"/>
                    </w:rPr>
                  </w:pPr>
                  <w:r>
                    <w:rPr>
                      <w:rFonts w:hint="eastAsia"/>
                    </w:rPr>
                    <w:t>（1</w:t>
                  </w:r>
                  <w:r>
                    <w:t>1</w:t>
                  </w:r>
                  <w:r>
                    <w:rPr>
                      <w:rFonts w:hint="eastAsia"/>
                    </w:rPr>
                    <w:t>）在禁燃区内，禁止销售、燃用高污染燃料；禁止新建、扩建燃用高污染燃料的设施，已建成的，应当在政府规定的期限内改用天然气、液化石油气、电或者其他清洁能源。</w:t>
                  </w:r>
                </w:p>
              </w:tc>
              <w:tc>
                <w:tcPr>
                  <w:tcW w:w="2032" w:type="pct"/>
                  <w:vAlign w:val="center"/>
                </w:tcPr>
                <w:p w14:paraId="0705519A">
                  <w:pPr>
                    <w:rPr>
                      <w:rFonts w:hint="eastAsia"/>
                    </w:rPr>
                  </w:pPr>
                  <w:r>
                    <w:rPr>
                      <w:rFonts w:hint="eastAsia"/>
                    </w:rPr>
                    <w:t>（1）光伏发电属于节水型产业，项目建设及运营用水极少，不消耗大量水资源，不影响区域用水总量、河湖生态流量及闸坝下泄水量，符合水资源刚性约束及各项节水要求。</w:t>
                  </w:r>
                </w:p>
                <w:p w14:paraId="4F839397">
                  <w:pPr>
                    <w:rPr>
                      <w:rFonts w:hint="eastAsia"/>
                    </w:rPr>
                  </w:pPr>
                  <w:r>
                    <w:rPr>
                      <w:rFonts w:hint="eastAsia"/>
                    </w:rPr>
                    <w:t>（2）项目选址严格避让永久基本农田，严守耕地“非农化”“非粮化”底线，土地利用集约节约，不涉及矿产资源开采活动。</w:t>
                  </w:r>
                </w:p>
                <w:p w14:paraId="746F9804">
                  <w:pPr>
                    <w:rPr>
                      <w:rFonts w:hint="eastAsia"/>
                    </w:rPr>
                  </w:pPr>
                  <w:r>
                    <w:rPr>
                      <w:rFonts w:hint="eastAsia"/>
                    </w:rPr>
                    <w:t>（3）项目利用太阳能清洁能源发电，不消耗化石燃料，不在禁燃区内使用高污染燃料，可有效降低区域整体能耗水平。项目选址远离重点河湖核心岸线，不破坏河湖岸线生态。各项资源开发、能耗、土地及岸线管控要求均满足。</w:t>
                  </w:r>
                </w:p>
              </w:tc>
              <w:tc>
                <w:tcPr>
                  <w:tcW w:w="592" w:type="pct"/>
                  <w:vAlign w:val="center"/>
                </w:tcPr>
                <w:p w14:paraId="16C17487">
                  <w:pPr>
                    <w:jc w:val="center"/>
                  </w:pPr>
                  <w:r>
                    <w:rPr>
                      <w:rFonts w:hint="eastAsia"/>
                    </w:rPr>
                    <w:t>符合</w:t>
                  </w:r>
                </w:p>
              </w:tc>
            </w:tr>
            <w:bookmarkEnd w:id="36"/>
          </w:tbl>
          <w:p w14:paraId="62DFCBBD">
            <w:pPr>
              <w:pStyle w:val="219"/>
              <w:spacing w:before="120"/>
              <w:rPr>
                <w:rFonts w:hint="eastAsia"/>
                <w:sz w:val="24"/>
                <w:szCs w:val="24"/>
              </w:rPr>
            </w:pPr>
            <w:r>
              <w:rPr>
                <w:rFonts w:hint="eastAsia"/>
                <w:sz w:val="24"/>
                <w:szCs w:val="24"/>
              </w:rPr>
              <w:t>表1.2.2-</w:t>
            </w:r>
            <w:r>
              <w:rPr>
                <w:sz w:val="24"/>
                <w:szCs w:val="24"/>
              </w:rPr>
              <w:t>3</w:t>
            </w:r>
            <w:r>
              <w:rPr>
                <w:rFonts w:hint="eastAsia"/>
                <w:sz w:val="24"/>
                <w:szCs w:val="24"/>
              </w:rPr>
              <w:t xml:space="preserve">  项目与会泽县环境管控单元准入要求的符合性</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418"/>
              <w:gridCol w:w="2908"/>
              <w:gridCol w:w="2845"/>
              <w:gridCol w:w="829"/>
            </w:tblGrid>
            <w:tr w14:paraId="64FC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626" w:type="pct"/>
                  <w:vAlign w:val="center"/>
                </w:tcPr>
                <w:p w14:paraId="64F319A9">
                  <w:pPr>
                    <w:jc w:val="center"/>
                    <w:rPr>
                      <w:b/>
                      <w:bCs/>
                    </w:rPr>
                  </w:pPr>
                  <w:r>
                    <w:rPr>
                      <w:b/>
                      <w:bCs/>
                    </w:rPr>
                    <w:t>环境管控单元名称</w:t>
                  </w:r>
                </w:p>
              </w:tc>
              <w:tc>
                <w:tcPr>
                  <w:tcW w:w="2077" w:type="pct"/>
                  <w:gridSpan w:val="2"/>
                  <w:vAlign w:val="center"/>
                </w:tcPr>
                <w:p w14:paraId="54A7DD8B">
                  <w:pPr>
                    <w:jc w:val="center"/>
                    <w:rPr>
                      <w:b/>
                      <w:bCs/>
                    </w:rPr>
                  </w:pPr>
                  <w:r>
                    <w:rPr>
                      <w:b/>
                      <w:bCs/>
                    </w:rPr>
                    <w:t>准入要求</w:t>
                  </w:r>
                </w:p>
              </w:tc>
              <w:tc>
                <w:tcPr>
                  <w:tcW w:w="1777" w:type="pct"/>
                  <w:vAlign w:val="center"/>
                </w:tcPr>
                <w:p w14:paraId="7C8BA377">
                  <w:pPr>
                    <w:jc w:val="center"/>
                    <w:rPr>
                      <w:b/>
                      <w:bCs/>
                    </w:rPr>
                  </w:pPr>
                  <w:r>
                    <w:rPr>
                      <w:b/>
                      <w:bCs/>
                    </w:rPr>
                    <w:t>项目情况</w:t>
                  </w:r>
                </w:p>
              </w:tc>
              <w:tc>
                <w:tcPr>
                  <w:tcW w:w="518" w:type="pct"/>
                  <w:vAlign w:val="center"/>
                </w:tcPr>
                <w:p w14:paraId="1205895E">
                  <w:pPr>
                    <w:jc w:val="center"/>
                    <w:rPr>
                      <w:b/>
                      <w:bCs/>
                    </w:rPr>
                  </w:pPr>
                  <w:r>
                    <w:rPr>
                      <w:b/>
                      <w:bCs/>
                    </w:rPr>
                    <w:t>符合性</w:t>
                  </w:r>
                </w:p>
              </w:tc>
            </w:tr>
            <w:tr w14:paraId="7BA4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6" w:type="pct"/>
                  <w:vAlign w:val="center"/>
                </w:tcPr>
                <w:p w14:paraId="7DD04A70">
                  <w:pPr>
                    <w:jc w:val="center"/>
                  </w:pPr>
                  <w:r>
                    <w:t>会泽县一般生态空间优先保护单元（</w:t>
                  </w:r>
                  <w:r>
                    <w:rPr>
                      <w:rFonts w:eastAsia="Cambria"/>
                    </w:rPr>
                    <w:t>ZH53032610002</w:t>
                  </w:r>
                  <w:r>
                    <w:t>）</w:t>
                  </w:r>
                </w:p>
              </w:tc>
              <w:tc>
                <w:tcPr>
                  <w:tcW w:w="261" w:type="pct"/>
                  <w:vAlign w:val="center"/>
                </w:tcPr>
                <w:p w14:paraId="27ECDC36">
                  <w:r>
                    <w:t>空间布局约束</w:t>
                  </w:r>
                </w:p>
              </w:tc>
              <w:tc>
                <w:tcPr>
                  <w:tcW w:w="1816" w:type="pct"/>
                  <w:vAlign w:val="center"/>
                </w:tcPr>
                <w:p w14:paraId="71F39C4C">
                  <w:r>
                    <w:rPr>
                      <w:rFonts w:hint="eastAsia"/>
                    </w:rPr>
                    <w:t>（1）</w:t>
                  </w:r>
                  <w:r>
                    <w:t>一般生态空间优先保护单元以保护和修复生态环境、提供生态产品为首要任务，参照主体功能区中重点生态功能区的开发和管制原则进行管控，加强资源环境承载力控制，防止过度垦殖、放牧、采伐、取水、渔猎、旅游等对生态功能造成损害，确保自然生态系统稳定。涉及占用一般生态空间的开发活动应符合相关法律法规规定，没有明确规定的，加强论证和管理。</w:t>
                  </w:r>
                </w:p>
                <w:p w14:paraId="449EDEF4">
                  <w:r>
                    <w:rPr>
                      <w:rFonts w:hint="eastAsia"/>
                    </w:rPr>
                    <w:t>（2）</w:t>
                  </w:r>
                  <w:r>
                    <w:t>暂未纳入生态保护红线的自然保护地按照相关保护地法律法规进行管理；重要湿地依据《湿地保护管理规定》《云南省湿地保护条例》《云南省人民政府关于加强湿地保护工作的意见》等进行管理；公益林依据《国家级公益林管理办法》《云南省公益林管理办法》进行管理；天然林依据《</w:t>
                  </w:r>
                  <w:r>
                    <w:rPr>
                      <w:rFonts w:hint="eastAsia"/>
                    </w:rPr>
                    <w:t>国家林业和草原局</w:t>
                  </w:r>
                  <w:r>
                    <w:t>关于严格保护天然林的通知》（林资发〔2015〕181号）</w:t>
                  </w:r>
                  <w:r>
                    <w:rPr>
                      <w:rFonts w:hint="eastAsia"/>
                    </w:rPr>
                    <w:t>《中共中央办公厅国务院办公厅</w:t>
                  </w:r>
                  <w:r>
                    <w:t>关于印发〈天然林保护修复制度方案〉的通知》（厅字〔2019〕39号）等进行管理。</w:t>
                  </w:r>
                </w:p>
              </w:tc>
              <w:tc>
                <w:tcPr>
                  <w:tcW w:w="1777" w:type="pct"/>
                  <w:vAlign w:val="center"/>
                </w:tcPr>
                <w:p w14:paraId="19CB0DB8">
                  <w:r>
                    <w:rPr>
                      <w:rFonts w:hint="eastAsia"/>
                    </w:rPr>
                    <w:t>（1）</w:t>
                  </w:r>
                  <w:r>
                    <w:t>项目位于云南省曲靖市会泽县</w:t>
                  </w:r>
                  <w:r>
                    <w:rPr>
                      <w:rFonts w:hint="eastAsia"/>
                    </w:rPr>
                    <w:t>娜姑镇大闸村、石门坎村、红泥村、绿坪村、盐水村、牛泥塘村、发基卡村和干海子村</w:t>
                  </w:r>
                  <w:r>
                    <w:t>，根据现场调查并结合《曲靖市生态环境分区管控查询导出报告》</w:t>
                  </w:r>
                  <w:r>
                    <w:rPr>
                      <w:rFonts w:hint="eastAsia"/>
                    </w:rPr>
                    <w:t>，本项目</w:t>
                  </w:r>
                  <w:r>
                    <w:t>不在生态保护红线范围内</w:t>
                  </w:r>
                  <w:r>
                    <w:rPr>
                      <w:rFonts w:hint="eastAsia"/>
                    </w:rPr>
                    <w:t>新增用地</w:t>
                  </w:r>
                  <w:r>
                    <w:t>，符合生态保护红线管控要求。项目的建设符合会泽县一般生态空间优先保护单元的空间布局约束要求。本项目为光伏发电项目，主要生态影响集中于施工期，施工期结束后，影响逐渐消失，不会对此单元中的生态环境造成不可逆的破坏，且项目属于鼓励类项目，符合本单元的管控要求</w:t>
                  </w:r>
                  <w:r>
                    <w:rPr>
                      <w:rFonts w:hint="eastAsia"/>
                    </w:rPr>
                    <w:t>，在</w:t>
                  </w:r>
                  <w:r>
                    <w:t>符合优先管控单元的</w:t>
                  </w:r>
                  <w:r>
                    <w:rPr>
                      <w:rFonts w:hint="eastAsia"/>
                    </w:rPr>
                    <w:t>“</w:t>
                  </w:r>
                  <w:r>
                    <w:t>生态环境保护要求的基础上，发展不影响主体功能定位的产业</w:t>
                  </w:r>
                  <w:r>
                    <w:rPr>
                      <w:rFonts w:hint="eastAsia"/>
                    </w:rPr>
                    <w:t>”</w:t>
                  </w:r>
                  <w:r>
                    <w:t>的要求。项目为占用一般生态空间的开发活动，已经在立项后按照相关法律法规办理了各主管部门的选址意见以及相应的审批手续，且经过环评报告对于大气环境、噪声、废水、固废和电磁环境的影响分析以及治理措施分析后，对项目的建设对环境的影响进行了论证，并要求在之后的施工运营中加强管理。</w:t>
                  </w:r>
                </w:p>
                <w:p w14:paraId="157C4640">
                  <w:pPr>
                    <w:pStyle w:val="23"/>
                    <w:ind w:left="0" w:leftChars="0"/>
                  </w:pPr>
                  <w:r>
                    <w:rPr>
                      <w:rFonts w:hint="eastAsia" w:eastAsia="Cambria"/>
                    </w:rPr>
                    <w:t>（2）</w:t>
                  </w:r>
                  <w:r>
                    <w:rPr>
                      <w:rFonts w:hint="eastAsia" w:ascii="宋体" w:hAnsi="宋体" w:cs="宋体"/>
                    </w:rPr>
                    <w:t>项目涉及云南省生物多样性优先保护区的“滇东北乌蒙山湿润常绿阔叶林区”，该类型受人为干扰影响较大，次生性强，生物多样性低，项目不涉及占用其他自然植被，也不涉及区内巧家五针松、攀枝花苏铁、朴菊木、林麝、云豹、白腹锦鸡等主要保护物种</w:t>
                  </w:r>
                  <w:r>
                    <w:rPr>
                      <w:rFonts w:eastAsia="Cambria"/>
                    </w:rPr>
                    <w:t>。</w:t>
                  </w:r>
                </w:p>
              </w:tc>
              <w:tc>
                <w:tcPr>
                  <w:tcW w:w="518" w:type="pct"/>
                  <w:vAlign w:val="center"/>
                </w:tcPr>
                <w:p w14:paraId="487F7223">
                  <w:pPr>
                    <w:jc w:val="center"/>
                  </w:pPr>
                  <w:r>
                    <w:rPr>
                      <w:rFonts w:hint="eastAsia" w:ascii="宋体"/>
                      <w:kern w:val="0"/>
                      <w:szCs w:val="20"/>
                    </w:rPr>
                    <w:t>符合</w:t>
                  </w:r>
                </w:p>
              </w:tc>
            </w:tr>
            <w:tr w14:paraId="7EC0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6" w:type="pct"/>
                  <w:vMerge w:val="restart"/>
                  <w:vAlign w:val="center"/>
                </w:tcPr>
                <w:p w14:paraId="514442A5">
                  <w:pPr>
                    <w:jc w:val="center"/>
                  </w:pPr>
                  <w:r>
                    <w:t>会泽县矿产资源重点管控单元（</w:t>
                  </w:r>
                  <w:r>
                    <w:rPr>
                      <w:rFonts w:eastAsia="MS Mincho"/>
                      <w:kern w:val="0"/>
                      <w:sz w:val="22"/>
                      <w:szCs w:val="22"/>
                      <w:lang w:bidi="ar"/>
                    </w:rPr>
                    <w:t>ZH53032620003</w:t>
                  </w:r>
                  <w:r>
                    <w:t>）</w:t>
                  </w:r>
                </w:p>
              </w:tc>
              <w:tc>
                <w:tcPr>
                  <w:tcW w:w="261" w:type="pct"/>
                  <w:vAlign w:val="center"/>
                </w:tcPr>
                <w:p w14:paraId="25D091A7">
                  <w:r>
                    <w:t>空间布局约束</w:t>
                  </w:r>
                </w:p>
              </w:tc>
              <w:tc>
                <w:tcPr>
                  <w:tcW w:w="1816" w:type="pct"/>
                  <w:vAlign w:val="center"/>
                </w:tcPr>
                <w:p w14:paraId="7AB00469">
                  <w:r>
                    <w:rPr>
                      <w:rFonts w:hint="eastAsia"/>
                    </w:rPr>
                    <w:t>（1）</w:t>
                  </w:r>
                  <w:r>
                    <w:t>禁止在自然保护区内进行开矿、采石、挖沙等活动。禁止在风景名胜区内进行开山、采石、开矿、开荒、修坟立碑等破坏景观、植被和地形地貌的活动以及修建储存爆炸性、易燃性、放射性、毒害性、腐蚀性物品的设施。涉及其他自然保护地已经纳入生态保护红线的按照生态保护红线管控要求进行管理，暂未纳入生态保护红线的，按照涉及的自然保护地管理法律法规执行。</w:t>
                  </w:r>
                </w:p>
                <w:p w14:paraId="2C966C1C">
                  <w:pPr>
                    <w:pStyle w:val="23"/>
                    <w:ind w:left="0" w:leftChars="0"/>
                  </w:pPr>
                  <w:r>
                    <w:rPr>
                      <w:rFonts w:hint="eastAsia"/>
                    </w:rPr>
                    <w:t>（2）</w:t>
                  </w:r>
                  <w:r>
                    <w:t>国家规划矿区实行统一规划，优化保障战略性矿产勘查开发，提高准入门槛，原则上新建矿山规模应达到中型以上，形成以大中型矿山为主体的开发格局，推动优质资源的规模开发、集约节约利用，形成保障战略性矿产安全供给的接续区。</w:t>
                  </w:r>
                </w:p>
                <w:p w14:paraId="644B16D1">
                  <w:r>
                    <w:rPr>
                      <w:rFonts w:hint="eastAsia"/>
                    </w:rPr>
                    <w:t>（3）</w:t>
                  </w:r>
                  <w:r>
                    <w:t>提高矿山准入门槛，严格执行非煤矿山最低开采规模和服务年限标准，严防边关闭边低水平重复建设，切实提高非煤矿山规模。</w:t>
                  </w:r>
                </w:p>
                <w:p w14:paraId="789E7B8B">
                  <w:pPr>
                    <w:pStyle w:val="23"/>
                    <w:ind w:left="0" w:leftChars="0"/>
                  </w:pPr>
                  <w:r>
                    <w:rPr>
                      <w:rFonts w:hint="eastAsia"/>
                    </w:rPr>
                    <w:t>（4）</w:t>
                  </w:r>
                  <w:r>
                    <w:t>合理、有序投放普通建筑用砂石土类采矿权，优化砂石资源规划布局，支持有条件地区划定集中开采区。</w:t>
                  </w:r>
                </w:p>
                <w:p w14:paraId="350BDA75">
                  <w:r>
                    <w:rPr>
                      <w:rFonts w:hint="eastAsia" w:eastAsia="Cambria"/>
                    </w:rPr>
                    <w:t>（5）</w:t>
                  </w:r>
                  <w:r>
                    <w:rPr>
                      <w:rFonts w:eastAsia="Cambria"/>
                    </w:rPr>
                    <w:t>落实《云南省矿产资源总体规划》《曲靖市矿产资源总体规划》《会泽县矿产资源总体规划》。</w:t>
                  </w:r>
                </w:p>
              </w:tc>
              <w:tc>
                <w:tcPr>
                  <w:tcW w:w="1777" w:type="pct"/>
                  <w:vAlign w:val="center"/>
                </w:tcPr>
                <w:p w14:paraId="6646042E">
                  <w:pPr>
                    <w:topLinePunct/>
                  </w:pPr>
                  <w:r>
                    <w:rPr>
                      <w:rFonts w:hint="eastAsia"/>
                    </w:rPr>
                    <w:t>项目</w:t>
                  </w:r>
                  <w:r>
                    <w:rPr>
                      <w:snapToGrid w:val="0"/>
                      <w:color w:val="000000"/>
                      <w:kern w:val="0"/>
                    </w:rPr>
                    <w:t>为光伏发电项目，属于清洁能源，项目建设</w:t>
                  </w:r>
                  <w:r>
                    <w:rPr>
                      <w:rFonts w:hint="eastAsia"/>
                      <w:snapToGrid w:val="0"/>
                      <w:color w:val="000000"/>
                      <w:kern w:val="0"/>
                    </w:rPr>
                    <w:t>不在</w:t>
                  </w:r>
                  <w:r>
                    <w:t>自然保护区</w:t>
                  </w:r>
                  <w:r>
                    <w:rPr>
                      <w:rFonts w:hint="eastAsia"/>
                    </w:rPr>
                    <w:t>、</w:t>
                  </w:r>
                  <w:r>
                    <w:t>生态保护红线</w:t>
                  </w:r>
                  <w:r>
                    <w:rPr>
                      <w:rFonts w:hint="eastAsia"/>
                    </w:rPr>
                    <w:t>范围内，集电线路跨越“金沙江下游-小江流域水土流失控制生态保护红线”，不存在</w:t>
                  </w:r>
                  <w:r>
                    <w:t>开山、采石、开矿、开荒、修坟立碑</w:t>
                  </w:r>
                  <w:r>
                    <w:rPr>
                      <w:rFonts w:hint="eastAsia"/>
                    </w:rPr>
                    <w:t>以及</w:t>
                  </w:r>
                  <w:r>
                    <w:t>修建储存爆炸性、易燃性、放射性、毒害性、腐蚀性物品设施</w:t>
                  </w:r>
                  <w:r>
                    <w:rPr>
                      <w:rFonts w:hint="eastAsia"/>
                    </w:rPr>
                    <w:t>的活动。项目部分光伏阵列（</w:t>
                  </w:r>
                  <w:r>
                    <w:t>L14</w:t>
                  </w:r>
                  <w:r>
                    <w:rPr>
                      <w:rFonts w:hint="eastAsia"/>
                    </w:rPr>
                    <w:t>、L</w:t>
                  </w:r>
                  <w:r>
                    <w:t>15</w:t>
                  </w:r>
                  <w:r>
                    <w:rPr>
                      <w:rFonts w:hint="eastAsia"/>
                    </w:rPr>
                    <w:t>）位于</w:t>
                  </w:r>
                  <w:r>
                    <w:t>会泽县矿产资源重点管控单元</w:t>
                  </w:r>
                  <w:r>
                    <w:rPr>
                      <w:rFonts w:hint="eastAsia"/>
                    </w:rPr>
                    <w:t>，根据曲靖市自然资源和规划局关于绿坪村光伏发电项目用地未压覆矿产资源调查结果备案的函，本项目未压覆重要矿产资源。</w:t>
                  </w:r>
                </w:p>
              </w:tc>
              <w:tc>
                <w:tcPr>
                  <w:tcW w:w="518" w:type="pct"/>
                  <w:vAlign w:val="center"/>
                </w:tcPr>
                <w:p w14:paraId="3575CC43">
                  <w:pPr>
                    <w:jc w:val="center"/>
                  </w:pPr>
                  <w:r>
                    <w:t>符合</w:t>
                  </w:r>
                </w:p>
              </w:tc>
            </w:tr>
            <w:tr w14:paraId="3A02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6" w:type="pct"/>
                  <w:vMerge w:val="continue"/>
                  <w:vAlign w:val="center"/>
                </w:tcPr>
                <w:p w14:paraId="713F2E95">
                  <w:pPr>
                    <w:jc w:val="center"/>
                  </w:pPr>
                </w:p>
              </w:tc>
              <w:tc>
                <w:tcPr>
                  <w:tcW w:w="261" w:type="pct"/>
                  <w:vAlign w:val="center"/>
                </w:tcPr>
                <w:p w14:paraId="6E1999AF">
                  <w:r>
                    <w:rPr>
                      <w:lang w:eastAsia="en-US"/>
                    </w:rPr>
                    <w:t>污染物排放管控</w:t>
                  </w:r>
                </w:p>
              </w:tc>
              <w:tc>
                <w:tcPr>
                  <w:tcW w:w="1816" w:type="pct"/>
                  <w:vAlign w:val="center"/>
                </w:tcPr>
                <w:p w14:paraId="1C138D4D">
                  <w:r>
                    <w:rPr>
                      <w:rFonts w:hint="eastAsia"/>
                    </w:rPr>
                    <w:t>（1）</w:t>
                  </w:r>
                  <w:r>
                    <w:t>执行重点水污染物排放总量控制制度；禁止将含有汞、镉、砷、铬、氰化物等可溶性剧毒废渣向水体排放。</w:t>
                  </w:r>
                </w:p>
                <w:p w14:paraId="31EE0480">
                  <w:r>
                    <w:rPr>
                      <w:rFonts w:hint="eastAsia"/>
                    </w:rPr>
                    <w:t>（2）</w:t>
                  </w:r>
                  <w:r>
                    <w:t>采取综合防治措施，提高水的重复利用率、减少废水和污染物排放量。</w:t>
                  </w:r>
                </w:p>
                <w:p w14:paraId="1D64F9CE">
                  <w:r>
                    <w:rPr>
                      <w:rFonts w:hint="eastAsia"/>
                    </w:rPr>
                    <w:t>（3）</w:t>
                  </w:r>
                  <w:r>
                    <w:t>非煤矿山应采用清洁生产工艺，配套建设除尘装置。</w:t>
                  </w:r>
                </w:p>
                <w:p w14:paraId="197BB54E">
                  <w:pPr>
                    <w:pStyle w:val="23"/>
                    <w:ind w:left="0" w:leftChars="0"/>
                  </w:pPr>
                  <w:r>
                    <w:rPr>
                      <w:rFonts w:hint="eastAsia"/>
                    </w:rPr>
                    <w:t>（4）</w:t>
                  </w:r>
                  <w:r>
                    <w:t>加强精细化管理，采取集中收集处理等措施，严格控制粉尘和气态污染物的排放。</w:t>
                  </w:r>
                </w:p>
              </w:tc>
              <w:tc>
                <w:tcPr>
                  <w:tcW w:w="1777" w:type="pct"/>
                  <w:vAlign w:val="center"/>
                </w:tcPr>
                <w:p w14:paraId="123DD1B7">
                  <w:pPr>
                    <w:pStyle w:val="14"/>
                    <w:ind w:firstLine="0"/>
                    <w:rPr>
                      <w:rFonts w:ascii="Times New Roman" w:hAnsi="Times New Roman" w:cs="Times New Roman"/>
                    </w:rPr>
                  </w:pPr>
                  <w:r>
                    <w:rPr>
                      <w:rFonts w:ascii="Times New Roman" w:hAnsi="Times New Roman" w:cs="Times New Roman"/>
                    </w:rPr>
                    <w:t>（1）项目为光伏发电项目，建设地点位于曲靖市会泽县，项目施工期和运营期不产生有毒有害水污染物，同时无废水外排，不设废水排污口。</w:t>
                  </w:r>
                </w:p>
                <w:p w14:paraId="5FAE6EA5">
                  <w:r>
                    <w:rPr>
                      <w:rFonts w:hint="eastAsia"/>
                    </w:rPr>
                    <w:t>（2）项目属于光伏发电项目，属于生产清洁能源的项目，运营期光伏区清洗废水用于光伏板下植被，升压站废水处理后全部回用绿化，均不向外排放污染物，提高废水的重复利用。</w:t>
                  </w:r>
                </w:p>
                <w:p w14:paraId="2DEC21B3">
                  <w:r>
                    <w:rPr>
                      <w:rFonts w:hint="eastAsia"/>
                    </w:rPr>
                    <w:t>（3）本项目为光伏发电项目，大气污染主要集中于施工期产生的颗粒物，通过降尘洒水措施治理，能够达到排放要求。</w:t>
                  </w:r>
                </w:p>
              </w:tc>
              <w:tc>
                <w:tcPr>
                  <w:tcW w:w="518" w:type="pct"/>
                  <w:vAlign w:val="center"/>
                </w:tcPr>
                <w:p w14:paraId="7847FDAF">
                  <w:pPr>
                    <w:jc w:val="center"/>
                  </w:pPr>
                  <w:r>
                    <w:rPr>
                      <w:rFonts w:hint="eastAsia"/>
                    </w:rPr>
                    <w:t>符合</w:t>
                  </w:r>
                </w:p>
              </w:tc>
            </w:tr>
            <w:tr w14:paraId="4BE5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6" w:type="pct"/>
                  <w:vMerge w:val="continue"/>
                  <w:vAlign w:val="center"/>
                </w:tcPr>
                <w:p w14:paraId="1B2B697D">
                  <w:pPr>
                    <w:jc w:val="center"/>
                  </w:pPr>
                </w:p>
              </w:tc>
              <w:tc>
                <w:tcPr>
                  <w:tcW w:w="261" w:type="pct"/>
                  <w:vAlign w:val="center"/>
                </w:tcPr>
                <w:p w14:paraId="404C43A6">
                  <w:pPr>
                    <w:rPr>
                      <w:lang w:eastAsia="en-US"/>
                    </w:rPr>
                  </w:pPr>
                  <w:r>
                    <w:rPr>
                      <w:lang w:eastAsia="en-US"/>
                    </w:rPr>
                    <w:t>环境风险防控</w:t>
                  </w:r>
                </w:p>
              </w:tc>
              <w:tc>
                <w:tcPr>
                  <w:tcW w:w="1816" w:type="pct"/>
                  <w:vAlign w:val="center"/>
                </w:tcPr>
                <w:p w14:paraId="3B408F69">
                  <w:pPr>
                    <w:pStyle w:val="23"/>
                    <w:ind w:left="0" w:leftChars="0"/>
                  </w:pPr>
                  <w:r>
                    <w:rPr>
                      <w:rFonts w:hint="eastAsia"/>
                    </w:rPr>
                    <w:t>（1）</w:t>
                  </w:r>
                  <w:r>
                    <w:t>产生、利用或处置含重金属的固体废物（含危险废物）的企业在贮存、转移、利用、处置固体废物（含危险废物）过程中，应配套防扬散、防流失、防渗漏及其他防止污染环境的措施。</w:t>
                  </w:r>
                </w:p>
                <w:p w14:paraId="7B528256">
                  <w:r>
                    <w:rPr>
                      <w:rFonts w:hint="eastAsia"/>
                    </w:rPr>
                    <w:t>（2）</w:t>
                  </w:r>
                  <w:r>
                    <w:t>各工矿企业应当结合风险源状况明确环境风险的防范、减缓措施。构建</w:t>
                  </w:r>
                  <w:r>
                    <w:rPr>
                      <w:rFonts w:hint="eastAsia"/>
                    </w:rPr>
                    <w:t>“</w:t>
                  </w:r>
                  <w:r>
                    <w:t>单元—厂区—园区（区域）</w:t>
                  </w:r>
                  <w:r>
                    <w:rPr>
                      <w:rFonts w:hint="eastAsia"/>
                    </w:rPr>
                    <w:t>”</w:t>
                  </w:r>
                  <w:r>
                    <w:t>的环境风险防控体系，设置事故废水收集和应急储存设施。加强地下水环境的监控、预警。编制企事业单位突发环境事件应急预案。金属矿山开采过程中需对人群健康风险进行识别，采取有效措施预防由矿山开发利用带来的疾病。</w:t>
                  </w:r>
                </w:p>
              </w:tc>
              <w:tc>
                <w:tcPr>
                  <w:tcW w:w="1777" w:type="pct"/>
                  <w:vAlign w:val="center"/>
                </w:tcPr>
                <w:p w14:paraId="10724B8D">
                  <w:pPr>
                    <w:rPr>
                      <w:rFonts w:hint="eastAsia"/>
                    </w:rPr>
                  </w:pPr>
                  <w:r>
                    <w:rPr>
                      <w:rFonts w:hint="eastAsia"/>
                    </w:rPr>
                    <w:t>项目为光伏发电项目，在设计、施工、运营阶段对环境风险进行防控，设置危废贮存间，事故油池等风险防控治理措施，并编制突发环境事件应急预案。</w:t>
                  </w:r>
                </w:p>
              </w:tc>
              <w:tc>
                <w:tcPr>
                  <w:tcW w:w="518" w:type="pct"/>
                  <w:vAlign w:val="center"/>
                </w:tcPr>
                <w:p w14:paraId="18D618CE">
                  <w:pPr>
                    <w:jc w:val="center"/>
                  </w:pPr>
                  <w:r>
                    <w:rPr>
                      <w:rFonts w:hint="eastAsia"/>
                    </w:rPr>
                    <w:t>符合</w:t>
                  </w:r>
                </w:p>
              </w:tc>
            </w:tr>
            <w:tr w14:paraId="7612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6" w:type="pct"/>
                  <w:vMerge w:val="continue"/>
                  <w:vAlign w:val="center"/>
                </w:tcPr>
                <w:p w14:paraId="15E8B4A2">
                  <w:pPr>
                    <w:jc w:val="center"/>
                  </w:pPr>
                </w:p>
              </w:tc>
              <w:tc>
                <w:tcPr>
                  <w:tcW w:w="261" w:type="pct"/>
                  <w:vAlign w:val="center"/>
                </w:tcPr>
                <w:p w14:paraId="5F903E1A">
                  <w:pPr>
                    <w:rPr>
                      <w:lang w:eastAsia="en-US"/>
                    </w:rPr>
                  </w:pPr>
                  <w:r>
                    <w:rPr>
                      <w:lang w:eastAsia="en-US"/>
                    </w:rPr>
                    <w:t>资源开发效率要求</w:t>
                  </w:r>
                </w:p>
              </w:tc>
              <w:tc>
                <w:tcPr>
                  <w:tcW w:w="1816" w:type="pct"/>
                  <w:vAlign w:val="center"/>
                </w:tcPr>
                <w:p w14:paraId="1CC2F799">
                  <w:r>
                    <w:rPr>
                      <w:rFonts w:hint="eastAsia"/>
                    </w:rPr>
                    <w:t>（1）</w:t>
                  </w:r>
                  <w:r>
                    <w:t>贯彻</w:t>
                  </w:r>
                  <w:r>
                    <w:rPr>
                      <w:rFonts w:hint="eastAsia"/>
                    </w:rPr>
                    <w:t>“</w:t>
                  </w:r>
                  <w:r>
                    <w:t>边开采、边治理、边恢复</w:t>
                  </w:r>
                  <w:r>
                    <w:rPr>
                      <w:rFonts w:hint="eastAsia"/>
                    </w:rPr>
                    <w:t>”</w:t>
                  </w:r>
                  <w:r>
                    <w:t>的原则，及时治理恢复矿山地质环境，复垦矿山占用土地和损毁土地。</w:t>
                  </w:r>
                </w:p>
                <w:p w14:paraId="26A1604C">
                  <w:r>
                    <w:rPr>
                      <w:rFonts w:hint="eastAsia"/>
                    </w:rPr>
                    <w:t>（2）</w:t>
                  </w:r>
                  <w:r>
                    <w:t>从源头减少废水产生，实施清污分流，充分利用矿井水、循环利用选矿水。</w:t>
                  </w:r>
                </w:p>
                <w:p w14:paraId="5A28DE64">
                  <w:r>
                    <w:rPr>
                      <w:rFonts w:hint="eastAsia"/>
                    </w:rPr>
                    <w:t>（3）</w:t>
                  </w:r>
                  <w:r>
                    <w:t>加快老旧矿山改造升级，建设绿色矿山，提高矿产资源回采率和综合回收率。</w:t>
                  </w:r>
                </w:p>
                <w:p w14:paraId="60253BC5">
                  <w:r>
                    <w:rPr>
                      <w:rFonts w:hint="eastAsia"/>
                    </w:rPr>
                    <w:t>（4）</w:t>
                  </w:r>
                  <w:r>
                    <w:t>加强尾矿、废石等资源的再利用与资源综合利用，对尾矿库、废石堆通过平整、覆土、恢复植被等措施开展生态修复。</w:t>
                  </w:r>
                </w:p>
              </w:tc>
              <w:tc>
                <w:tcPr>
                  <w:tcW w:w="1777" w:type="pct"/>
                  <w:vAlign w:val="center"/>
                </w:tcPr>
                <w:p w14:paraId="2D48D4F3">
                  <w:r>
                    <w:rPr>
                      <w:rFonts w:hint="eastAsia"/>
                    </w:rPr>
                    <w:t>项目为光伏发电项目，项目的建设和运营均满足《产业结构调整指导目录（2024年本）》中鼓励类的项目以及规划要求，不涉及矿产资源开发、利用活动。</w:t>
                  </w:r>
                </w:p>
              </w:tc>
              <w:tc>
                <w:tcPr>
                  <w:tcW w:w="518" w:type="pct"/>
                  <w:vAlign w:val="center"/>
                </w:tcPr>
                <w:p w14:paraId="1A1039C4">
                  <w:pPr>
                    <w:jc w:val="center"/>
                  </w:pPr>
                  <w:r>
                    <w:rPr>
                      <w:rFonts w:hint="eastAsia"/>
                    </w:rPr>
                    <w:t>符合</w:t>
                  </w:r>
                </w:p>
              </w:tc>
            </w:tr>
            <w:tr w14:paraId="66C3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6" w:type="pct"/>
                  <w:vMerge w:val="restart"/>
                  <w:vAlign w:val="center"/>
                </w:tcPr>
                <w:p w14:paraId="1176C449">
                  <w:pPr>
                    <w:jc w:val="center"/>
                  </w:pPr>
                  <w:r>
                    <w:t>会泽县一般管控单元</w:t>
                  </w:r>
                </w:p>
                <w:p w14:paraId="24470FFF">
                  <w:pPr>
                    <w:jc w:val="center"/>
                  </w:pPr>
                  <w:r>
                    <w:rPr>
                      <w:rFonts w:hint="eastAsia"/>
                    </w:rPr>
                    <w:t>(</w:t>
                  </w:r>
                  <w:r>
                    <w:t>ZH53032630001）</w:t>
                  </w:r>
                </w:p>
              </w:tc>
              <w:tc>
                <w:tcPr>
                  <w:tcW w:w="261" w:type="pct"/>
                  <w:vAlign w:val="center"/>
                </w:tcPr>
                <w:p w14:paraId="61DA3879">
                  <w:pPr>
                    <w:rPr>
                      <w:lang w:eastAsia="en-US"/>
                    </w:rPr>
                  </w:pPr>
                  <w:r>
                    <w:rPr>
                      <w:lang w:eastAsia="en-US"/>
                    </w:rPr>
                    <w:t>空间布局约束</w:t>
                  </w:r>
                </w:p>
              </w:tc>
              <w:tc>
                <w:tcPr>
                  <w:tcW w:w="1816" w:type="pct"/>
                  <w:vAlign w:val="center"/>
                </w:tcPr>
                <w:p w14:paraId="22BAC27C">
                  <w:r>
                    <w:rPr>
                      <w:rFonts w:hint="eastAsia"/>
                    </w:rPr>
                    <w:t>（1）</w:t>
                  </w:r>
                  <w:r>
                    <w:t>加强耕地和永久基本农田保护，坚决制止耕地</w:t>
                  </w:r>
                  <w:r>
                    <w:rPr>
                      <w:rFonts w:hint="eastAsia"/>
                    </w:rPr>
                    <w:t>“</w:t>
                  </w:r>
                  <w:r>
                    <w:t>非农化</w:t>
                  </w:r>
                  <w:r>
                    <w:rPr>
                      <w:rFonts w:hint="eastAsia"/>
                    </w:rPr>
                    <w:t>”</w:t>
                  </w:r>
                  <w:r>
                    <w:t>、防止耕地</w:t>
                  </w:r>
                  <w:r>
                    <w:rPr>
                      <w:rFonts w:hint="eastAsia"/>
                    </w:rPr>
                    <w:t>“</w:t>
                  </w:r>
                  <w:r>
                    <w:t>非粮化</w:t>
                  </w:r>
                  <w:r>
                    <w:rPr>
                      <w:rFonts w:hint="eastAsia"/>
                    </w:rPr>
                    <w:t>”</w:t>
                  </w:r>
                  <w:r>
                    <w:t>。</w:t>
                  </w:r>
                </w:p>
                <w:p w14:paraId="73314C90">
                  <w:r>
                    <w:rPr>
                      <w:rFonts w:hint="eastAsia"/>
                    </w:rPr>
                    <w:t>（2）</w:t>
                  </w:r>
                  <w:r>
                    <w:t>禁止新建、改扩建中小水电项目，现有中小水电站应按照环评批复（环评批复未明确生态流量的根据来水量科学确定生态流量），确保连续稳定下泄生态流量。</w:t>
                  </w:r>
                </w:p>
              </w:tc>
              <w:tc>
                <w:tcPr>
                  <w:tcW w:w="1777" w:type="pct"/>
                  <w:vAlign w:val="center"/>
                </w:tcPr>
                <w:p w14:paraId="18E8B291">
                  <w:r>
                    <w:rPr>
                      <w:rFonts w:hint="eastAsia"/>
                    </w:rPr>
                    <w:t>（1）项目永久占地及光伏场区用地为草地和园地，不涉及基本农田，不突破耕地保护红线，不会对耕地产生较大影响。</w:t>
                  </w:r>
                </w:p>
                <w:p w14:paraId="0C41A522">
                  <w:r>
                    <w:rPr>
                      <w:rFonts w:hint="eastAsia"/>
                    </w:rPr>
                    <w:t>（2）项目为光伏发电项目，不属于水电项目。</w:t>
                  </w:r>
                </w:p>
              </w:tc>
              <w:tc>
                <w:tcPr>
                  <w:tcW w:w="518" w:type="pct"/>
                  <w:vAlign w:val="center"/>
                </w:tcPr>
                <w:p w14:paraId="547AF2E3">
                  <w:pPr>
                    <w:jc w:val="center"/>
                  </w:pPr>
                  <w:r>
                    <w:rPr>
                      <w:rFonts w:hint="eastAsia"/>
                    </w:rPr>
                    <w:t>符合</w:t>
                  </w:r>
                </w:p>
              </w:tc>
            </w:tr>
            <w:tr w14:paraId="4E56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6" w:type="pct"/>
                  <w:vMerge w:val="continue"/>
                  <w:vAlign w:val="center"/>
                </w:tcPr>
                <w:p w14:paraId="522FF83A">
                  <w:pPr>
                    <w:jc w:val="center"/>
                  </w:pPr>
                </w:p>
              </w:tc>
              <w:tc>
                <w:tcPr>
                  <w:tcW w:w="261" w:type="pct"/>
                  <w:vAlign w:val="center"/>
                </w:tcPr>
                <w:p w14:paraId="5737AB61">
                  <w:pPr>
                    <w:rPr>
                      <w:lang w:eastAsia="en-US"/>
                    </w:rPr>
                  </w:pPr>
                  <w:r>
                    <w:rPr>
                      <w:lang w:eastAsia="en-US"/>
                    </w:rPr>
                    <w:t>污染物排放管控</w:t>
                  </w:r>
                </w:p>
              </w:tc>
              <w:tc>
                <w:tcPr>
                  <w:tcW w:w="1816" w:type="pct"/>
                  <w:vAlign w:val="center"/>
                </w:tcPr>
                <w:p w14:paraId="5EC08C49">
                  <w:r>
                    <w:rPr>
                      <w:rFonts w:hint="eastAsia"/>
                    </w:rPr>
                    <w:t>（1）</w:t>
                  </w:r>
                  <w:r>
                    <w:t>严禁污水灌溉，灌溉用水应满足《农田灌溉水质标准》。</w:t>
                  </w:r>
                </w:p>
                <w:p w14:paraId="242A8E7D">
                  <w:r>
                    <w:rPr>
                      <w:rFonts w:hint="eastAsia"/>
                    </w:rPr>
                    <w:t>（2）</w:t>
                  </w:r>
                  <w:r>
                    <w:t>现有工业企业应达标排放，逐步提升清洁生产水平，减少污染物排放量。</w:t>
                  </w:r>
                </w:p>
                <w:p w14:paraId="291BF2E9">
                  <w:r>
                    <w:rPr>
                      <w:rFonts w:hint="eastAsia"/>
                    </w:rPr>
                    <w:t>（3）</w:t>
                  </w:r>
                  <w:r>
                    <w:t>加强农业面源污染治理，严格控制化肥农药施用量，合理布局水产养殖，控制水产养殖污染，逐步削减农业面源污染物排放量。</w:t>
                  </w:r>
                </w:p>
              </w:tc>
              <w:tc>
                <w:tcPr>
                  <w:tcW w:w="1777" w:type="pct"/>
                  <w:vAlign w:val="center"/>
                </w:tcPr>
                <w:p w14:paraId="19AB1659">
                  <w:r>
                    <w:rPr>
                      <w:rFonts w:hint="eastAsia"/>
                    </w:rPr>
                    <w:t>项目为光伏发电项目，运营期工艺不需要用水，无工业用水，且项目的建设和运营均满足《产业结构调整指导目录（2024年本）》中鼓励类的项目以及规划要求，不属于法律法规明令禁止的高能耗、高污染、产能过剩项目。</w:t>
                  </w:r>
                </w:p>
              </w:tc>
              <w:tc>
                <w:tcPr>
                  <w:tcW w:w="518" w:type="pct"/>
                  <w:vAlign w:val="center"/>
                </w:tcPr>
                <w:p w14:paraId="547C9DA5">
                  <w:pPr>
                    <w:jc w:val="center"/>
                  </w:pPr>
                  <w:r>
                    <w:rPr>
                      <w:rFonts w:hint="eastAsia"/>
                    </w:rPr>
                    <w:t>符合</w:t>
                  </w:r>
                </w:p>
              </w:tc>
            </w:tr>
            <w:tr w14:paraId="5402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6" w:type="pct"/>
                  <w:vMerge w:val="continue"/>
                  <w:vAlign w:val="center"/>
                </w:tcPr>
                <w:p w14:paraId="4B57D356">
                  <w:pPr>
                    <w:jc w:val="center"/>
                  </w:pPr>
                </w:p>
              </w:tc>
              <w:tc>
                <w:tcPr>
                  <w:tcW w:w="261" w:type="pct"/>
                  <w:vAlign w:val="center"/>
                </w:tcPr>
                <w:p w14:paraId="6CDF0648">
                  <w:pPr>
                    <w:rPr>
                      <w:lang w:eastAsia="en-US"/>
                    </w:rPr>
                  </w:pPr>
                  <w:r>
                    <w:rPr>
                      <w:lang w:eastAsia="en-US"/>
                    </w:rPr>
                    <w:t>环境风险防控</w:t>
                  </w:r>
                </w:p>
              </w:tc>
              <w:tc>
                <w:tcPr>
                  <w:tcW w:w="1816" w:type="pct"/>
                  <w:vAlign w:val="center"/>
                </w:tcPr>
                <w:p w14:paraId="31FB9F25">
                  <w:r>
                    <w:rPr>
                      <w:rFonts w:hint="eastAsia"/>
                    </w:rPr>
                    <w:t>（1）</w:t>
                  </w:r>
                  <w:r>
                    <w:t>禁止使用国家规定的禁限用农药名录中的农药。</w:t>
                  </w:r>
                </w:p>
                <w:p w14:paraId="50682288">
                  <w:r>
                    <w:rPr>
                      <w:rFonts w:hint="eastAsia"/>
                    </w:rPr>
                    <w:t>（2）</w:t>
                  </w:r>
                  <w:r>
                    <w:rPr>
                      <w:rFonts w:hint="eastAsia"/>
                      <w:lang w:eastAsia="zh-CN"/>
                    </w:rPr>
                    <w:t>加强环境风险防控</w:t>
                  </w:r>
                  <w:r>
                    <w:t>应急体系建设，加强环境应急预案管理，定期开展应急演练，持续开展环境安全隐患排查整治，提升应急监测能力，加强应急物资管理。</w:t>
                  </w:r>
                </w:p>
              </w:tc>
              <w:tc>
                <w:tcPr>
                  <w:tcW w:w="1777" w:type="pct"/>
                  <w:vAlign w:val="center"/>
                </w:tcPr>
                <w:p w14:paraId="5F05CD6D">
                  <w:r>
                    <w:rPr>
                      <w:rFonts w:hint="eastAsia"/>
                    </w:rPr>
                    <w:t>项目为光伏发电项目，在设计、施工、运营阶段对环境风险进行防控，设置危废贮存间，事故油池等风险防控治理措施，并编制突发环境事件应急预案。</w:t>
                  </w:r>
                </w:p>
              </w:tc>
              <w:tc>
                <w:tcPr>
                  <w:tcW w:w="518" w:type="pct"/>
                  <w:vAlign w:val="center"/>
                </w:tcPr>
                <w:p w14:paraId="6D6C34ED">
                  <w:pPr>
                    <w:jc w:val="center"/>
                  </w:pPr>
                  <w:r>
                    <w:rPr>
                      <w:rFonts w:hint="eastAsia"/>
                    </w:rPr>
                    <w:t>符合</w:t>
                  </w:r>
                </w:p>
              </w:tc>
            </w:tr>
            <w:tr w14:paraId="50B3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26" w:type="pct"/>
                  <w:vMerge w:val="continue"/>
                  <w:vAlign w:val="center"/>
                </w:tcPr>
                <w:p w14:paraId="278FB8CC">
                  <w:pPr>
                    <w:jc w:val="center"/>
                  </w:pPr>
                </w:p>
              </w:tc>
              <w:tc>
                <w:tcPr>
                  <w:tcW w:w="261" w:type="pct"/>
                  <w:vAlign w:val="center"/>
                </w:tcPr>
                <w:p w14:paraId="1F53D10E">
                  <w:pPr>
                    <w:rPr>
                      <w:lang w:eastAsia="en-US"/>
                    </w:rPr>
                  </w:pPr>
                  <w:r>
                    <w:rPr>
                      <w:lang w:eastAsia="en-US"/>
                    </w:rPr>
                    <w:t>资源开发效率要求</w:t>
                  </w:r>
                </w:p>
              </w:tc>
              <w:tc>
                <w:tcPr>
                  <w:tcW w:w="1816" w:type="pct"/>
                  <w:vAlign w:val="center"/>
                </w:tcPr>
                <w:p w14:paraId="0EC6C22B">
                  <w:r>
                    <w:rPr>
                      <w:rFonts w:hint="eastAsia"/>
                    </w:rPr>
                    <w:t>（1）</w:t>
                  </w:r>
                  <w:r>
                    <w:t>优化能源结构，加强能源清洁利用。</w:t>
                  </w:r>
                </w:p>
                <w:p w14:paraId="6A01C2B2">
                  <w:r>
                    <w:rPr>
                      <w:rFonts w:hint="eastAsia"/>
                    </w:rPr>
                    <w:t>（2）</w:t>
                  </w:r>
                  <w:r>
                    <w:t>提高土地利用效率，节约集约利用土地资源。</w:t>
                  </w:r>
                </w:p>
              </w:tc>
              <w:tc>
                <w:tcPr>
                  <w:tcW w:w="1777" w:type="pct"/>
                  <w:vAlign w:val="center"/>
                </w:tcPr>
                <w:p w14:paraId="4E6F213D">
                  <w:pPr>
                    <w:rPr>
                      <w:rFonts w:hint="eastAsia"/>
                    </w:rPr>
                  </w:pPr>
                  <w:r>
                    <w:rPr>
                      <w:rFonts w:hint="eastAsia"/>
                    </w:rPr>
                    <w:t>项目为光伏发电项目，属于生产清洁能源的项目，项目的建设和运营均满足《产业结构调整指导目录（2024年本）》中鼓励类的项目以及规划要求。</w:t>
                  </w:r>
                </w:p>
              </w:tc>
              <w:tc>
                <w:tcPr>
                  <w:tcW w:w="518" w:type="pct"/>
                  <w:vAlign w:val="center"/>
                </w:tcPr>
                <w:p w14:paraId="2225D4DE">
                  <w:pPr>
                    <w:jc w:val="center"/>
                  </w:pPr>
                  <w:r>
                    <w:rPr>
                      <w:rFonts w:hint="eastAsia"/>
                    </w:rPr>
                    <w:t>符合</w:t>
                  </w:r>
                </w:p>
              </w:tc>
            </w:tr>
          </w:tbl>
          <w:p w14:paraId="55ADB4A9">
            <w:pPr>
              <w:pStyle w:val="212"/>
              <w:ind w:firstLine="480"/>
            </w:pPr>
            <w:r>
              <w:rPr>
                <w:rFonts w:ascii="宋体" w:hAnsi="宋体" w:cs="宋体"/>
                <w:szCs w:val="24"/>
              </w:rPr>
              <w:t>根据以上分析，</w:t>
            </w:r>
            <w:r>
              <w:rPr>
                <w:rFonts w:hint="eastAsia" w:ascii="宋体" w:hAnsi="宋体" w:cs="宋体"/>
                <w:szCs w:val="24"/>
                <w:lang w:val="en-US"/>
              </w:rPr>
              <w:t>本</w:t>
            </w:r>
            <w:r>
              <w:rPr>
                <w:rFonts w:hint="eastAsia"/>
              </w:rPr>
              <w:t>项目建设符合有关生态环境保护法律法规标准和有关政策要求，符合</w:t>
            </w:r>
            <w:r>
              <w:rPr>
                <w:rFonts w:hint="eastAsia"/>
                <w:lang w:val="en-US"/>
              </w:rPr>
              <w:t>曲靖</w:t>
            </w:r>
            <w:r>
              <w:rPr>
                <w:rFonts w:hint="eastAsia"/>
              </w:rPr>
              <w:t>市对于</w:t>
            </w:r>
            <w:r>
              <w:rPr>
                <w:rFonts w:hint="eastAsia"/>
                <w:lang w:val="en-US"/>
              </w:rPr>
              <w:t>会泽</w:t>
            </w:r>
            <w:r>
              <w:rPr>
                <w:rFonts w:hint="eastAsia"/>
              </w:rPr>
              <w:t>县一般生态空间优先保护单元、</w:t>
            </w:r>
            <w:r>
              <w:rPr>
                <w:rFonts w:hint="eastAsia"/>
                <w:lang w:val="en-US"/>
              </w:rPr>
              <w:t>矿产资源重点管控单元、一般管控单元</w:t>
            </w:r>
            <w:r>
              <w:rPr>
                <w:rFonts w:hint="eastAsia"/>
              </w:rPr>
              <w:t>的要求。</w:t>
            </w:r>
            <w:r>
              <w:rPr>
                <w:rFonts w:hint="eastAsia"/>
                <w:lang w:val="en-US"/>
              </w:rPr>
              <w:t>同时</w:t>
            </w:r>
            <w:r>
              <w:rPr>
                <w:rFonts w:hint="eastAsia"/>
              </w:rPr>
              <w:t>本次环评提出了各项污染防治措施，在严格落实的基础上可做到达标排放，对环境影响较小。因此，</w:t>
            </w:r>
            <w:r>
              <w:rPr>
                <w:rFonts w:hint="eastAsia"/>
                <w:lang w:val="en-US"/>
              </w:rPr>
              <w:t>本</w:t>
            </w:r>
            <w:r>
              <w:rPr>
                <w:rFonts w:hint="eastAsia"/>
              </w:rPr>
              <w:t>项目与</w:t>
            </w:r>
            <w:r>
              <w:rPr>
                <w:snapToGrid w:val="0"/>
                <w:color w:val="000000"/>
                <w:kern w:val="0"/>
              </w:rPr>
              <w:t>《</w:t>
            </w:r>
            <w:r>
              <w:rPr>
                <w:rFonts w:hint="eastAsia"/>
                <w:snapToGrid w:val="0"/>
                <w:color w:val="000000"/>
                <w:kern w:val="0"/>
                <w:lang w:val="en-US"/>
              </w:rPr>
              <w:t>曲靖</w:t>
            </w:r>
            <w:r>
              <w:rPr>
                <w:snapToGrid w:val="0"/>
                <w:color w:val="000000"/>
                <w:kern w:val="0"/>
                <w:lang w:val="en-US"/>
              </w:rPr>
              <w:t>市</w:t>
            </w:r>
            <w:r>
              <w:rPr>
                <w:snapToGrid w:val="0"/>
                <w:color w:val="000000"/>
                <w:kern w:val="0"/>
              </w:rPr>
              <w:t>生态环境分区管控动态更新调整方案（2023年）》</w:t>
            </w:r>
            <w:r>
              <w:rPr>
                <w:rFonts w:hint="eastAsia"/>
              </w:rPr>
              <w:t>的相关要求相符。</w:t>
            </w:r>
          </w:p>
          <w:p w14:paraId="007C1317">
            <w:pPr>
              <w:pStyle w:val="73"/>
              <w:keepNext w:val="0"/>
              <w:keepLines w:val="0"/>
              <w:jc w:val="both"/>
              <w:rPr>
                <w:kern w:val="2"/>
                <w:sz w:val="24"/>
                <w:szCs w:val="24"/>
              </w:rPr>
            </w:pPr>
            <w:r>
              <w:rPr>
                <w:rFonts w:hint="eastAsia"/>
                <w:kern w:val="2"/>
                <w:sz w:val="24"/>
                <w:szCs w:val="24"/>
              </w:rPr>
              <w:t xml:space="preserve">1.2.3 </w:t>
            </w:r>
            <w:r>
              <w:rPr>
                <w:kern w:val="2"/>
                <w:sz w:val="24"/>
                <w:szCs w:val="24"/>
              </w:rPr>
              <w:t>与《云南省主体功能区划》的符合性分析</w:t>
            </w:r>
          </w:p>
          <w:p w14:paraId="7637FD1B">
            <w:pPr>
              <w:pStyle w:val="29"/>
              <w:spacing w:after="0" w:line="360" w:lineRule="auto"/>
              <w:ind w:left="0" w:leftChars="0" w:firstLine="480"/>
              <w:rPr>
                <w:rFonts w:hint="eastAsia"/>
                <w:sz w:val="24"/>
              </w:rPr>
            </w:pPr>
            <w:r>
              <w:rPr>
                <w:rFonts w:hint="eastAsia"/>
                <w:sz w:val="24"/>
              </w:rPr>
              <w:t>根据《云南省主体功能区规划》（云政发〔2014〕1号），按照不同区域的资源环境承载能力、现有开发密度和未来发展潜力，划分主体功能区，逐步形成人口、经济、资源环境相协调的空间开发格局，将云南省划分为重点开发区域、限制开发区域和禁止开发区域3类主体功能区。</w:t>
            </w:r>
          </w:p>
          <w:p w14:paraId="5915A5BB">
            <w:pPr>
              <w:pStyle w:val="29"/>
              <w:spacing w:after="0" w:line="360" w:lineRule="auto"/>
              <w:ind w:left="0" w:leftChars="0" w:firstLine="480"/>
              <w:rPr>
                <w:rFonts w:hint="eastAsia"/>
                <w:sz w:val="24"/>
              </w:rPr>
            </w:pPr>
            <w:r>
              <w:rPr>
                <w:rFonts w:hint="eastAsia"/>
                <w:sz w:val="24"/>
              </w:rPr>
              <w:t>本项目位于曲靖市会泽县，属于国家农产品主产区，属于限制开发区。农产品主产区功能定位是保障粮食产品和主要农产品供给安全的基地，全省农业产业化的重要地区，现代农业的示范基地，农村居民安居乐业的美好家园，社会主义新农村建设的示范区。农产品主产区要以大力发展高原特色农业为重点，切实保护耕地，稳定粮食生产，发展现代农业，增强农业综合生产能力，增加农民收入，加快建设社会主义新农村，有效增强农产品供给保障能力，确保国家粮食安全和食品安全。农产品主产区发展方向为：“以转变经营方式、提高生产水平为重点，加大‘五小’水利基础设施建设，积极开拓市场，推进农林牧结合，大力发展优质草食畜牧、优势特色经济林、优质桑蚕、道地中药材等产业；大力实施退耕还林、绿化荒山荒地，恢复林草植被。发展生态农业，生产适销对路的新、优、特农产品，发展无公害产品、绿色食品和有机食品，实现经济效益、生态效益和社会效益相统一”。</w:t>
            </w:r>
          </w:p>
          <w:p w14:paraId="58ECCC9C">
            <w:pPr>
              <w:spacing w:line="360" w:lineRule="auto"/>
              <w:ind w:firstLine="480" w:firstLineChars="200"/>
              <w:rPr>
                <w:rFonts w:hint="eastAsia"/>
                <w:sz w:val="24"/>
                <w:szCs w:val="24"/>
              </w:rPr>
            </w:pPr>
            <w:r>
              <w:rPr>
                <w:rFonts w:hint="eastAsia"/>
                <w:sz w:val="24"/>
                <w:szCs w:val="24"/>
              </w:rPr>
              <w:t>本项目在不更改土地性质的前提下，利用光伏组件下及间隔处的空闲土地绿化荒山荒地，恢复林草植被，将太阳能发电与绿化荒山荒地有效结合，同时也为防止水土流失，提升土地综合利用效率发挥了积极作用。</w:t>
            </w:r>
            <w:r>
              <w:rPr>
                <w:sz w:val="24"/>
              </w:rPr>
              <w:t>本项目属于新能源项目，</w:t>
            </w:r>
            <w:r>
              <w:rPr>
                <w:rFonts w:hint="eastAsia"/>
                <w:sz w:val="24"/>
                <w:szCs w:val="24"/>
              </w:rPr>
              <w:t>与《云南省主体功能区规划》的要求不相冲突，项目建设后，不影响农产品主产区功能定位。</w:t>
            </w:r>
          </w:p>
          <w:p w14:paraId="3EEE4D89">
            <w:pPr>
              <w:jc w:val="center"/>
            </w:pPr>
            <w:r>
              <w:rPr>
                <w:lang w:val="en-US" w:eastAsia="zh-CN"/>
              </w:rPr>
              <w:drawing>
                <wp:inline distT="0" distB="0" distL="0" distR="0">
                  <wp:extent cx="5081270" cy="3571240"/>
                  <wp:effectExtent l="0" t="0" r="0" b="0"/>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081270" cy="3571240"/>
                          </a:xfrm>
                          <a:prstGeom prst="rect">
                            <a:avLst/>
                          </a:prstGeom>
                          <a:noFill/>
                          <a:ln>
                            <a:noFill/>
                          </a:ln>
                        </pic:spPr>
                      </pic:pic>
                    </a:graphicData>
                  </a:graphic>
                </wp:inline>
              </w:drawing>
            </w:r>
          </w:p>
          <w:p w14:paraId="67F7D868">
            <w:pPr>
              <w:tabs>
                <w:tab w:val="left" w:pos="3192"/>
              </w:tabs>
              <w:spacing w:line="360" w:lineRule="auto"/>
              <w:jc w:val="center"/>
              <w:rPr>
                <w:rFonts w:hint="eastAsia"/>
                <w:b/>
                <w:color w:val="000000"/>
                <w:lang w:val="zh-CN" w:bidi="zh-CN"/>
              </w:rPr>
            </w:pPr>
            <w:r>
              <w:rPr>
                <w:b/>
                <w:color w:val="000000"/>
                <w:lang w:val="zh-CN" w:bidi="zh-CN"/>
              </w:rPr>
              <w:t>图</w:t>
            </w:r>
            <w:r>
              <w:rPr>
                <w:rFonts w:hint="eastAsia"/>
                <w:b/>
                <w:color w:val="000000"/>
                <w:lang w:bidi="zh-CN"/>
              </w:rPr>
              <w:t>1.2.3-1</w:t>
            </w:r>
            <w:r>
              <w:rPr>
                <w:rFonts w:hint="eastAsia"/>
                <w:b/>
                <w:color w:val="000000"/>
                <w:lang w:val="zh-CN" w:bidi="zh-CN"/>
              </w:rPr>
              <w:t xml:space="preserve"> </w:t>
            </w:r>
            <w:r>
              <w:rPr>
                <w:b/>
                <w:color w:val="000000"/>
                <w:lang w:val="zh-CN" w:bidi="zh-CN"/>
              </w:rPr>
              <w:t xml:space="preserve"> 项目与云南省主体功能区位置关系图</w:t>
            </w:r>
          </w:p>
          <w:p w14:paraId="42BEECB9">
            <w:pPr>
              <w:pStyle w:val="73"/>
              <w:keepNext w:val="0"/>
              <w:keepLines w:val="0"/>
              <w:jc w:val="both"/>
              <w:rPr>
                <w:kern w:val="2"/>
                <w:sz w:val="24"/>
                <w:szCs w:val="24"/>
              </w:rPr>
            </w:pPr>
            <w:r>
              <w:rPr>
                <w:rFonts w:hint="eastAsia"/>
                <w:kern w:val="2"/>
                <w:sz w:val="24"/>
                <w:szCs w:val="24"/>
              </w:rPr>
              <w:t xml:space="preserve">1.2.4 </w:t>
            </w:r>
            <w:r>
              <w:rPr>
                <w:kern w:val="2"/>
                <w:sz w:val="24"/>
                <w:szCs w:val="24"/>
              </w:rPr>
              <w:t>与《云南省生态功能区划》的符合性分析</w:t>
            </w:r>
          </w:p>
          <w:p w14:paraId="7BB2DBA5">
            <w:pPr>
              <w:spacing w:line="360" w:lineRule="auto"/>
              <w:ind w:firstLine="480" w:firstLineChars="200"/>
              <w:rPr>
                <w:sz w:val="24"/>
                <w:szCs w:val="24"/>
              </w:rPr>
            </w:pPr>
            <w:r>
              <w:rPr>
                <w:sz w:val="24"/>
                <w:szCs w:val="24"/>
              </w:rPr>
              <w:t>根据云南省生态环境厅印发《云南省生态功能区划》，本项目位于云南省高原亚热带北部常绿阔叶林生态区（Ⅲ）</w:t>
            </w:r>
            <w:r>
              <w:rPr>
                <w:rFonts w:hint="eastAsia"/>
                <w:sz w:val="24"/>
                <w:szCs w:val="24"/>
              </w:rPr>
              <w:t>-</w:t>
            </w:r>
            <w:r>
              <w:rPr>
                <w:sz w:val="24"/>
                <w:szCs w:val="24"/>
              </w:rPr>
              <w:t>滇中、北中山峡谷暖性针叶林生态亚区（Ⅲ2）</w:t>
            </w:r>
            <w:r>
              <w:rPr>
                <w:rFonts w:hint="eastAsia"/>
                <w:sz w:val="24"/>
                <w:szCs w:val="24"/>
              </w:rPr>
              <w:t>-</w:t>
            </w:r>
            <w:r>
              <w:rPr>
                <w:sz w:val="24"/>
                <w:szCs w:val="24"/>
              </w:rPr>
              <w:t>金沙江、小江高山峡谷水土保持生态功能区（Ⅲ2-5）滇东北高中山暖性针叶林、亚高山草甸生态亚区（Ⅲ4）</w:t>
            </w:r>
            <w:r>
              <w:rPr>
                <w:rFonts w:hint="eastAsia"/>
                <w:sz w:val="24"/>
                <w:szCs w:val="24"/>
              </w:rPr>
              <w:t>-</w:t>
            </w:r>
            <w:r>
              <w:rPr>
                <w:sz w:val="24"/>
                <w:szCs w:val="24"/>
              </w:rPr>
              <w:t>以礼河、硝厂河高山深谷水土保持生态功能区（Ⅲ4-3）。</w:t>
            </w:r>
          </w:p>
          <w:p w14:paraId="170EE430">
            <w:pPr>
              <w:spacing w:line="360" w:lineRule="auto"/>
              <w:ind w:firstLine="480" w:firstLineChars="200"/>
              <w:rPr>
                <w:sz w:val="24"/>
                <w:szCs w:val="24"/>
              </w:rPr>
            </w:pPr>
            <w:r>
              <w:rPr>
                <w:sz w:val="24"/>
                <w:szCs w:val="24"/>
              </w:rPr>
              <w:t>该区域生态以高山峡谷地貌为主。年降雨量河谷地带700</w:t>
            </w:r>
            <w:r>
              <w:rPr>
                <w:rFonts w:hint="eastAsia"/>
                <w:sz w:val="24"/>
                <w:szCs w:val="24"/>
              </w:rPr>
              <w:t>~</w:t>
            </w:r>
            <w:r>
              <w:rPr>
                <w:sz w:val="24"/>
                <w:szCs w:val="24"/>
              </w:rPr>
              <w:t>900</w:t>
            </w:r>
            <w:r>
              <w:rPr>
                <w:rFonts w:hint="eastAsia"/>
                <w:sz w:val="24"/>
                <w:szCs w:val="24"/>
              </w:rPr>
              <w:t>mm，</w:t>
            </w:r>
            <w:r>
              <w:rPr>
                <w:sz w:val="24"/>
                <w:szCs w:val="24"/>
              </w:rPr>
              <w:t>山地和高原面上可达到1200</w:t>
            </w:r>
            <w:r>
              <w:rPr>
                <w:rFonts w:hint="eastAsia"/>
                <w:sz w:val="24"/>
                <w:szCs w:val="24"/>
              </w:rPr>
              <w:t>mm</w:t>
            </w:r>
            <w:r>
              <w:rPr>
                <w:sz w:val="24"/>
                <w:szCs w:val="24"/>
              </w:rPr>
              <w:t>。低海拔河谷地带植被以稀树灌木草丛为主，高原面上主要是云南松林，河谷土壤以燥红壤为主，山地上的土壤以红壤为主。生态保护措施为水土流失和泥石流的生物治理和工程治理，提高森林的数量和质量，防止生态灾害的进一步恶化。工程建成后将为地区提供稳定持续的清洁能源，能源的有效保障将减少居民对周边林木的砍伐行为，一定程度上有助于林业的保护，从而促进区域水土流失的治理。本项目建设尽可能地利用荒地和裸地，只有少部分植被覆盖的土地，光伏电站建设后将采取严格的水土保持措施和植被恢复措施，恢复周边植被，对于防止生态环境荒漠化是有益的。从长远的发展方向来看，工程建设符合《云南省生态功能区划》。</w:t>
            </w:r>
          </w:p>
          <w:p w14:paraId="7C5338A3">
            <w:pPr>
              <w:pStyle w:val="29"/>
              <w:spacing w:after="0"/>
              <w:ind w:left="0" w:leftChars="0" w:firstLine="0" w:firstLineChars="0"/>
              <w:jc w:val="center"/>
            </w:pPr>
            <w:r>
              <w:rPr>
                <w:lang w:val="en-US" w:eastAsia="zh-CN"/>
              </w:rPr>
              <w:drawing>
                <wp:inline distT="0" distB="0" distL="0" distR="0">
                  <wp:extent cx="5081270" cy="3631565"/>
                  <wp:effectExtent l="0" t="0" r="0" b="0"/>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081270" cy="3631565"/>
                          </a:xfrm>
                          <a:prstGeom prst="rect">
                            <a:avLst/>
                          </a:prstGeom>
                          <a:noFill/>
                          <a:ln>
                            <a:noFill/>
                          </a:ln>
                        </pic:spPr>
                      </pic:pic>
                    </a:graphicData>
                  </a:graphic>
                </wp:inline>
              </w:drawing>
            </w:r>
          </w:p>
          <w:p w14:paraId="0A8B1869">
            <w:pPr>
              <w:adjustRightInd w:val="0"/>
              <w:snapToGrid w:val="0"/>
              <w:spacing w:line="360" w:lineRule="auto"/>
              <w:jc w:val="center"/>
              <w:rPr>
                <w:sz w:val="24"/>
              </w:rPr>
            </w:pPr>
            <w:r>
              <w:rPr>
                <w:rFonts w:hint="eastAsia"/>
                <w:b/>
              </w:rPr>
              <w:t>图12.</w:t>
            </w:r>
            <w:r>
              <w:rPr>
                <w:b/>
              </w:rPr>
              <w:t>4</w:t>
            </w:r>
            <w:r>
              <w:rPr>
                <w:rFonts w:hint="eastAsia"/>
                <w:b/>
              </w:rPr>
              <w:t>-1</w:t>
            </w:r>
            <w:r>
              <w:rPr>
                <w:b/>
              </w:rPr>
              <w:t xml:space="preserve">  </w:t>
            </w:r>
            <w:r>
              <w:rPr>
                <w:rFonts w:hint="eastAsia"/>
                <w:b/>
              </w:rPr>
              <w:t>项目位于南省生态功能类型区中的位置示意图</w:t>
            </w:r>
          </w:p>
          <w:p w14:paraId="03D354B7">
            <w:pPr>
              <w:pStyle w:val="73"/>
              <w:keepNext w:val="0"/>
              <w:keepLines w:val="0"/>
              <w:jc w:val="both"/>
              <w:rPr>
                <w:rFonts w:hint="eastAsia"/>
                <w:kern w:val="2"/>
                <w:sz w:val="24"/>
                <w:szCs w:val="24"/>
              </w:rPr>
            </w:pPr>
            <w:r>
              <w:rPr>
                <w:rFonts w:hint="eastAsia"/>
                <w:kern w:val="2"/>
                <w:sz w:val="24"/>
                <w:szCs w:val="24"/>
              </w:rPr>
              <w:t>1.2.5 与《云南省生物多样性保护战略与行动计划（2024-2030年）》的符合性分析</w:t>
            </w:r>
          </w:p>
          <w:p w14:paraId="69A918D4">
            <w:pPr>
              <w:snapToGrid w:val="0"/>
              <w:spacing w:line="360" w:lineRule="auto"/>
              <w:ind w:firstLine="480" w:firstLineChars="200"/>
              <w:rPr>
                <w:sz w:val="24"/>
                <w:szCs w:val="24"/>
              </w:rPr>
            </w:pPr>
            <w:r>
              <w:rPr>
                <w:rFonts w:hint="eastAsia"/>
                <w:sz w:val="24"/>
                <w:szCs w:val="24"/>
              </w:rPr>
              <w:t>2024年5月31日，云南省生态环境厅印发了“关于印发《云南省生物多样性保护战略与行动计划（2024-2030年）》的通知”，</w:t>
            </w:r>
            <w:r>
              <w:rPr>
                <w:sz w:val="24"/>
                <w:szCs w:val="24"/>
              </w:rPr>
              <w:t>生物多样性保护战略</w:t>
            </w:r>
            <w:r>
              <w:rPr>
                <w:rFonts w:hint="eastAsia"/>
                <w:sz w:val="24"/>
                <w:szCs w:val="24"/>
              </w:rPr>
              <w:t>基本原则是：1、</w:t>
            </w:r>
            <w:r>
              <w:rPr>
                <w:sz w:val="24"/>
                <w:szCs w:val="24"/>
              </w:rPr>
              <w:t>尊重自然、保护优先。牢固树立尊重自然、顺应自然、保护自然的生态文明理念，坚持保护优先，综合运用自然恢复和人工修复两种手段，因地因时制宜、分区分类施策，对重要生态系统、生物物种及遗传资源实施有效保护，保障生物安全和生态安全。2、绿色发展、惠益共享。将生物多样性保护、可持续利用与惠益分享作为推进美丽中国七彩云南建设的重要目标，科学合理和可持续利用生物生态资源，建立生态产品价值实现机制，促进公平公正分享利用生物遗传资源、自然生态资源所产生的惠益，推动生产和生活方式绿色低碳转型，实现生物多样性保护和高质量发展双赢。3、政府主导、全民参与。完善体制机制，加强生物多样性保护工作统筹协调，强化各级政府生物多样性保护的主体责任和主导作用，鼓励和引导企事业单位、社会组织和公众参与生物多样性保护、可持续利用和惠益分享，形成全社会共同参与生物多样性保护的良好氛围。持续深化生物多样性保护国际合作，积极拓展国际合作对象、合作领域和合作项目</w:t>
            </w:r>
            <w:r>
              <w:rPr>
                <w:rFonts w:hint="eastAsia"/>
                <w:sz w:val="24"/>
                <w:szCs w:val="24"/>
              </w:rPr>
              <w:t>。</w:t>
            </w:r>
          </w:p>
          <w:p w14:paraId="25C0BB11">
            <w:pPr>
              <w:snapToGrid w:val="0"/>
              <w:spacing w:line="360" w:lineRule="auto"/>
              <w:ind w:firstLine="480" w:firstLineChars="200"/>
              <w:rPr>
                <w:sz w:val="24"/>
                <w:szCs w:val="24"/>
              </w:rPr>
            </w:pPr>
            <w:r>
              <w:rPr>
                <w:rFonts w:hint="eastAsia"/>
                <w:sz w:val="24"/>
                <w:szCs w:val="24"/>
              </w:rPr>
              <w:t>经叠图分析，项目位于云南省生物多样性优先保护区的“滇东北乌蒙山湿润常绿阔叶林区”，该区以保护亚热带山地湿润常绿阔叶林生态系统、珙桐、筇竹原生群落及云豹、四川山鹧鸪等珍稀濒危野生动植物为核心，承担金沙江下游水源涵养、水土保持功能</w:t>
            </w:r>
            <w:r>
              <w:rPr>
                <w:rFonts w:hint="eastAsia" w:ascii="宋体" w:hAnsi="宋体" w:cs="宋体"/>
                <w:sz w:val="24"/>
                <w:szCs w:val="24"/>
              </w:rPr>
              <w:t>。</w:t>
            </w:r>
            <w:r>
              <w:rPr>
                <w:rFonts w:hint="eastAsia"/>
                <w:sz w:val="24"/>
                <w:szCs w:val="24"/>
              </w:rPr>
              <w:t>该类型受人为干扰影响较大，次生性强，生物多样性低。本项目不涉及占用其他自然植被，也不涉及区内巧家五针松、攀枝花苏铁、朴菊木、林麝、云豹、白腹锦鸡等主要保护物种，在落实本项目环评要求及水保措施以后，不会造成金沙江下游水源涵养、水土保持功能受到影响。</w:t>
            </w:r>
          </w:p>
          <w:p w14:paraId="0014E720">
            <w:pPr>
              <w:snapToGrid w:val="0"/>
              <w:spacing w:line="360" w:lineRule="auto"/>
              <w:ind w:firstLine="480" w:firstLineChars="200"/>
              <w:rPr>
                <w:rFonts w:ascii="宋体" w:hAnsi="宋体" w:cs="宋体"/>
                <w:sz w:val="24"/>
                <w:szCs w:val="24"/>
              </w:rPr>
            </w:pPr>
            <w:r>
              <w:rPr>
                <w:rFonts w:hint="eastAsia"/>
                <w:sz w:val="24"/>
                <w:szCs w:val="24"/>
              </w:rPr>
              <w:t>根据《</w:t>
            </w:r>
            <w:bookmarkStart w:id="37" w:name="OLE_LINK45"/>
            <w:r>
              <w:rPr>
                <w:rFonts w:ascii="宋体" w:hAnsi="宋体" w:cs="宋体"/>
                <w:sz w:val="24"/>
                <w:szCs w:val="24"/>
              </w:rPr>
              <w:t>云南省生物多样性保护条例</w:t>
            </w:r>
            <w:bookmarkEnd w:id="37"/>
            <w:r>
              <w:rPr>
                <w:rFonts w:hint="eastAsia"/>
                <w:sz w:val="24"/>
                <w:szCs w:val="24"/>
              </w:rPr>
              <w:t>》</w:t>
            </w:r>
            <w:r>
              <w:rPr>
                <w:rFonts w:ascii="宋体" w:hAnsi="宋体" w:cs="宋体"/>
                <w:sz w:val="24"/>
                <w:szCs w:val="24"/>
              </w:rPr>
              <w:t>第二十九条</w:t>
            </w:r>
            <w:r>
              <w:rPr>
                <w:rFonts w:hint="eastAsia" w:ascii="宋体" w:hAnsi="宋体" w:cs="宋体"/>
                <w:sz w:val="24"/>
                <w:szCs w:val="24"/>
              </w:rPr>
              <w:t>：</w:t>
            </w:r>
            <w:r>
              <w:rPr>
                <w:rFonts w:ascii="宋体" w:hAnsi="宋体" w:cs="宋体"/>
                <w:sz w:val="24"/>
                <w:szCs w:val="24"/>
              </w:rPr>
              <w:t>新建、改建、扩建建设项目以及开发自然资源，应当依法开展环境影响评价。对可能造成重要生态系统破坏、损害重要物种及其栖息地和生境的，应当制定专项保护、恢复和补偿方案，纳入环境影响评价。在生物多样性保护优先区域的建设项目以及自然资源开发，应当评价对生物多样性的影响，并作为环境影响评价的重要组成部分。</w:t>
            </w:r>
          </w:p>
          <w:p w14:paraId="78144D97">
            <w:pPr>
              <w:spacing w:line="360" w:lineRule="auto"/>
              <w:ind w:firstLine="480" w:firstLineChars="200"/>
              <w:rPr>
                <w:rFonts w:ascii="宋体" w:hAnsi="宋体" w:cs="宋体"/>
                <w:sz w:val="24"/>
                <w:szCs w:val="24"/>
              </w:rPr>
            </w:pPr>
            <w:r>
              <w:rPr>
                <w:rFonts w:hint="eastAsia"/>
                <w:sz w:val="24"/>
                <w:szCs w:val="24"/>
              </w:rPr>
              <w:t>本项目属于光伏发电项目，经现场调查，</w:t>
            </w:r>
            <w:r>
              <w:rPr>
                <w:rFonts w:ascii="宋体" w:hAnsi="宋体" w:cs="宋体"/>
                <w:sz w:val="24"/>
                <w:szCs w:val="24"/>
              </w:rPr>
              <w:t>项目区域植被类型较为单一，</w:t>
            </w:r>
            <w:r>
              <w:rPr>
                <w:rFonts w:hint="eastAsia"/>
                <w:sz w:val="24"/>
                <w:szCs w:val="24"/>
              </w:rPr>
              <w:t>项目占地类型多为草地，项目区内</w:t>
            </w:r>
            <w:r>
              <w:rPr>
                <w:rFonts w:ascii="宋体" w:hAnsi="宋体" w:cs="宋体"/>
                <w:sz w:val="24"/>
                <w:szCs w:val="24"/>
              </w:rPr>
              <w:t>动物种类及数量均较少，</w:t>
            </w:r>
            <w:r>
              <w:rPr>
                <w:rFonts w:hint="eastAsia"/>
                <w:sz w:val="24"/>
                <w:szCs w:val="24"/>
              </w:rPr>
              <w:t>未发现保护物种及其栖息地和生境，项目施工严格执行环评措施要求，对当地生态环境影响较小，项目建成有利于推动生产和生活方式绿色低碳转型，实现</w:t>
            </w:r>
            <w:r>
              <w:rPr>
                <w:sz w:val="24"/>
                <w:szCs w:val="24"/>
              </w:rPr>
              <w:t>生物多样性保护和高质量发展双赢</w:t>
            </w:r>
            <w:r>
              <w:rPr>
                <w:rFonts w:hint="eastAsia"/>
                <w:sz w:val="24"/>
                <w:szCs w:val="24"/>
              </w:rPr>
              <w:t>，因此本项目的建设符合</w:t>
            </w:r>
            <w:r>
              <w:rPr>
                <w:sz w:val="24"/>
                <w:szCs w:val="24"/>
              </w:rPr>
              <w:t>《云南省生物多样性保护战略与行动计划（20</w:t>
            </w:r>
            <w:r>
              <w:rPr>
                <w:rFonts w:hint="eastAsia"/>
                <w:sz w:val="24"/>
                <w:szCs w:val="24"/>
              </w:rPr>
              <w:t>24</w:t>
            </w:r>
            <w:r>
              <w:rPr>
                <w:sz w:val="24"/>
                <w:szCs w:val="24"/>
              </w:rPr>
              <w:t>-2030年）》</w:t>
            </w:r>
            <w:r>
              <w:rPr>
                <w:rFonts w:hint="eastAsia"/>
                <w:sz w:val="24"/>
                <w:szCs w:val="24"/>
              </w:rPr>
              <w:t>相关要求</w:t>
            </w:r>
            <w:r>
              <w:rPr>
                <w:sz w:val="24"/>
                <w:szCs w:val="24"/>
              </w:rPr>
              <w:t>。</w:t>
            </w:r>
          </w:p>
          <w:p w14:paraId="70C9B112">
            <w:pPr>
              <w:pStyle w:val="73"/>
              <w:keepNext w:val="0"/>
              <w:keepLines w:val="0"/>
              <w:jc w:val="both"/>
              <w:rPr>
                <w:rFonts w:hint="eastAsia"/>
                <w:kern w:val="2"/>
                <w:sz w:val="24"/>
                <w:szCs w:val="24"/>
              </w:rPr>
            </w:pPr>
            <w:r>
              <w:rPr>
                <w:rFonts w:hint="eastAsia"/>
                <w:kern w:val="2"/>
                <w:sz w:val="24"/>
                <w:szCs w:val="24"/>
              </w:rPr>
              <w:t>1.2.6 与《云南省产业用地政策实施工作指引（2022年版）》通知的符合性分析</w:t>
            </w:r>
          </w:p>
          <w:p w14:paraId="000BFE5A">
            <w:pPr>
              <w:pStyle w:val="76"/>
              <w:adjustRightInd/>
              <w:snapToGrid/>
              <w:ind w:firstLine="480"/>
              <w:jc w:val="left"/>
              <w:rPr>
                <w:rFonts w:eastAsia="宋体"/>
                <w:kern w:val="0"/>
                <w:sz w:val="24"/>
                <w:szCs w:val="21"/>
              </w:rPr>
            </w:pPr>
            <w:r>
              <w:rPr>
                <w:rFonts w:eastAsia="宋体"/>
                <w:kern w:val="0"/>
                <w:sz w:val="24"/>
                <w:szCs w:val="21"/>
              </w:rPr>
              <w:t>为进一步指导全省自然资源主管部门规范执行产业用地政策，同时供其他行业主管部门和用地者参考，加大对各类用地主体的政策宣传力度，依法保障各种所有制经济主体平等取得土地，持续优化营商环境，营造良好用地氛围，为推动云南省社会经济高质量发展提供更大的支撑，云南省自然资源厅根据国家、省有关法律法规、规章，以及现行有效的规范性文件规定，全面梳理相关行业、产业用地政策实施要点，起草编制形成了《云南省产业用地政策实施工作指引（2022年版）》。本项目与《云南省产业用地政策实施工作指引（2022年版）》（节选）的符合性分析见</w:t>
            </w:r>
            <w:r>
              <w:rPr>
                <w:rFonts w:hint="eastAsia" w:eastAsia="宋体"/>
                <w:kern w:val="0"/>
                <w:sz w:val="24"/>
                <w:szCs w:val="21"/>
              </w:rPr>
              <w:t>下表</w:t>
            </w:r>
            <w:r>
              <w:rPr>
                <w:rFonts w:eastAsia="宋体"/>
                <w:kern w:val="0"/>
                <w:sz w:val="24"/>
                <w:szCs w:val="21"/>
              </w:rPr>
              <w:t>。</w:t>
            </w:r>
          </w:p>
          <w:p w14:paraId="3D3FF2FF">
            <w:pPr>
              <w:pStyle w:val="219"/>
              <w:spacing w:before="0" w:beforeLines="0"/>
              <w:rPr>
                <w:sz w:val="24"/>
                <w:szCs w:val="24"/>
              </w:rPr>
            </w:pPr>
            <w:r>
              <w:rPr>
                <w:sz w:val="24"/>
                <w:szCs w:val="24"/>
              </w:rPr>
              <w:t>表1</w:t>
            </w:r>
            <w:r>
              <w:rPr>
                <w:rFonts w:hint="eastAsia"/>
                <w:sz w:val="24"/>
                <w:szCs w:val="24"/>
              </w:rPr>
              <w:t xml:space="preserve">.2.6-1  </w:t>
            </w:r>
            <w:r>
              <w:rPr>
                <w:sz w:val="24"/>
                <w:szCs w:val="24"/>
              </w:rPr>
              <w:t>与《</w:t>
            </w:r>
            <w:r>
              <w:rPr>
                <w:rFonts w:hint="eastAsia"/>
                <w:sz w:val="24"/>
                <w:szCs w:val="24"/>
              </w:rPr>
              <w:t>通知</w:t>
            </w:r>
            <w:r>
              <w:rPr>
                <w:sz w:val="24"/>
                <w:szCs w:val="24"/>
              </w:rPr>
              <w:t>》的符合性分析</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4810"/>
              <w:gridCol w:w="1634"/>
              <w:gridCol w:w="719"/>
            </w:tblGrid>
            <w:tr w14:paraId="731F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363" w:type="dxa"/>
                  <w:gridSpan w:val="2"/>
                  <w:vAlign w:val="center"/>
                </w:tcPr>
                <w:p w14:paraId="34885AA4">
                  <w:pPr>
                    <w:pStyle w:val="75"/>
                    <w:adjustRightInd/>
                    <w:jc w:val="center"/>
                    <w:rPr>
                      <w:rFonts w:ascii="Times New Roman" w:cs="Times New Roman"/>
                      <w:b/>
                      <w:bCs/>
                      <w:sz w:val="21"/>
                      <w:szCs w:val="21"/>
                      <w:lang w:bidi="ar"/>
                    </w:rPr>
                  </w:pPr>
                  <w:r>
                    <w:rPr>
                      <w:rFonts w:ascii="Times New Roman" w:cs="Times New Roman"/>
                      <w:b/>
                      <w:bCs/>
                      <w:sz w:val="21"/>
                      <w:szCs w:val="21"/>
                      <w:lang w:bidi="ar"/>
                    </w:rPr>
                    <w:t>文件要求</w:t>
                  </w:r>
                </w:p>
              </w:tc>
              <w:tc>
                <w:tcPr>
                  <w:tcW w:w="1552" w:type="dxa"/>
                  <w:vAlign w:val="center"/>
                </w:tcPr>
                <w:p w14:paraId="080AAF57">
                  <w:pPr>
                    <w:pStyle w:val="75"/>
                    <w:adjustRightInd/>
                    <w:jc w:val="center"/>
                    <w:rPr>
                      <w:rFonts w:ascii="Times New Roman" w:cs="Times New Roman"/>
                      <w:b/>
                      <w:bCs/>
                      <w:sz w:val="21"/>
                    </w:rPr>
                  </w:pPr>
                  <w:r>
                    <w:rPr>
                      <w:rFonts w:ascii="Times New Roman" w:cs="Times New Roman"/>
                      <w:b/>
                      <w:bCs/>
                      <w:sz w:val="21"/>
                      <w:szCs w:val="21"/>
                      <w:lang w:bidi="ar"/>
                    </w:rPr>
                    <w:t>本项目情况</w:t>
                  </w:r>
                </w:p>
              </w:tc>
              <w:tc>
                <w:tcPr>
                  <w:tcW w:w="682" w:type="dxa"/>
                  <w:vAlign w:val="center"/>
                </w:tcPr>
                <w:p w14:paraId="6C7EAA94">
                  <w:pPr>
                    <w:pStyle w:val="75"/>
                    <w:adjustRightInd/>
                    <w:jc w:val="center"/>
                    <w:rPr>
                      <w:rFonts w:ascii="Times New Roman" w:cs="Times New Roman"/>
                      <w:b/>
                      <w:bCs/>
                      <w:sz w:val="21"/>
                    </w:rPr>
                  </w:pPr>
                  <w:r>
                    <w:rPr>
                      <w:rFonts w:ascii="Times New Roman" w:cs="Times New Roman"/>
                      <w:b/>
                      <w:bCs/>
                      <w:sz w:val="21"/>
                      <w:szCs w:val="21"/>
                      <w:lang w:bidi="ar"/>
                    </w:rPr>
                    <w:t>符合性</w:t>
                  </w:r>
                </w:p>
              </w:tc>
            </w:tr>
            <w:tr w14:paraId="291B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96" w:type="dxa"/>
                  <w:vAlign w:val="center"/>
                </w:tcPr>
                <w:p w14:paraId="2FAD0146">
                  <w:pPr>
                    <w:pStyle w:val="75"/>
                    <w:adjustRightInd/>
                    <w:jc w:val="center"/>
                    <w:rPr>
                      <w:rFonts w:ascii="Times New Roman" w:cs="Times New Roman"/>
                      <w:b/>
                      <w:bCs/>
                      <w:sz w:val="21"/>
                      <w:szCs w:val="21"/>
                      <w:lang w:bidi="ar"/>
                    </w:rPr>
                  </w:pPr>
                  <w:r>
                    <w:rPr>
                      <w:rFonts w:ascii="Times New Roman" w:cs="Times New Roman"/>
                      <w:sz w:val="21"/>
                      <w:szCs w:val="21"/>
                      <w:lang w:bidi="ar"/>
                    </w:rPr>
                    <w:t>一、保障光伏项目土地要素供给</w:t>
                  </w:r>
                </w:p>
              </w:tc>
              <w:tc>
                <w:tcPr>
                  <w:tcW w:w="4567" w:type="dxa"/>
                  <w:vAlign w:val="center"/>
                </w:tcPr>
                <w:p w14:paraId="0F48D126">
                  <w:pPr>
                    <w:pStyle w:val="75"/>
                    <w:adjustRightInd/>
                    <w:rPr>
                      <w:rFonts w:ascii="Times New Roman" w:cs="Times New Roman"/>
                      <w:b/>
                      <w:bCs/>
                      <w:sz w:val="21"/>
                      <w:szCs w:val="21"/>
                      <w:lang w:bidi="ar"/>
                    </w:rPr>
                  </w:pPr>
                  <w:r>
                    <w:rPr>
                      <w:rFonts w:ascii="Times New Roman" w:cs="Times New Roman"/>
                      <w:sz w:val="21"/>
                      <w:szCs w:val="21"/>
                      <w:lang w:bidi="ar"/>
                    </w:rPr>
                    <w:t>强化国土空间规划的引导管控作用，科学合理布局光伏项目。对列入省级重大项目清单的光伏项目配置使用国家新增建设用地计划指标，应保尽保。严格落实耕地保护和节约集约用地的规定和要求，强化前期选址踏勘论证，光伏复合项目用地不得占用永久基本农田，尽量避让长期稳定利用耕地，特别是坝区集中连片优质耕地。开辟快速报批通道，预先研判、及时组卷，扎实高效做好用地报批各个环节工作。鼓励利用采矿沉陷区、尾矿库以及</w:t>
                  </w:r>
                  <w:r>
                    <w:rPr>
                      <w:rFonts w:hint="eastAsia" w:ascii="Times New Roman" w:cs="Times New Roman"/>
                      <w:sz w:val="21"/>
                      <w:szCs w:val="21"/>
                      <w:lang w:bidi="ar"/>
                    </w:rPr>
                    <w:t>“</w:t>
                  </w:r>
                  <w:r>
                    <w:rPr>
                      <w:rFonts w:ascii="Times New Roman" w:cs="Times New Roman"/>
                      <w:sz w:val="21"/>
                      <w:szCs w:val="21"/>
                      <w:lang w:bidi="ar"/>
                    </w:rPr>
                    <w:t>四荒地</w:t>
                  </w:r>
                  <w:r>
                    <w:rPr>
                      <w:rFonts w:hint="eastAsia" w:ascii="Times New Roman" w:cs="Times New Roman"/>
                      <w:sz w:val="21"/>
                      <w:szCs w:val="21"/>
                      <w:lang w:bidi="ar"/>
                    </w:rPr>
                    <w:t>”</w:t>
                  </w:r>
                  <w:r>
                    <w:rPr>
                      <w:rFonts w:ascii="Times New Roman" w:cs="Times New Roman"/>
                      <w:sz w:val="21"/>
                      <w:szCs w:val="21"/>
                      <w:lang w:bidi="ar"/>
                    </w:rPr>
                    <w:t>等未利用地建设光伏项目。光伏项目用地按建设用地管理且符合《划拨用地目录》的，可采取划拨方式供地；鼓励以长期租赁、先租后让、租让结合、出让等有偿方式供应土地；需以招标拍卖挂牌方式供应的，在公平、公正、不排除多个市场主体竞争的前提下，可将投资和行业主管部门提出的生产技术、设计标准、效率要求等作为土地供应前置条件。</w:t>
                  </w:r>
                </w:p>
              </w:tc>
              <w:tc>
                <w:tcPr>
                  <w:tcW w:w="1552" w:type="dxa"/>
                  <w:vAlign w:val="center"/>
                </w:tcPr>
                <w:p w14:paraId="111276DE">
                  <w:pPr>
                    <w:pStyle w:val="75"/>
                    <w:topLinePunct/>
                    <w:adjustRightInd/>
                    <w:jc w:val="center"/>
                    <w:rPr>
                      <w:rFonts w:ascii="Times New Roman" w:cs="Times New Roman"/>
                      <w:sz w:val="21"/>
                    </w:rPr>
                  </w:pPr>
                  <w:r>
                    <w:rPr>
                      <w:rFonts w:hint="eastAsia" w:ascii="Times New Roman" w:cs="Times New Roman"/>
                      <w:sz w:val="21"/>
                      <w:szCs w:val="21"/>
                      <w:lang w:bidi="ar"/>
                    </w:rPr>
                    <w:t>本项目</w:t>
                  </w:r>
                  <w:r>
                    <w:rPr>
                      <w:rFonts w:ascii="Times New Roman" w:cs="Times New Roman"/>
                      <w:sz w:val="21"/>
                      <w:szCs w:val="21"/>
                      <w:lang w:bidi="ar"/>
                    </w:rPr>
                    <w:t>选址用地不涉及永久基本农田，项目总占地</w:t>
                  </w:r>
                  <w:r>
                    <w:rPr>
                      <w:rFonts w:hint="eastAsia" w:ascii="Times New Roman" w:cs="Times New Roman"/>
                      <w:sz w:val="21"/>
                      <w:szCs w:val="21"/>
                      <w:lang w:bidi="ar"/>
                    </w:rPr>
                    <w:t>86.97</w:t>
                  </w:r>
                  <w:r>
                    <w:rPr>
                      <w:rFonts w:ascii="Times New Roman" w:cs="Times New Roman"/>
                      <w:sz w:val="21"/>
                      <w:szCs w:val="21"/>
                      <w:lang w:bidi="ar"/>
                    </w:rPr>
                    <w:t>hm</w:t>
                  </w:r>
                  <w:r>
                    <w:rPr>
                      <w:rFonts w:ascii="Times New Roman" w:cs="Times New Roman"/>
                      <w:sz w:val="21"/>
                      <w:szCs w:val="21"/>
                      <w:vertAlign w:val="superscript"/>
                      <w:lang w:bidi="ar"/>
                    </w:rPr>
                    <w:t>2</w:t>
                  </w:r>
                  <w:r>
                    <w:rPr>
                      <w:rFonts w:hint="eastAsia" w:ascii="Times New Roman" w:cs="Times New Roman"/>
                      <w:sz w:val="21"/>
                      <w:szCs w:val="21"/>
                      <w:lang w:bidi="ar"/>
                    </w:rPr>
                    <w:t>，其中永久占地0.9</w:t>
                  </w:r>
                  <w:r>
                    <w:rPr>
                      <w:rFonts w:ascii="Times New Roman" w:cs="Times New Roman"/>
                      <w:sz w:val="21"/>
                      <w:szCs w:val="21"/>
                      <w:lang w:bidi="ar"/>
                    </w:rPr>
                    <w:t>2hm</w:t>
                  </w:r>
                  <w:r>
                    <w:rPr>
                      <w:rFonts w:ascii="Times New Roman" w:cs="Times New Roman"/>
                      <w:sz w:val="21"/>
                      <w:szCs w:val="21"/>
                      <w:vertAlign w:val="superscript"/>
                      <w:lang w:bidi="ar"/>
                    </w:rPr>
                    <w:t>2</w:t>
                  </w:r>
                  <w:r>
                    <w:rPr>
                      <w:rFonts w:hint="eastAsia" w:ascii="Times New Roman" w:cs="Times New Roman"/>
                      <w:sz w:val="21"/>
                      <w:szCs w:val="21"/>
                      <w:lang w:bidi="ar"/>
                    </w:rPr>
                    <w:t>，长期租地84.93</w:t>
                  </w:r>
                  <w:r>
                    <w:rPr>
                      <w:rFonts w:ascii="Times New Roman" w:cs="Times New Roman"/>
                      <w:sz w:val="21"/>
                      <w:szCs w:val="21"/>
                      <w:lang w:bidi="ar"/>
                    </w:rPr>
                    <w:t>hm</w:t>
                  </w:r>
                  <w:r>
                    <w:rPr>
                      <w:rFonts w:ascii="Times New Roman" w:cs="Times New Roman"/>
                      <w:sz w:val="21"/>
                      <w:szCs w:val="21"/>
                      <w:vertAlign w:val="superscript"/>
                      <w:lang w:bidi="ar"/>
                    </w:rPr>
                    <w:t>2</w:t>
                  </w:r>
                  <w:r>
                    <w:rPr>
                      <w:rFonts w:hint="eastAsia" w:ascii="Times New Roman" w:cs="Times New Roman"/>
                      <w:sz w:val="21"/>
                      <w:szCs w:val="21"/>
                      <w:lang w:bidi="ar"/>
                    </w:rPr>
                    <w:t>，临时租地1.1</w:t>
                  </w:r>
                  <w:r>
                    <w:rPr>
                      <w:rFonts w:ascii="Times New Roman" w:cs="Times New Roman"/>
                      <w:sz w:val="21"/>
                      <w:szCs w:val="21"/>
                      <w:lang w:bidi="ar"/>
                    </w:rPr>
                    <w:t>3hm</w:t>
                  </w:r>
                  <w:r>
                    <w:rPr>
                      <w:rFonts w:ascii="Times New Roman" w:cs="Times New Roman"/>
                      <w:sz w:val="21"/>
                      <w:szCs w:val="21"/>
                      <w:vertAlign w:val="superscript"/>
                      <w:lang w:bidi="ar"/>
                    </w:rPr>
                    <w:t>2</w:t>
                  </w:r>
                  <w:r>
                    <w:rPr>
                      <w:rFonts w:ascii="Times New Roman" w:cs="Times New Roman"/>
                      <w:sz w:val="21"/>
                      <w:szCs w:val="21"/>
                      <w:lang w:bidi="ar"/>
                    </w:rPr>
                    <w:t>，运行期结束后恢复原有地貌。</w:t>
                  </w:r>
                </w:p>
              </w:tc>
              <w:tc>
                <w:tcPr>
                  <w:tcW w:w="682" w:type="dxa"/>
                  <w:vAlign w:val="center"/>
                </w:tcPr>
                <w:p w14:paraId="48BF6882">
                  <w:pPr>
                    <w:pStyle w:val="75"/>
                    <w:adjustRightInd/>
                    <w:jc w:val="center"/>
                    <w:rPr>
                      <w:rFonts w:hint="eastAsia" w:ascii="Times New Roman" w:cs="Times New Roman"/>
                      <w:sz w:val="21"/>
                    </w:rPr>
                  </w:pPr>
                  <w:r>
                    <w:rPr>
                      <w:rFonts w:hint="eastAsia" w:ascii="Times New Roman" w:cs="Times New Roman"/>
                      <w:sz w:val="21"/>
                    </w:rPr>
                    <w:t>符合</w:t>
                  </w:r>
                </w:p>
              </w:tc>
            </w:tr>
            <w:tr w14:paraId="18A7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96" w:type="dxa"/>
                  <w:vMerge w:val="restart"/>
                  <w:vAlign w:val="center"/>
                </w:tcPr>
                <w:p w14:paraId="407DC074">
                  <w:pPr>
                    <w:pStyle w:val="75"/>
                    <w:adjustRightInd/>
                    <w:jc w:val="center"/>
                    <w:rPr>
                      <w:rFonts w:ascii="Times New Roman" w:cs="Times New Roman"/>
                      <w:sz w:val="21"/>
                    </w:rPr>
                  </w:pPr>
                  <w:r>
                    <w:rPr>
                      <w:rFonts w:ascii="Times New Roman" w:cs="Times New Roman"/>
                      <w:sz w:val="21"/>
                      <w:szCs w:val="21"/>
                      <w:lang w:bidi="ar"/>
                    </w:rPr>
                    <w:t>二、加强光伏发电项目用地管理</w:t>
                  </w:r>
                </w:p>
              </w:tc>
              <w:tc>
                <w:tcPr>
                  <w:tcW w:w="4567" w:type="dxa"/>
                  <w:vAlign w:val="center"/>
                </w:tcPr>
                <w:p w14:paraId="312A4D20">
                  <w:pPr>
                    <w:pStyle w:val="75"/>
                    <w:adjustRightInd/>
                    <w:rPr>
                      <w:rFonts w:ascii="Times New Roman" w:cs="Times New Roman"/>
                      <w:sz w:val="21"/>
                    </w:rPr>
                  </w:pPr>
                  <w:r>
                    <w:rPr>
                      <w:rFonts w:ascii="Times New Roman" w:cs="Times New Roman"/>
                      <w:sz w:val="21"/>
                      <w:szCs w:val="21"/>
                      <w:lang w:bidi="ar"/>
                    </w:rPr>
                    <w:t>光伏发电项目用地包括光伏方阵用地、升压站及运行管理中心用地、集电线路用地和场内道路用地。对符合条件的利用农用地复合建设的光伏发电项目（以下简称光伏复合项目）以外的其他光伏发电项目用地，应严格执行国土资规〔2015〕5号文件规定，使用未利用地的，对不占压土地、不改变地表形态的光伏方阵用地部分可按原地类认定，不改变土地用途，用地允许以租赁等方式取得，双方签订好补偿协议，报当地县（市、区）自然资源主管部门备案；其他用地部分，应依法办理建设用地审批手续；对建设占用农用地的，所有用地部分均应按建设用地管理。</w:t>
                  </w:r>
                </w:p>
              </w:tc>
              <w:tc>
                <w:tcPr>
                  <w:tcW w:w="1552" w:type="dxa"/>
                  <w:vMerge w:val="restart"/>
                  <w:vAlign w:val="center"/>
                </w:tcPr>
                <w:p w14:paraId="4A21297D">
                  <w:pPr>
                    <w:pStyle w:val="75"/>
                    <w:topLinePunct/>
                    <w:autoSpaceDE/>
                    <w:adjustRightInd/>
                    <w:jc w:val="center"/>
                    <w:rPr>
                      <w:rFonts w:ascii="Times New Roman" w:cs="Times New Roman"/>
                      <w:sz w:val="21"/>
                    </w:rPr>
                  </w:pPr>
                  <w:r>
                    <w:rPr>
                      <w:rFonts w:hint="eastAsia" w:ascii="Times New Roman" w:cs="Times New Roman"/>
                      <w:sz w:val="21"/>
                      <w:szCs w:val="21"/>
                      <w:lang w:bidi="ar"/>
                    </w:rPr>
                    <w:t>本项目</w:t>
                  </w:r>
                  <w:r>
                    <w:rPr>
                      <w:rFonts w:ascii="Times New Roman" w:cs="Times New Roman"/>
                      <w:sz w:val="21"/>
                      <w:szCs w:val="21"/>
                      <w:lang w:bidi="ar"/>
                    </w:rPr>
                    <w:t>采用</w:t>
                  </w:r>
                  <w:r>
                    <w:rPr>
                      <w:rFonts w:hint="eastAsia" w:ascii="Times New Roman" w:cs="Times New Roman"/>
                      <w:sz w:val="21"/>
                      <w:szCs w:val="21"/>
                      <w:lang w:bidi="ar"/>
                    </w:rPr>
                    <w:t>720</w:t>
                  </w:r>
                  <w:r>
                    <w:rPr>
                      <w:rFonts w:ascii="Times New Roman" w:cs="Times New Roman"/>
                      <w:sz w:val="21"/>
                      <w:szCs w:val="21"/>
                      <w:lang w:bidi="ar"/>
                    </w:rPr>
                    <w:t>Wp</w:t>
                  </w:r>
                  <w:bookmarkStart w:id="38" w:name="OLE_LINK101"/>
                  <w:r>
                    <w:rPr>
                      <w:rFonts w:ascii="Times New Roman" w:cs="Times New Roman"/>
                      <w:sz w:val="21"/>
                      <w:szCs w:val="21"/>
                      <w:lang w:bidi="ar"/>
                    </w:rPr>
                    <w:t>单晶硅</w:t>
                  </w:r>
                  <w:bookmarkEnd w:id="38"/>
                  <w:r>
                    <w:rPr>
                      <w:rFonts w:ascii="Times New Roman" w:cs="Times New Roman"/>
                      <w:sz w:val="21"/>
                      <w:szCs w:val="21"/>
                      <w:lang w:bidi="ar"/>
                    </w:rPr>
                    <w:t>光伏组件。光伏支架由2</w:t>
                  </w:r>
                  <w:r>
                    <w:rPr>
                      <w:rFonts w:hint="eastAsia" w:ascii="Times New Roman" w:cs="Times New Roman"/>
                      <w:sz w:val="21"/>
                      <w:szCs w:val="21"/>
                      <w:lang w:bidi="ar"/>
                    </w:rPr>
                    <w:t>6</w:t>
                  </w:r>
                  <w:r>
                    <w:rPr>
                      <w:rFonts w:ascii="Times New Roman" w:cs="Times New Roman"/>
                      <w:sz w:val="21"/>
                      <w:szCs w:val="21"/>
                      <w:lang w:bidi="ar"/>
                    </w:rPr>
                    <w:t>块光伏组件按2（行）×1</w:t>
                  </w:r>
                  <w:r>
                    <w:rPr>
                      <w:rFonts w:hint="eastAsia" w:ascii="Times New Roman" w:cs="Times New Roman"/>
                      <w:sz w:val="21"/>
                      <w:szCs w:val="21"/>
                      <w:lang w:bidi="ar"/>
                    </w:rPr>
                    <w:t>3</w:t>
                  </w:r>
                  <w:r>
                    <w:rPr>
                      <w:rFonts w:ascii="Times New Roman" w:cs="Times New Roman"/>
                      <w:sz w:val="21"/>
                      <w:szCs w:val="21"/>
                      <w:lang w:bidi="ar"/>
                    </w:rPr>
                    <w:t>（列）的布置方式组成一个组串单元，支架倾角为2</w:t>
                  </w:r>
                  <w:r>
                    <w:rPr>
                      <w:rFonts w:hint="eastAsia" w:ascii="Times New Roman" w:cs="Times New Roman"/>
                      <w:sz w:val="21"/>
                      <w:szCs w:val="21"/>
                      <w:lang w:bidi="ar"/>
                    </w:rPr>
                    <w:t>3</w:t>
                  </w:r>
                  <w:r>
                    <w:rPr>
                      <w:rFonts w:ascii="Times New Roman" w:cs="Times New Roman"/>
                      <w:sz w:val="21"/>
                      <w:szCs w:val="21"/>
                      <w:lang w:bidi="ar"/>
                    </w:rPr>
                    <w:t>°。光伏组件最底端离地距离2.5m，支架形式主要通过架高立柱的方式来保证支架下部作业空间，可种植常规露天农业作物，适用地形广。</w:t>
                  </w:r>
                  <w:r>
                    <w:rPr>
                      <w:rFonts w:hint="eastAsia" w:ascii="Times New Roman" w:cs="Times New Roman"/>
                      <w:sz w:val="21"/>
                      <w:szCs w:val="21"/>
                      <w:lang w:bidi="ar"/>
                    </w:rPr>
                    <w:t>本项目</w:t>
                  </w:r>
                  <w:r>
                    <w:rPr>
                      <w:rFonts w:ascii="Times New Roman" w:cs="Times New Roman"/>
                      <w:sz w:val="21"/>
                      <w:szCs w:val="21"/>
                      <w:lang w:bidi="ar"/>
                    </w:rPr>
                    <w:t>由21个光伏子方阵组成光伏列阵区建设不改变原有土地性质，除桩基用地外，不硬化地面，不会破坏耕作层。</w:t>
                  </w:r>
                </w:p>
              </w:tc>
              <w:tc>
                <w:tcPr>
                  <w:tcW w:w="682" w:type="dxa"/>
                  <w:vAlign w:val="center"/>
                </w:tcPr>
                <w:p w14:paraId="3931A2AB">
                  <w:pPr>
                    <w:pStyle w:val="75"/>
                    <w:adjustRightInd/>
                    <w:jc w:val="center"/>
                    <w:rPr>
                      <w:rFonts w:hint="eastAsia" w:ascii="Times New Roman" w:cs="Times New Roman"/>
                      <w:sz w:val="21"/>
                    </w:rPr>
                  </w:pPr>
                  <w:r>
                    <w:rPr>
                      <w:rFonts w:hint="eastAsia" w:ascii="Times New Roman" w:cs="Times New Roman"/>
                      <w:sz w:val="21"/>
                    </w:rPr>
                    <w:t>符合</w:t>
                  </w:r>
                </w:p>
              </w:tc>
            </w:tr>
            <w:tr w14:paraId="43F2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96" w:type="dxa"/>
                  <w:vMerge w:val="continue"/>
                  <w:vAlign w:val="center"/>
                </w:tcPr>
                <w:p w14:paraId="59A069AE">
                  <w:pPr>
                    <w:pStyle w:val="75"/>
                    <w:adjustRightInd/>
                    <w:jc w:val="center"/>
                    <w:rPr>
                      <w:rFonts w:ascii="Times New Roman" w:cs="Times New Roman"/>
                      <w:sz w:val="21"/>
                    </w:rPr>
                  </w:pPr>
                </w:p>
              </w:tc>
              <w:tc>
                <w:tcPr>
                  <w:tcW w:w="4567" w:type="dxa"/>
                  <w:vAlign w:val="center"/>
                </w:tcPr>
                <w:p w14:paraId="54B91241">
                  <w:pPr>
                    <w:pStyle w:val="75"/>
                    <w:adjustRightInd/>
                    <w:rPr>
                      <w:rFonts w:ascii="Times New Roman" w:cs="Times New Roman"/>
                      <w:sz w:val="21"/>
                    </w:rPr>
                  </w:pPr>
                  <w:r>
                    <w:rPr>
                      <w:rFonts w:ascii="Times New Roman" w:cs="Times New Roman"/>
                      <w:sz w:val="21"/>
                      <w:szCs w:val="21"/>
                      <w:lang w:bidi="ar"/>
                    </w:rPr>
                    <w:t>对符合我省光伏复合项目建设要求和认定标准的项目，架设在25度以上耕地（水田除外）或其他农用地上的光伏方阵用地，满足光伏组件最低沿高于地面2.5m、高于最高水位0.6m，桩基间列间距大于4m，行间距大于6.5m的架设要求，在不破坏耕地耕作层及农用地生产条件和不改变原用地性质的条件下，允许以租赁等方式使用；除桩基用地外，严禁硬化地面、破坏耕作层，严禁抛荒、拓荒。采用直埋电缆方式敷设的集电线路用地，实行与项目光伏方阵用地同样的管理方式。场内道路用地可按农村道路用地管理。升压站、运行管理中心、集电线路杆塔基础等其他设施用地按建设用地管理。</w:t>
                  </w:r>
                </w:p>
              </w:tc>
              <w:tc>
                <w:tcPr>
                  <w:tcW w:w="1552" w:type="dxa"/>
                  <w:vMerge w:val="continue"/>
                  <w:vAlign w:val="center"/>
                </w:tcPr>
                <w:p w14:paraId="0B3B8C4F">
                  <w:pPr>
                    <w:pStyle w:val="75"/>
                    <w:adjustRightInd/>
                    <w:jc w:val="center"/>
                    <w:rPr>
                      <w:rFonts w:ascii="Times New Roman" w:cs="Times New Roman"/>
                      <w:sz w:val="21"/>
                    </w:rPr>
                  </w:pPr>
                </w:p>
              </w:tc>
              <w:tc>
                <w:tcPr>
                  <w:tcW w:w="682" w:type="dxa"/>
                  <w:vAlign w:val="center"/>
                </w:tcPr>
                <w:p w14:paraId="29AE72F3">
                  <w:pPr>
                    <w:pStyle w:val="75"/>
                    <w:adjustRightInd/>
                    <w:jc w:val="center"/>
                    <w:rPr>
                      <w:rFonts w:hint="eastAsia" w:ascii="Times New Roman" w:cs="Times New Roman"/>
                      <w:sz w:val="21"/>
                    </w:rPr>
                  </w:pPr>
                  <w:r>
                    <w:rPr>
                      <w:rFonts w:hint="eastAsia" w:ascii="Times New Roman" w:cs="Times New Roman"/>
                      <w:sz w:val="21"/>
                    </w:rPr>
                    <w:t>符合</w:t>
                  </w:r>
                </w:p>
              </w:tc>
            </w:tr>
            <w:tr w14:paraId="2D9D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96" w:type="dxa"/>
                  <w:vMerge w:val="continue"/>
                  <w:vAlign w:val="center"/>
                </w:tcPr>
                <w:p w14:paraId="3EA45D31">
                  <w:pPr>
                    <w:pStyle w:val="75"/>
                    <w:adjustRightInd/>
                    <w:jc w:val="center"/>
                    <w:rPr>
                      <w:rFonts w:ascii="Times New Roman" w:cs="Times New Roman"/>
                      <w:sz w:val="21"/>
                    </w:rPr>
                  </w:pPr>
                </w:p>
              </w:tc>
              <w:tc>
                <w:tcPr>
                  <w:tcW w:w="4567" w:type="dxa"/>
                  <w:vAlign w:val="center"/>
                </w:tcPr>
                <w:p w14:paraId="11A0012F">
                  <w:pPr>
                    <w:pStyle w:val="75"/>
                    <w:adjustRightInd/>
                    <w:rPr>
                      <w:rFonts w:ascii="Times New Roman" w:cs="Times New Roman"/>
                      <w:sz w:val="21"/>
                    </w:rPr>
                  </w:pPr>
                  <w:r>
                    <w:rPr>
                      <w:rFonts w:ascii="Times New Roman" w:cs="Times New Roman"/>
                      <w:sz w:val="21"/>
                      <w:szCs w:val="21"/>
                      <w:lang w:bidi="ar"/>
                    </w:rPr>
                    <w:t>新建、改建和扩建地面光伏发电项目，按建设用地和未利用地管理的，应严格执行国土资〔2015〕11号文件要求，合理利用土地。</w:t>
                  </w:r>
                </w:p>
              </w:tc>
              <w:tc>
                <w:tcPr>
                  <w:tcW w:w="1552" w:type="dxa"/>
                  <w:vMerge w:val="continue"/>
                  <w:vAlign w:val="center"/>
                </w:tcPr>
                <w:p w14:paraId="2468D1E6">
                  <w:pPr>
                    <w:pStyle w:val="75"/>
                    <w:adjustRightInd/>
                    <w:jc w:val="center"/>
                    <w:rPr>
                      <w:rFonts w:ascii="Times New Roman" w:cs="Times New Roman"/>
                      <w:sz w:val="21"/>
                    </w:rPr>
                  </w:pPr>
                </w:p>
              </w:tc>
              <w:tc>
                <w:tcPr>
                  <w:tcW w:w="682" w:type="dxa"/>
                  <w:vAlign w:val="center"/>
                </w:tcPr>
                <w:p w14:paraId="3A008D90">
                  <w:pPr>
                    <w:pStyle w:val="75"/>
                    <w:adjustRightInd/>
                    <w:jc w:val="center"/>
                    <w:rPr>
                      <w:rFonts w:ascii="Times New Roman" w:cs="Times New Roman"/>
                      <w:sz w:val="21"/>
                    </w:rPr>
                  </w:pPr>
                  <w:r>
                    <w:rPr>
                      <w:rFonts w:hint="eastAsia" w:ascii="Times New Roman" w:cs="Times New Roman"/>
                      <w:sz w:val="21"/>
                    </w:rPr>
                    <w:t>符合</w:t>
                  </w:r>
                </w:p>
              </w:tc>
            </w:tr>
            <w:tr w14:paraId="3C08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96" w:type="dxa"/>
                  <w:vAlign w:val="center"/>
                </w:tcPr>
                <w:p w14:paraId="4E395252">
                  <w:pPr>
                    <w:jc w:val="center"/>
                    <w:textAlignment w:val="center"/>
                    <w:rPr>
                      <w:color w:val="000000"/>
                    </w:rPr>
                  </w:pPr>
                  <w:r>
                    <w:rPr>
                      <w:color w:val="000000"/>
                      <w:kern w:val="0"/>
                      <w:lang w:bidi="ar"/>
                    </w:rPr>
                    <w:t>三、严格光伏发电项目用地利用监管</w:t>
                  </w:r>
                </w:p>
              </w:tc>
              <w:tc>
                <w:tcPr>
                  <w:tcW w:w="4567" w:type="dxa"/>
                  <w:vAlign w:val="center"/>
                </w:tcPr>
                <w:p w14:paraId="4503D4F4">
                  <w:pPr>
                    <w:jc w:val="left"/>
                    <w:textAlignment w:val="center"/>
                    <w:rPr>
                      <w:color w:val="000000"/>
                    </w:rPr>
                  </w:pPr>
                  <w:r>
                    <w:rPr>
                      <w:color w:val="000000"/>
                      <w:kern w:val="0"/>
                      <w:lang w:bidi="ar"/>
                    </w:rPr>
                    <w:t>光伏发电项目用地中按农用地、未利用地管理的，除桩基用地外，场内道路等功能分区用地不得硬化地面、破坏耕作层，否则，应当依法办理建设用地审批手续，未办理审批手续的，按违法用地依法查处。对于布设后未能并网发电的光伏方阵，由项目所在地能源主管部门清理。光伏方阵用地按农用地、未利用地管理的项目退出时，未按规定恢复原状的，由项目所在地能源主管部门责令整改到位。</w:t>
                  </w:r>
                </w:p>
              </w:tc>
              <w:tc>
                <w:tcPr>
                  <w:tcW w:w="1552" w:type="dxa"/>
                  <w:vAlign w:val="center"/>
                </w:tcPr>
                <w:p w14:paraId="42188B77">
                  <w:pPr>
                    <w:jc w:val="center"/>
                    <w:textAlignment w:val="center"/>
                    <w:rPr>
                      <w:color w:val="000000"/>
                    </w:rPr>
                  </w:pPr>
                  <w:r>
                    <w:rPr>
                      <w:color w:val="000000"/>
                      <w:kern w:val="0"/>
                      <w:lang w:bidi="ar"/>
                    </w:rPr>
                    <w:t>光伏列阵区建设不改变原有土地性质，除桩基用地外，不硬化地面，不会破坏耕作层，项目建设用地已办理相关手续。</w:t>
                  </w:r>
                </w:p>
              </w:tc>
              <w:tc>
                <w:tcPr>
                  <w:tcW w:w="682" w:type="dxa"/>
                  <w:vAlign w:val="center"/>
                </w:tcPr>
                <w:p w14:paraId="489ECE0F">
                  <w:pPr>
                    <w:pStyle w:val="75"/>
                    <w:adjustRightInd/>
                    <w:jc w:val="center"/>
                    <w:rPr>
                      <w:rFonts w:ascii="Times New Roman" w:cs="Times New Roman"/>
                      <w:sz w:val="21"/>
                    </w:rPr>
                  </w:pPr>
                  <w:r>
                    <w:rPr>
                      <w:rFonts w:hint="eastAsia" w:ascii="Times New Roman" w:cs="Times New Roman"/>
                      <w:sz w:val="21"/>
                    </w:rPr>
                    <w:t>符合</w:t>
                  </w:r>
                </w:p>
              </w:tc>
            </w:tr>
          </w:tbl>
          <w:p w14:paraId="72EA9E1F">
            <w:pPr>
              <w:pStyle w:val="73"/>
              <w:keepNext w:val="0"/>
              <w:keepLines w:val="0"/>
              <w:spacing w:before="120" w:beforeLines="50"/>
              <w:jc w:val="both"/>
              <w:rPr>
                <w:rFonts w:hint="eastAsia"/>
                <w:kern w:val="2"/>
                <w:sz w:val="24"/>
                <w:szCs w:val="24"/>
              </w:rPr>
            </w:pPr>
            <w:r>
              <w:rPr>
                <w:rFonts w:hint="eastAsia"/>
                <w:kern w:val="2"/>
                <w:sz w:val="24"/>
                <w:szCs w:val="24"/>
              </w:rPr>
              <w:t>1.2.7 与《云南省临时用地管理办法（试行）》的符合性分析</w:t>
            </w:r>
          </w:p>
          <w:p w14:paraId="3EC2436B">
            <w:pPr>
              <w:shd w:val="clear" w:color="auto" w:fill="FFFFFF"/>
              <w:topLinePunct/>
              <w:spacing w:line="360" w:lineRule="auto"/>
              <w:ind w:firstLine="480" w:firstLineChars="200"/>
              <w:textAlignment w:val="baseline"/>
              <w:rPr>
                <w:sz w:val="24"/>
                <w:szCs w:val="24"/>
              </w:rPr>
            </w:pPr>
            <w:r>
              <w:rPr>
                <w:kern w:val="0"/>
                <w:sz w:val="24"/>
              </w:rPr>
              <w:t>（1）</w:t>
            </w:r>
            <w:r>
              <w:rPr>
                <w:sz w:val="24"/>
                <w:szCs w:val="24"/>
                <w:shd w:val="clear" w:color="auto" w:fill="FFFFFF"/>
              </w:rPr>
              <w:t>范围、选址、期限要求</w:t>
            </w:r>
          </w:p>
          <w:p w14:paraId="37AFBC95">
            <w:pPr>
              <w:pStyle w:val="88"/>
              <w:topLinePunct/>
              <w:ind w:firstLine="480"/>
              <w:rPr>
                <w:spacing w:val="0"/>
                <w:szCs w:val="21"/>
              </w:rPr>
            </w:pPr>
            <w:r>
              <w:rPr>
                <w:spacing w:val="0"/>
                <w:shd w:val="clear" w:color="auto" w:fill="FFFFFF"/>
              </w:rPr>
              <w:t>本项目占地86.97hm</w:t>
            </w:r>
            <w:r>
              <w:rPr>
                <w:spacing w:val="0"/>
                <w:shd w:val="clear" w:color="auto" w:fill="FFFFFF"/>
                <w:vertAlign w:val="superscript"/>
              </w:rPr>
              <w:t>2</w:t>
            </w:r>
            <w:r>
              <w:rPr>
                <w:spacing w:val="0"/>
                <w:shd w:val="clear" w:color="auto" w:fill="FFFFFF"/>
              </w:rPr>
              <w:t>，</w:t>
            </w:r>
            <w:r>
              <w:rPr>
                <w:rFonts w:hint="eastAsia"/>
              </w:rPr>
              <w:t>永久占地</w:t>
            </w:r>
            <w:r>
              <w:t>0.92hm</w:t>
            </w:r>
            <w:r>
              <w:rPr>
                <w:vertAlign w:val="superscript"/>
              </w:rPr>
              <w:t>2</w:t>
            </w:r>
            <w:r>
              <w:rPr>
                <w:rFonts w:hint="eastAsia"/>
              </w:rPr>
              <w:t>，长期租地</w:t>
            </w:r>
            <w:r>
              <w:t>84.93hm</w:t>
            </w:r>
            <w:r>
              <w:rPr>
                <w:vertAlign w:val="superscript"/>
              </w:rPr>
              <w:t>2</w:t>
            </w:r>
            <w:r>
              <w:rPr>
                <w:rFonts w:hint="eastAsia"/>
              </w:rPr>
              <w:t>，临时租地</w:t>
            </w:r>
            <w:r>
              <w:t>1.13hm</w:t>
            </w:r>
            <w:r>
              <w:rPr>
                <w:vertAlign w:val="superscript"/>
              </w:rPr>
              <w:t>2</w:t>
            </w:r>
            <w:r>
              <w:rPr>
                <w:spacing w:val="0"/>
                <w:szCs w:val="21"/>
              </w:rPr>
              <w:t>，项目在选址过程中，已充分考虑避开国家重点保护的野生动植物栖息地、自然保护区、饮用水水源保护区等禁止建设区域，以及生态脆弱区和生态敏感区等限制建设区域，确保用地范围符合生态保护要求，且项目已取得自然资源、生态环境、水务、林草等部门的选址意见，取得</w:t>
            </w:r>
            <w:r>
              <w:rPr>
                <w:rFonts w:hint="eastAsia"/>
                <w:spacing w:val="0"/>
                <w:szCs w:val="21"/>
              </w:rPr>
              <w:t>会泽县</w:t>
            </w:r>
            <w:r>
              <w:rPr>
                <w:spacing w:val="0"/>
                <w:szCs w:val="21"/>
              </w:rPr>
              <w:t>发展和改革局投资项目备案证。</w:t>
            </w:r>
          </w:p>
          <w:p w14:paraId="1F7E493C">
            <w:pPr>
              <w:shd w:val="clear" w:color="auto" w:fill="FFFFFF"/>
              <w:spacing w:line="360" w:lineRule="auto"/>
              <w:ind w:firstLine="480" w:firstLineChars="200"/>
              <w:textAlignment w:val="baseline"/>
              <w:rPr>
                <w:kern w:val="0"/>
                <w:sz w:val="24"/>
              </w:rPr>
            </w:pPr>
            <w:r>
              <w:rPr>
                <w:kern w:val="0"/>
                <w:sz w:val="24"/>
              </w:rPr>
              <w:t>（2）用地审批</w:t>
            </w:r>
          </w:p>
          <w:p w14:paraId="70BFC8A2">
            <w:pPr>
              <w:pStyle w:val="88"/>
              <w:topLinePunct/>
              <w:ind w:firstLine="480"/>
              <w:rPr>
                <w:spacing w:val="0"/>
                <w:shd w:val="clear" w:color="auto" w:fill="FFFFFF"/>
              </w:rPr>
            </w:pPr>
            <w:r>
              <w:rPr>
                <w:spacing w:val="0"/>
                <w:shd w:val="clear" w:color="auto" w:fill="FFFFFF"/>
              </w:rPr>
              <w:t>建设单位已在项目前期准备阶段，严格按照规定的流程办理用地审批手续，并积极配合自然资源主管部门的审查工作，保障项目的合法用地需求，项目选址在临时用地上不修建永久性建筑物、构筑物和其他设施；涉及占用林地、草地的，将依法依规办理相关审批手续；涉及使用农用地或未利用地作为临时用地的，将在用地前对地面建（构）筑物、附着物进行清点统计，并依法签订补偿协议等。</w:t>
            </w:r>
          </w:p>
          <w:p w14:paraId="311CB849">
            <w:pPr>
              <w:pStyle w:val="88"/>
              <w:topLinePunct/>
              <w:ind w:firstLine="480"/>
              <w:rPr>
                <w:spacing w:val="0"/>
                <w:shd w:val="clear" w:color="auto" w:fill="FFFFFF"/>
              </w:rPr>
            </w:pPr>
            <w:r>
              <w:rPr>
                <w:spacing w:val="0"/>
                <w:shd w:val="clear" w:color="auto" w:fill="FFFFFF"/>
              </w:rPr>
              <w:t>（3）复垦还地、地类变更</w:t>
            </w:r>
          </w:p>
          <w:p w14:paraId="2E8111C3">
            <w:pPr>
              <w:pStyle w:val="88"/>
              <w:topLinePunct/>
              <w:ind w:firstLine="480"/>
              <w:rPr>
                <w:spacing w:val="0"/>
                <w:shd w:val="clear" w:color="auto" w:fill="FFFFFF"/>
              </w:rPr>
            </w:pPr>
            <w:r>
              <w:rPr>
                <w:spacing w:val="0"/>
                <w:shd w:val="clear" w:color="auto" w:fill="FFFFFF"/>
              </w:rPr>
              <w:t>项目运营期满后，将严格按照土地回复方案的要求，对临时用地进行生态修复，恢复土地的原有功能和生态环境。修复后的土地将优先用于恢复土地原用途，确保土地资源的可持续利用及生态环境保护。</w:t>
            </w:r>
          </w:p>
          <w:p w14:paraId="4C9B4E12">
            <w:pPr>
              <w:pStyle w:val="88"/>
              <w:ind w:firstLine="480"/>
              <w:rPr>
                <w:rFonts w:hint="eastAsia"/>
                <w:spacing w:val="0"/>
                <w:shd w:val="clear" w:color="auto" w:fill="FFFFFF"/>
              </w:rPr>
            </w:pPr>
            <w:r>
              <w:rPr>
                <w:spacing w:val="0"/>
                <w:shd w:val="clear" w:color="auto" w:fill="FFFFFF"/>
              </w:rPr>
              <w:t>综上所述，本光伏发电项目在建设和运营过程中，通过采取一系列有效的环保措施，最大限度地减少对环境的不利影响，确保项目环境可行。同时，项目在用地范围、选址要求、用地审批程序、土地复垦与生态修复、临时用地期限等各方面均符合《云南省临时用地管理办法（试行）》的相关规定，能够依法依规进行用地管理，保障土地资源的合理利用和生态环境的可持续发展。</w:t>
            </w:r>
          </w:p>
          <w:p w14:paraId="06E4094A">
            <w:pPr>
              <w:pStyle w:val="73"/>
              <w:keepNext w:val="0"/>
              <w:keepLines w:val="0"/>
              <w:jc w:val="both"/>
              <w:rPr>
                <w:rFonts w:hint="eastAsia"/>
                <w:kern w:val="2"/>
                <w:sz w:val="24"/>
                <w:szCs w:val="24"/>
              </w:rPr>
            </w:pPr>
            <w:r>
              <w:rPr>
                <w:rFonts w:hint="eastAsia"/>
                <w:kern w:val="2"/>
                <w:sz w:val="24"/>
                <w:szCs w:val="24"/>
              </w:rPr>
              <w:t>1.2.8 与《云南省自然资源厅省能源局关于进一步支持光伏扶贫和规范光伏发电产业用地的通知》的符合性分析</w:t>
            </w:r>
          </w:p>
          <w:p w14:paraId="2817240A">
            <w:pPr>
              <w:topLinePunct/>
              <w:spacing w:line="360" w:lineRule="auto"/>
              <w:ind w:firstLine="480" w:firstLineChars="200"/>
              <w:rPr>
                <w:rFonts w:hint="eastAsia"/>
                <w:snapToGrid w:val="0"/>
                <w:color w:val="000000"/>
                <w:kern w:val="0"/>
                <w:sz w:val="24"/>
              </w:rPr>
            </w:pPr>
            <w:r>
              <w:rPr>
                <w:rFonts w:hint="eastAsia"/>
                <w:snapToGrid w:val="0"/>
                <w:color w:val="000000"/>
                <w:kern w:val="0"/>
                <w:sz w:val="24"/>
              </w:rPr>
              <w:t>本项目与</w:t>
            </w:r>
            <w:r>
              <w:rPr>
                <w:snapToGrid w:val="0"/>
                <w:color w:val="000000"/>
                <w:kern w:val="0"/>
                <w:sz w:val="24"/>
              </w:rPr>
              <w:t>《云南省自然资源厅省能源局关于进一步支持光伏扶贫和规范光伏发电产业用地的通知》（云自然资〔2019〕196号）的要求的符合性分析如下表</w:t>
            </w:r>
            <w:r>
              <w:rPr>
                <w:rFonts w:hint="eastAsia"/>
                <w:snapToGrid w:val="0"/>
                <w:color w:val="000000"/>
                <w:kern w:val="0"/>
                <w:sz w:val="24"/>
              </w:rPr>
              <w:t>。</w:t>
            </w:r>
          </w:p>
          <w:p w14:paraId="79988AAE">
            <w:pPr>
              <w:pStyle w:val="219"/>
              <w:spacing w:before="0" w:beforeLines="0"/>
              <w:rPr>
                <w:sz w:val="24"/>
                <w:szCs w:val="24"/>
              </w:rPr>
            </w:pPr>
            <w:r>
              <w:rPr>
                <w:sz w:val="24"/>
                <w:szCs w:val="24"/>
              </w:rPr>
              <w:t>表1</w:t>
            </w:r>
            <w:r>
              <w:rPr>
                <w:rFonts w:hint="eastAsia"/>
                <w:sz w:val="24"/>
                <w:szCs w:val="24"/>
              </w:rPr>
              <w:t>.2.8</w:t>
            </w:r>
            <w:r>
              <w:rPr>
                <w:sz w:val="24"/>
                <w:szCs w:val="24"/>
              </w:rPr>
              <w:t>-</w:t>
            </w:r>
            <w:r>
              <w:rPr>
                <w:rFonts w:hint="eastAsia"/>
                <w:sz w:val="24"/>
                <w:szCs w:val="24"/>
              </w:rPr>
              <w:t xml:space="preserve">1  </w:t>
            </w:r>
            <w:r>
              <w:rPr>
                <w:sz w:val="24"/>
                <w:szCs w:val="24"/>
              </w:rPr>
              <w:t>与（云自然资〔2019〕196号）</w:t>
            </w:r>
            <w:r>
              <w:rPr>
                <w:rFonts w:hint="eastAsia"/>
                <w:sz w:val="24"/>
                <w:szCs w:val="24"/>
              </w:rPr>
              <w:t>文件的</w:t>
            </w:r>
            <w:r>
              <w:rPr>
                <w:sz w:val="24"/>
                <w:szCs w:val="24"/>
              </w:rPr>
              <w:t>符合性分析</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50"/>
              <w:gridCol w:w="3488"/>
              <w:gridCol w:w="662"/>
            </w:tblGrid>
            <w:tr w14:paraId="1467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51" w:type="dxa"/>
                  <w:vAlign w:val="center"/>
                </w:tcPr>
                <w:p w14:paraId="68C5CA05">
                  <w:pPr>
                    <w:jc w:val="center"/>
                    <w:rPr>
                      <w:b/>
                      <w:bCs/>
                      <w:snapToGrid w:val="0"/>
                      <w:color w:val="000000"/>
                      <w:kern w:val="0"/>
                      <w:lang w:eastAsia="en-US"/>
                    </w:rPr>
                  </w:pPr>
                  <w:r>
                    <w:rPr>
                      <w:b/>
                      <w:bCs/>
                      <w:snapToGrid w:val="0"/>
                      <w:color w:val="000000"/>
                      <w:kern w:val="0"/>
                      <w:lang w:eastAsia="en-US"/>
                    </w:rPr>
                    <w:t>文件内容</w:t>
                  </w:r>
                </w:p>
              </w:tc>
              <w:tc>
                <w:tcPr>
                  <w:tcW w:w="3489" w:type="dxa"/>
                  <w:vAlign w:val="center"/>
                </w:tcPr>
                <w:p w14:paraId="377754CB">
                  <w:pPr>
                    <w:jc w:val="center"/>
                    <w:rPr>
                      <w:b/>
                      <w:bCs/>
                      <w:snapToGrid w:val="0"/>
                      <w:color w:val="000000"/>
                      <w:kern w:val="0"/>
                      <w:lang w:eastAsia="en-US"/>
                    </w:rPr>
                  </w:pPr>
                  <w:r>
                    <w:rPr>
                      <w:b/>
                      <w:bCs/>
                      <w:snapToGrid w:val="0"/>
                      <w:color w:val="000000"/>
                      <w:kern w:val="0"/>
                      <w:lang w:eastAsia="en-US"/>
                    </w:rPr>
                    <w:t>相符性分析</w:t>
                  </w:r>
                </w:p>
              </w:tc>
              <w:tc>
                <w:tcPr>
                  <w:tcW w:w="661" w:type="dxa"/>
                  <w:vAlign w:val="center"/>
                </w:tcPr>
                <w:p w14:paraId="37293E86">
                  <w:pPr>
                    <w:jc w:val="center"/>
                    <w:rPr>
                      <w:b/>
                      <w:bCs/>
                      <w:snapToGrid w:val="0"/>
                      <w:color w:val="000000"/>
                      <w:kern w:val="0"/>
                      <w:lang w:eastAsia="en-US"/>
                    </w:rPr>
                  </w:pPr>
                  <w:r>
                    <w:rPr>
                      <w:b/>
                      <w:bCs/>
                      <w:snapToGrid w:val="0"/>
                      <w:color w:val="000000"/>
                      <w:kern w:val="0"/>
                      <w:lang w:eastAsia="en-US"/>
                    </w:rPr>
                    <w:t>符合性</w:t>
                  </w:r>
                </w:p>
              </w:tc>
            </w:tr>
            <w:tr w14:paraId="4EF0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51" w:type="dxa"/>
                  <w:vAlign w:val="center"/>
                </w:tcPr>
                <w:p w14:paraId="6A02882A">
                  <w:pPr>
                    <w:adjustRightInd w:val="0"/>
                    <w:snapToGrid w:val="0"/>
                    <w:jc w:val="left"/>
                    <w:rPr>
                      <w:snapToGrid w:val="0"/>
                      <w:color w:val="000000"/>
                      <w:kern w:val="0"/>
                    </w:rPr>
                  </w:pPr>
                  <w:r>
                    <w:rPr>
                      <w:snapToGrid w:val="0"/>
                      <w:color w:val="000000"/>
                      <w:kern w:val="0"/>
                    </w:rPr>
                    <w:t>对国土资规〔2017〕8号文件确定利用农用地复合建设的光伏发电项目（以下简称光伏复合项目）以外的其他光伏发电项目用地，应严格执行国土资规〔2015〕5号文件规定，使用未利用地的，对不占压土地、不改变地表形态的光伏方阵用地部分可按原地类认定，不改变土地用途，用地允许以租赁等方式取得，双方签订好补偿协议，报当地县（市、区）自然资源主管部门备案；其他用地部分，应依法办理建设用地审批手续；对建设占用农用地的，所有用地部分均应按建设用地管理。</w:t>
                  </w:r>
                </w:p>
              </w:tc>
              <w:tc>
                <w:tcPr>
                  <w:tcW w:w="3489" w:type="dxa"/>
                  <w:vAlign w:val="center"/>
                </w:tcPr>
                <w:p w14:paraId="55D731E6">
                  <w:pPr>
                    <w:adjustRightInd w:val="0"/>
                    <w:snapToGrid w:val="0"/>
                    <w:jc w:val="left"/>
                    <w:rPr>
                      <w:snapToGrid w:val="0"/>
                      <w:color w:val="000000"/>
                      <w:kern w:val="0"/>
                    </w:rPr>
                  </w:pPr>
                  <w:r>
                    <w:rPr>
                      <w:snapToGrid w:val="0"/>
                      <w:color w:val="000000"/>
                      <w:kern w:val="0"/>
                    </w:rPr>
                    <w:t>本项目用地现状主要为</w:t>
                  </w:r>
                  <w:r>
                    <w:rPr>
                      <w:rFonts w:hint="eastAsia"/>
                      <w:snapToGrid w:val="0"/>
                      <w:color w:val="000000"/>
                      <w:kern w:val="0"/>
                    </w:rPr>
                    <w:t>草地和园地，不占用农用地，</w:t>
                  </w:r>
                  <w:r>
                    <w:rPr>
                      <w:snapToGrid w:val="0"/>
                      <w:color w:val="000000"/>
                      <w:kern w:val="0"/>
                    </w:rPr>
                    <w:t>建设单位拟于项目光伏电池组件阵列区下方</w:t>
                  </w:r>
                  <w:r>
                    <w:rPr>
                      <w:rFonts w:hint="eastAsia"/>
                      <w:snapToGrid w:val="0"/>
                      <w:color w:val="000000"/>
                      <w:kern w:val="0"/>
                    </w:rPr>
                    <w:t>种植草木，进行植被恢复</w:t>
                  </w:r>
                  <w:r>
                    <w:rPr>
                      <w:snapToGrid w:val="0"/>
                      <w:color w:val="000000"/>
                      <w:kern w:val="0"/>
                    </w:rPr>
                    <w:t>，</w:t>
                  </w:r>
                  <w:r>
                    <w:rPr>
                      <w:rFonts w:hint="eastAsia"/>
                      <w:snapToGrid w:val="0"/>
                      <w:color w:val="000000"/>
                      <w:kern w:val="0"/>
                    </w:rPr>
                    <w:t>防治水土流失；对</w:t>
                  </w:r>
                  <w:r>
                    <w:rPr>
                      <w:snapToGrid w:val="0"/>
                      <w:color w:val="000000"/>
                      <w:kern w:val="0"/>
                    </w:rPr>
                    <w:t>升压站用地进行硬化，在项目服务结束期满后，将对升压站及光伏阵列设备进行拆除</w:t>
                  </w:r>
                  <w:r>
                    <w:rPr>
                      <w:rFonts w:hint="eastAsia"/>
                      <w:snapToGrid w:val="0"/>
                      <w:color w:val="000000"/>
                      <w:kern w:val="0"/>
                    </w:rPr>
                    <w:t>，对</w:t>
                  </w:r>
                  <w:r>
                    <w:rPr>
                      <w:snapToGrid w:val="0"/>
                      <w:color w:val="000000"/>
                      <w:kern w:val="0"/>
                    </w:rPr>
                    <w:t>项目用地进行覆土复垦。本项目的建设不会改变项目用地性质。</w:t>
                  </w:r>
                </w:p>
              </w:tc>
              <w:tc>
                <w:tcPr>
                  <w:tcW w:w="661" w:type="dxa"/>
                  <w:vAlign w:val="center"/>
                </w:tcPr>
                <w:p w14:paraId="0BB10EFC">
                  <w:pPr>
                    <w:adjustRightInd w:val="0"/>
                    <w:snapToGrid w:val="0"/>
                    <w:jc w:val="center"/>
                    <w:rPr>
                      <w:snapToGrid w:val="0"/>
                      <w:color w:val="000000"/>
                      <w:kern w:val="0"/>
                      <w:lang w:eastAsia="en-US"/>
                    </w:rPr>
                  </w:pPr>
                  <w:r>
                    <w:rPr>
                      <w:snapToGrid w:val="0"/>
                      <w:color w:val="000000"/>
                      <w:kern w:val="0"/>
                      <w:lang w:eastAsia="en-US"/>
                    </w:rPr>
                    <w:t>符合</w:t>
                  </w:r>
                </w:p>
              </w:tc>
            </w:tr>
            <w:tr w14:paraId="6B7B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51" w:type="dxa"/>
                  <w:vAlign w:val="center"/>
                </w:tcPr>
                <w:p w14:paraId="57EADE04">
                  <w:pPr>
                    <w:adjustRightInd w:val="0"/>
                    <w:snapToGrid w:val="0"/>
                    <w:jc w:val="left"/>
                    <w:rPr>
                      <w:snapToGrid w:val="0"/>
                      <w:color w:val="000000"/>
                      <w:kern w:val="0"/>
                    </w:rPr>
                  </w:pPr>
                  <w:r>
                    <w:rPr>
                      <w:snapToGrid w:val="0"/>
                      <w:color w:val="000000"/>
                      <w:kern w:val="0"/>
                    </w:rPr>
                    <w:t>光伏复合项目，架设在一般耕地或其他农用地上的光伏方阵用地，满足光伏组件最低沿高于地面2.5米、高于最高水位0.6米，桩基间列间距大于4米，行间距大于6.5米的架设要求，不破坏农业生产条件的可不改变原用地性质；除桩基用地外，严禁硬化地面、破坏耕作层，严禁抛荒、</w:t>
                  </w:r>
                  <w:r>
                    <w:rPr>
                      <w:rFonts w:hint="eastAsia"/>
                      <w:snapToGrid w:val="0"/>
                      <w:color w:val="000000"/>
                      <w:kern w:val="0"/>
                    </w:rPr>
                    <w:t>拓荒</w:t>
                  </w:r>
                  <w:r>
                    <w:rPr>
                      <w:snapToGrid w:val="0"/>
                      <w:color w:val="000000"/>
                      <w:kern w:val="0"/>
                    </w:rPr>
                    <w:t>。采用直埋电缆方式敷设的集电线路用地，实行与项目光伏方阵用地同样的管理方式。场内道路用地可按农村道路用地管理。升压站、运行管理中心、集电线路杆塔基础等其他设施用地按建设用地管理。</w:t>
                  </w:r>
                </w:p>
              </w:tc>
              <w:tc>
                <w:tcPr>
                  <w:tcW w:w="3489" w:type="dxa"/>
                  <w:vAlign w:val="center"/>
                </w:tcPr>
                <w:p w14:paraId="35DB0F68">
                  <w:pPr>
                    <w:rPr>
                      <w:snapToGrid w:val="0"/>
                      <w:color w:val="000000"/>
                      <w:kern w:val="0"/>
                    </w:rPr>
                  </w:pPr>
                  <w:r>
                    <w:rPr>
                      <w:snapToGrid w:val="0"/>
                      <w:color w:val="000000"/>
                      <w:kern w:val="0"/>
                    </w:rPr>
                    <w:t>本项目光伏电池组件阵列区建设时按照最低离地2.5m、桩基间列间距大于4m、行间距大于6.5m的架设的要求进行建设；项目光伏区仅桩基用地进行硬化，光伏板安装完成后将在光伏电池组件阵列区下方</w:t>
                  </w:r>
                  <w:r>
                    <w:rPr>
                      <w:rFonts w:hint="eastAsia"/>
                      <w:snapToGrid w:val="0"/>
                      <w:color w:val="000000"/>
                      <w:kern w:val="0"/>
                    </w:rPr>
                    <w:t>种植草木，进行植被恢复</w:t>
                  </w:r>
                  <w:r>
                    <w:rPr>
                      <w:snapToGrid w:val="0"/>
                      <w:color w:val="000000"/>
                      <w:kern w:val="0"/>
                    </w:rPr>
                    <w:t>；光伏区场内道路路面为泥结碎石路面，不对道路路面进行硬化；本项目集电线路采用埋地+架空敷设；升压站、杆塔基础用地进行硬化，在项目服务结束期满后，将对升压站及光伏阵列设备进行拆除</w:t>
                  </w:r>
                  <w:r>
                    <w:rPr>
                      <w:rFonts w:hint="eastAsia"/>
                      <w:snapToGrid w:val="0"/>
                      <w:color w:val="000000"/>
                      <w:kern w:val="0"/>
                    </w:rPr>
                    <w:t>，对</w:t>
                  </w:r>
                  <w:r>
                    <w:rPr>
                      <w:snapToGrid w:val="0"/>
                      <w:color w:val="000000"/>
                      <w:kern w:val="0"/>
                    </w:rPr>
                    <w:t>项目用地进行覆土复垦。</w:t>
                  </w:r>
                </w:p>
              </w:tc>
              <w:tc>
                <w:tcPr>
                  <w:tcW w:w="661" w:type="dxa"/>
                  <w:vAlign w:val="center"/>
                </w:tcPr>
                <w:p w14:paraId="602CEBDA">
                  <w:pPr>
                    <w:adjustRightInd w:val="0"/>
                    <w:snapToGrid w:val="0"/>
                    <w:jc w:val="center"/>
                    <w:rPr>
                      <w:snapToGrid w:val="0"/>
                      <w:color w:val="000000"/>
                      <w:kern w:val="0"/>
                    </w:rPr>
                  </w:pPr>
                  <w:r>
                    <w:rPr>
                      <w:snapToGrid w:val="0"/>
                      <w:color w:val="000000"/>
                      <w:kern w:val="0"/>
                    </w:rPr>
                    <w:t>符合</w:t>
                  </w:r>
                </w:p>
              </w:tc>
            </w:tr>
            <w:tr w14:paraId="1C9A0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51" w:type="dxa"/>
                  <w:vAlign w:val="center"/>
                </w:tcPr>
                <w:p w14:paraId="0E77BA1D">
                  <w:pPr>
                    <w:adjustRightInd w:val="0"/>
                    <w:snapToGrid w:val="0"/>
                    <w:jc w:val="left"/>
                    <w:rPr>
                      <w:snapToGrid w:val="0"/>
                      <w:color w:val="000000"/>
                      <w:kern w:val="0"/>
                    </w:rPr>
                  </w:pPr>
                  <w:r>
                    <w:rPr>
                      <w:snapToGrid w:val="0"/>
                      <w:color w:val="000000"/>
                      <w:kern w:val="0"/>
                    </w:rPr>
                    <w:t>新建、改建和扩建地面光伏发电项目，按建设用地和未利用地管理的，应严格执行国土资规〔2015〕11号文件要求，合理利用土地。</w:t>
                  </w:r>
                </w:p>
              </w:tc>
              <w:tc>
                <w:tcPr>
                  <w:tcW w:w="3489" w:type="dxa"/>
                  <w:vAlign w:val="center"/>
                </w:tcPr>
                <w:p w14:paraId="13F4587C">
                  <w:pPr>
                    <w:jc w:val="left"/>
                    <w:rPr>
                      <w:rFonts w:hint="eastAsia"/>
                      <w:snapToGrid w:val="0"/>
                      <w:color w:val="000000"/>
                      <w:kern w:val="0"/>
                    </w:rPr>
                  </w:pPr>
                  <w:r>
                    <w:rPr>
                      <w:snapToGrid w:val="0"/>
                      <w:color w:val="000000"/>
                      <w:kern w:val="0"/>
                    </w:rPr>
                    <w:t>本项目用地现状主要为</w:t>
                  </w:r>
                  <w:r>
                    <w:rPr>
                      <w:rFonts w:hint="eastAsia"/>
                      <w:snapToGrid w:val="0"/>
                      <w:color w:val="000000"/>
                      <w:kern w:val="0"/>
                    </w:rPr>
                    <w:t>草地和园地，对</w:t>
                  </w:r>
                  <w:r>
                    <w:rPr>
                      <w:snapToGrid w:val="0"/>
                      <w:color w:val="000000"/>
                      <w:kern w:val="0"/>
                    </w:rPr>
                    <w:t>升压站用地进行硬化，在项目服务结束期满后，将对升压站及光伏阵列设备进行拆除</w:t>
                  </w:r>
                  <w:r>
                    <w:rPr>
                      <w:rFonts w:hint="eastAsia"/>
                      <w:snapToGrid w:val="0"/>
                      <w:color w:val="000000"/>
                      <w:kern w:val="0"/>
                    </w:rPr>
                    <w:t>，对</w:t>
                  </w:r>
                  <w:r>
                    <w:rPr>
                      <w:snapToGrid w:val="0"/>
                      <w:color w:val="000000"/>
                      <w:kern w:val="0"/>
                    </w:rPr>
                    <w:t>项目用地进行覆土复垦。本项目的建设不会改变项目用地性质。</w:t>
                  </w:r>
                </w:p>
              </w:tc>
              <w:tc>
                <w:tcPr>
                  <w:tcW w:w="661" w:type="dxa"/>
                  <w:vAlign w:val="center"/>
                </w:tcPr>
                <w:p w14:paraId="0702D40E">
                  <w:pPr>
                    <w:adjustRightInd w:val="0"/>
                    <w:snapToGrid w:val="0"/>
                    <w:jc w:val="center"/>
                    <w:rPr>
                      <w:snapToGrid w:val="0"/>
                      <w:color w:val="000000"/>
                      <w:kern w:val="0"/>
                    </w:rPr>
                  </w:pPr>
                  <w:r>
                    <w:rPr>
                      <w:rFonts w:hint="eastAsia"/>
                      <w:snapToGrid w:val="0"/>
                      <w:color w:val="000000"/>
                      <w:kern w:val="0"/>
                    </w:rPr>
                    <w:t>符合</w:t>
                  </w:r>
                </w:p>
              </w:tc>
            </w:tr>
            <w:tr w14:paraId="45F4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851" w:type="dxa"/>
                  <w:vAlign w:val="center"/>
                </w:tcPr>
                <w:p w14:paraId="64EA6D29">
                  <w:pPr>
                    <w:adjustRightInd w:val="0"/>
                    <w:snapToGrid w:val="0"/>
                    <w:jc w:val="left"/>
                    <w:rPr>
                      <w:snapToGrid w:val="0"/>
                      <w:color w:val="000000"/>
                      <w:kern w:val="0"/>
                    </w:rPr>
                  </w:pPr>
                  <w:r>
                    <w:rPr>
                      <w:snapToGrid w:val="0"/>
                      <w:color w:val="000000"/>
                      <w:kern w:val="0"/>
                    </w:rPr>
                    <w:t>光伏发电项目用地中按农用地、未利用地管理的，除桩基用地外，场内道路等功能分区用地不得硬化地面、破坏耕作层，否则，应当依法办理建设用地审批手续，未办理审批手续的，按违法用地依法查处。对于布设后未能并网发电的光伏方阵，由项目所在地能源主管部门清理。光伏方阵用地按农用地、未利用地管理的项目退出时，未按规定恢复原状的，由项目所在地能源主管部门责令整改到位。</w:t>
                  </w:r>
                </w:p>
              </w:tc>
              <w:tc>
                <w:tcPr>
                  <w:tcW w:w="3489" w:type="dxa"/>
                  <w:vAlign w:val="center"/>
                </w:tcPr>
                <w:p w14:paraId="49D4A3D3">
                  <w:pPr>
                    <w:jc w:val="left"/>
                    <w:rPr>
                      <w:rFonts w:hint="eastAsia"/>
                      <w:snapToGrid w:val="0"/>
                      <w:color w:val="000000"/>
                      <w:kern w:val="0"/>
                    </w:rPr>
                  </w:pPr>
                  <w:r>
                    <w:rPr>
                      <w:snapToGrid w:val="0"/>
                      <w:color w:val="000000"/>
                      <w:kern w:val="0"/>
                    </w:rPr>
                    <w:t>本项目光伏电池组件阵列区仅对桩基用地进行硬化，场内道路路面为泥结碎石路面，不对道路路面进行硬化</w:t>
                  </w:r>
                  <w:r>
                    <w:rPr>
                      <w:rFonts w:hint="eastAsia"/>
                      <w:snapToGrid w:val="0"/>
                      <w:color w:val="000000"/>
                      <w:kern w:val="0"/>
                    </w:rPr>
                    <w:t>；对</w:t>
                  </w:r>
                  <w:r>
                    <w:rPr>
                      <w:snapToGrid w:val="0"/>
                      <w:color w:val="000000"/>
                      <w:kern w:val="0"/>
                    </w:rPr>
                    <w:t>升压站及杆塔基础用地进行硬化，在项目服务结束期满后，将对升压站及光伏阵列设备进行拆除</w:t>
                  </w:r>
                  <w:r>
                    <w:rPr>
                      <w:rFonts w:hint="eastAsia"/>
                      <w:snapToGrid w:val="0"/>
                      <w:color w:val="000000"/>
                      <w:kern w:val="0"/>
                    </w:rPr>
                    <w:t>，对</w:t>
                  </w:r>
                  <w:r>
                    <w:rPr>
                      <w:snapToGrid w:val="0"/>
                      <w:color w:val="000000"/>
                      <w:kern w:val="0"/>
                    </w:rPr>
                    <w:t>项目用地进行覆土复垦。本项目建设完成后发电将并入周边电网。</w:t>
                  </w:r>
                </w:p>
              </w:tc>
              <w:tc>
                <w:tcPr>
                  <w:tcW w:w="661" w:type="dxa"/>
                  <w:vAlign w:val="center"/>
                </w:tcPr>
                <w:p w14:paraId="380F692C">
                  <w:pPr>
                    <w:adjustRightInd w:val="0"/>
                    <w:snapToGrid w:val="0"/>
                    <w:jc w:val="center"/>
                    <w:rPr>
                      <w:snapToGrid w:val="0"/>
                      <w:color w:val="000000"/>
                      <w:kern w:val="0"/>
                    </w:rPr>
                  </w:pPr>
                  <w:r>
                    <w:rPr>
                      <w:rFonts w:hint="eastAsia"/>
                      <w:snapToGrid w:val="0"/>
                      <w:color w:val="000000"/>
                      <w:kern w:val="0"/>
                    </w:rPr>
                    <w:t>符合</w:t>
                  </w:r>
                </w:p>
              </w:tc>
            </w:tr>
          </w:tbl>
          <w:p w14:paraId="2274F605">
            <w:pPr>
              <w:spacing w:line="360" w:lineRule="auto"/>
              <w:ind w:firstLine="480" w:firstLineChars="200"/>
              <w:rPr>
                <w:snapToGrid w:val="0"/>
                <w:color w:val="000000"/>
                <w:kern w:val="0"/>
                <w:sz w:val="24"/>
              </w:rPr>
            </w:pPr>
            <w:r>
              <w:rPr>
                <w:snapToGrid w:val="0"/>
                <w:color w:val="000000"/>
                <w:kern w:val="0"/>
                <w:sz w:val="24"/>
                <w:lang w:val="zh-CN"/>
              </w:rPr>
              <w:t>综上，工程光伏</w:t>
            </w:r>
            <w:r>
              <w:rPr>
                <w:rFonts w:hint="eastAsia"/>
                <w:snapToGrid w:val="0"/>
                <w:color w:val="000000"/>
                <w:kern w:val="0"/>
                <w:sz w:val="24"/>
                <w:lang w:val="zh-CN"/>
              </w:rPr>
              <w:t>组件</w:t>
            </w:r>
            <w:r>
              <w:rPr>
                <w:snapToGrid w:val="0"/>
                <w:color w:val="000000"/>
                <w:kern w:val="0"/>
                <w:sz w:val="24"/>
                <w:lang w:val="zh-CN"/>
              </w:rPr>
              <w:t>布置已按</w:t>
            </w:r>
            <w:r>
              <w:rPr>
                <w:snapToGrid w:val="0"/>
                <w:color w:val="000000"/>
                <w:kern w:val="0"/>
                <w:sz w:val="24"/>
              </w:rPr>
              <w:t>《云南省自然资源厅省能源局关于进一步支持光伏扶贫和规范光伏发电产业用地的通知》（云自然资〔2019〕196号）规定执行，与该通知要求相符。</w:t>
            </w:r>
          </w:p>
          <w:p w14:paraId="59120E7D">
            <w:pPr>
              <w:pStyle w:val="73"/>
              <w:keepNext w:val="0"/>
              <w:keepLines w:val="0"/>
              <w:adjustRightInd w:val="0"/>
              <w:snapToGrid w:val="0"/>
              <w:jc w:val="both"/>
              <w:rPr>
                <w:rFonts w:hint="eastAsia"/>
                <w:kern w:val="2"/>
                <w:sz w:val="24"/>
                <w:szCs w:val="24"/>
              </w:rPr>
            </w:pPr>
            <w:r>
              <w:rPr>
                <w:rFonts w:hint="eastAsia"/>
                <w:kern w:val="2"/>
                <w:sz w:val="24"/>
                <w:szCs w:val="24"/>
              </w:rPr>
              <w:t xml:space="preserve">1.2.9 </w:t>
            </w:r>
            <w:r>
              <w:rPr>
                <w:kern w:val="2"/>
                <w:sz w:val="24"/>
                <w:szCs w:val="24"/>
              </w:rPr>
              <w:t>与《</w:t>
            </w:r>
            <w:r>
              <w:rPr>
                <w:rFonts w:hint="eastAsia"/>
                <w:kern w:val="2"/>
                <w:sz w:val="24"/>
                <w:szCs w:val="24"/>
              </w:rPr>
              <w:t>自然资源部办公厅、国家林业和草原局办公室、国家能源局综合司关于支持光伏发电产业发展规范用地管理有关工作的通知》（自然资办发〔2023〕12号）的符合性分析</w:t>
            </w:r>
          </w:p>
          <w:p w14:paraId="3C83AA30">
            <w:pPr>
              <w:spacing w:line="360" w:lineRule="auto"/>
              <w:ind w:firstLine="480" w:firstLineChars="200"/>
              <w:rPr>
                <w:snapToGrid w:val="0"/>
                <w:color w:val="000000"/>
                <w:kern w:val="0"/>
                <w:sz w:val="24"/>
                <w:szCs w:val="24"/>
              </w:rPr>
            </w:pPr>
            <w:r>
              <w:rPr>
                <w:snapToGrid w:val="0"/>
                <w:color w:val="000000"/>
                <w:kern w:val="0"/>
                <w:sz w:val="24"/>
                <w:szCs w:val="24"/>
              </w:rPr>
              <w:t>本项目建设与</w:t>
            </w:r>
            <w:r>
              <w:rPr>
                <w:snapToGrid w:val="0"/>
                <w:color w:val="000000"/>
                <w:kern w:val="0"/>
                <w:sz w:val="24"/>
              </w:rPr>
              <w:t>《自然资源部办公厅、国家林业和草原局办公室、国家能源局综合司关于支持光伏发电产业发展规范用地管理有关工作的通知》（自然资办发〔2023〕12号）</w:t>
            </w:r>
            <w:r>
              <w:rPr>
                <w:snapToGrid w:val="0"/>
                <w:color w:val="000000"/>
                <w:kern w:val="0"/>
                <w:sz w:val="24"/>
                <w:szCs w:val="24"/>
              </w:rPr>
              <w:t>相关规定的符合性分析详见</w:t>
            </w:r>
            <w:r>
              <w:rPr>
                <w:rFonts w:hint="eastAsia"/>
                <w:snapToGrid w:val="0"/>
                <w:color w:val="000000"/>
                <w:kern w:val="0"/>
                <w:sz w:val="24"/>
                <w:szCs w:val="24"/>
              </w:rPr>
              <w:t>下</w:t>
            </w:r>
            <w:r>
              <w:rPr>
                <w:snapToGrid w:val="0"/>
                <w:color w:val="000000"/>
                <w:kern w:val="0"/>
                <w:sz w:val="24"/>
                <w:szCs w:val="24"/>
              </w:rPr>
              <w:t>表。</w:t>
            </w:r>
          </w:p>
          <w:p w14:paraId="2898FAB2">
            <w:pPr>
              <w:pStyle w:val="219"/>
              <w:spacing w:before="0" w:beforeLines="0"/>
              <w:rPr>
                <w:sz w:val="24"/>
                <w:szCs w:val="24"/>
              </w:rPr>
            </w:pPr>
            <w:r>
              <w:rPr>
                <w:sz w:val="24"/>
                <w:szCs w:val="24"/>
              </w:rPr>
              <w:t>表1</w:t>
            </w:r>
            <w:r>
              <w:rPr>
                <w:rFonts w:hint="eastAsia"/>
                <w:sz w:val="24"/>
                <w:szCs w:val="24"/>
              </w:rPr>
              <w:t>.2.9</w:t>
            </w:r>
            <w:r>
              <w:rPr>
                <w:sz w:val="24"/>
                <w:szCs w:val="24"/>
              </w:rPr>
              <w:t>-</w:t>
            </w:r>
            <w:r>
              <w:rPr>
                <w:rFonts w:hint="eastAsia"/>
                <w:sz w:val="24"/>
                <w:szCs w:val="24"/>
              </w:rPr>
              <w:t xml:space="preserve">1  </w:t>
            </w:r>
            <w:r>
              <w:rPr>
                <w:sz w:val="24"/>
                <w:szCs w:val="24"/>
              </w:rPr>
              <w:t>与该《通知》的符合性分析</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018"/>
              <w:gridCol w:w="661"/>
            </w:tblGrid>
            <w:tr w14:paraId="7BE4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76" w:type="pct"/>
                  <w:vAlign w:val="center"/>
                </w:tcPr>
                <w:p w14:paraId="5BD0A671">
                  <w:pPr>
                    <w:jc w:val="center"/>
                    <w:rPr>
                      <w:b/>
                      <w:bCs/>
                    </w:rPr>
                  </w:pPr>
                  <w:r>
                    <w:rPr>
                      <w:rFonts w:hint="eastAsia"/>
                      <w:b/>
                      <w:bCs/>
                    </w:rPr>
                    <w:t>通知</w:t>
                  </w:r>
                  <w:r>
                    <w:rPr>
                      <w:b/>
                      <w:bCs/>
                    </w:rPr>
                    <w:t>要求</w:t>
                  </w:r>
                </w:p>
              </w:tc>
              <w:tc>
                <w:tcPr>
                  <w:tcW w:w="2511" w:type="pct"/>
                  <w:vAlign w:val="center"/>
                </w:tcPr>
                <w:p w14:paraId="6AB45765">
                  <w:pPr>
                    <w:jc w:val="center"/>
                    <w:rPr>
                      <w:b/>
                      <w:bCs/>
                    </w:rPr>
                  </w:pPr>
                  <w:r>
                    <w:rPr>
                      <w:b/>
                      <w:bCs/>
                    </w:rPr>
                    <w:t>项目情况</w:t>
                  </w:r>
                </w:p>
              </w:tc>
              <w:tc>
                <w:tcPr>
                  <w:tcW w:w="413" w:type="pct"/>
                  <w:vAlign w:val="center"/>
                </w:tcPr>
                <w:p w14:paraId="67DEED2F">
                  <w:pPr>
                    <w:jc w:val="center"/>
                    <w:rPr>
                      <w:b/>
                      <w:bCs/>
                    </w:rPr>
                  </w:pPr>
                  <w:r>
                    <w:rPr>
                      <w:rFonts w:hint="eastAsia"/>
                      <w:b/>
                      <w:bCs/>
                    </w:rPr>
                    <w:t>符合性</w:t>
                  </w:r>
                </w:p>
              </w:tc>
            </w:tr>
            <w:tr w14:paraId="2659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76" w:type="pct"/>
                  <w:vAlign w:val="center"/>
                </w:tcPr>
                <w:p w14:paraId="437D0F93">
                  <w:pPr>
                    <w:rPr>
                      <w:bCs/>
                    </w:rPr>
                  </w:pPr>
                  <w:r>
                    <w:rPr>
                      <w:rFonts w:hint="eastAsia"/>
                      <w:bCs/>
                    </w:rPr>
                    <w:t>做好光伏发电产业发展规划与国土空间规划的衔接。各地要认真做好绿色能源发展规划等专项规划与国土空间规划的衔接，优化大型光伏基地和光伏发电项目空间布局。在市、县、乡镇国土空间总体规划中将其列入重点建设项目清单，合理安排光伏项目新增用地规模、布局和开发建设时序。在符合“三区三线”管控规则的前提下，相关项目经可行性论证后可统筹纳入国土空间规划“一张图”，作为审批光伏项目新增用地用林用草的规划依据。</w:t>
                  </w:r>
                </w:p>
              </w:tc>
              <w:tc>
                <w:tcPr>
                  <w:tcW w:w="2511" w:type="pct"/>
                  <w:vAlign w:val="center"/>
                </w:tcPr>
                <w:p w14:paraId="090CA320">
                  <w:r>
                    <w:rPr>
                      <w:rFonts w:hint="eastAsia"/>
                      <w:bCs/>
                    </w:rPr>
                    <w:t>根据《会泽县自然资源局关于云南省曲靖市会泽县绿坪村光伏发电项目查询的情况说明》，项目选址区域符合“三区三线”管控规则，不涉及占用红线范围。</w:t>
                  </w:r>
                </w:p>
              </w:tc>
              <w:tc>
                <w:tcPr>
                  <w:tcW w:w="413" w:type="pct"/>
                  <w:vAlign w:val="center"/>
                </w:tcPr>
                <w:p w14:paraId="574EF817">
                  <w:pPr>
                    <w:jc w:val="center"/>
                    <w:rPr>
                      <w:bCs/>
                    </w:rPr>
                  </w:pPr>
                  <w:r>
                    <w:rPr>
                      <w:rFonts w:hint="eastAsia"/>
                      <w:bCs/>
                    </w:rPr>
                    <w:t>符合</w:t>
                  </w:r>
                </w:p>
              </w:tc>
            </w:tr>
            <w:tr w14:paraId="4165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76" w:type="pct"/>
                  <w:vAlign w:val="center"/>
                </w:tcPr>
                <w:p w14:paraId="7EA4DD2C">
                  <w:pPr>
                    <w:rPr>
                      <w:bCs/>
                    </w:rPr>
                  </w:pPr>
                  <w:r>
                    <w:rPr>
                      <w:bCs/>
                    </w:rPr>
                    <w:t>鼓励利用未利用地和存量建设用地发展光伏发电产业。在严格保护生态前提下，鼓励在沙漠、戈壁、荒漠等区域选址建设大型光伏基地；对于油田、气田以及难以复垦或修复的采煤沉陷区，推进其中的非耕地区域规划建设光伏基地。项目选址应当避让耕地、生态保护红线、历史文化保护线、特殊自然景观价值和文化标识区域、天然林地、国家沙化土地封禁保护区（光伏发电项目输出线路允许穿越国家沙化土地封禁保护区）等；涉及自然保护地的，还应当符合自然保护地相关法规和政策要求。新建、扩建光伏发电项目，一律不得占用永久基本农田、基本草原、Ⅰ级保护林地和东北内蒙古重点国有林区。</w:t>
                  </w:r>
                </w:p>
              </w:tc>
              <w:tc>
                <w:tcPr>
                  <w:tcW w:w="2511" w:type="pct"/>
                  <w:vAlign w:val="center"/>
                </w:tcPr>
                <w:p w14:paraId="7E04F2BB">
                  <w:pPr>
                    <w:rPr>
                      <w:bCs/>
                    </w:rPr>
                  </w:pPr>
                  <w:r>
                    <w:rPr>
                      <w:rFonts w:hint="eastAsia"/>
                      <w:bCs/>
                    </w:rPr>
                    <w:t>根据《会泽县自然资源局关于云南省曲靖市会泽县绿坪村光伏发电项目查询的情况说明》《会泽县林业和草原局关于绿坪村光伏发电项目初步选址的意见》，</w:t>
                  </w:r>
                  <w:r>
                    <w:rPr>
                      <w:rFonts w:hint="eastAsia" w:hAnsi="宋体"/>
                      <w:bCs/>
                    </w:rPr>
                    <w:t>项目范围不涉及基本草原及自然保护地</w:t>
                  </w:r>
                  <w:r>
                    <w:rPr>
                      <w:bCs/>
                    </w:rPr>
                    <w:t>。项目位于会泽县属于新建光伏发电项目，项目选址不涉及占用永久基本农田。</w:t>
                  </w:r>
                </w:p>
              </w:tc>
              <w:tc>
                <w:tcPr>
                  <w:tcW w:w="413" w:type="pct"/>
                  <w:vAlign w:val="center"/>
                </w:tcPr>
                <w:p w14:paraId="43051B45">
                  <w:pPr>
                    <w:jc w:val="center"/>
                    <w:rPr>
                      <w:bCs/>
                    </w:rPr>
                  </w:pPr>
                  <w:r>
                    <w:rPr>
                      <w:rFonts w:hint="eastAsia"/>
                      <w:bCs/>
                    </w:rPr>
                    <w:t>符合</w:t>
                  </w:r>
                </w:p>
              </w:tc>
            </w:tr>
            <w:tr w14:paraId="7C18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76" w:type="pct"/>
                  <w:vAlign w:val="center"/>
                </w:tcPr>
                <w:p w14:paraId="7198EF60">
                  <w:pPr>
                    <w:rPr>
                      <w:bCs/>
                    </w:rPr>
                  </w:pPr>
                  <w:r>
                    <w:rPr>
                      <w:rFonts w:hint="eastAsia"/>
                      <w:bCs/>
                    </w:rPr>
                    <w:t>光伏方阵用地。光伏方阵用地不得占用耕地，占用其他农用地的，应根据实际合理控制，节约集约用地，尽量避免对生态和农业生产造成影响。光伏方阵用地涉及使用林地的，须采用林光互补模式，可使用年降水量400毫米以下区域的灌木林地以及其他区域覆盖度低于50%的灌木林地，不得采伐林木、割灌及破坏原有植被，不得将乔木林地、竹林地等采伐改造为灌木林地后架设光伏板；光伏支架最低点应高于灌木高度1米以上，每列光伏板南北方向应合理设置净间距，具体由各地结合实地确定，并采取有效水土保持措施，确保灌木覆盖度等生长状态不低于林光互补前水平。光伏方阵按规定使用灌木林地的，施工期间应办理临时使用林地手续，运营期间相关方签订协议，项目服务期满后应当恢复林地原状。光伏方阵用地涉及占用基本草原外草原的，地方林草主管部门应科学评估本地区草原资源与生态状况，合理确定项目的适建区域、建设模式与建设要求。鼓励采用“草光互补”模式。</w:t>
                  </w:r>
                </w:p>
                <w:p w14:paraId="18C0C49D">
                  <w:pPr>
                    <w:rPr>
                      <w:rFonts w:hint="eastAsia"/>
                      <w:bCs/>
                    </w:rPr>
                  </w:pPr>
                  <w:r>
                    <w:rPr>
                      <w:rFonts w:hint="eastAsia"/>
                      <w:bCs/>
                    </w:rPr>
                    <w:t>光伏方阵用地不得改变地表形态，以第三次全国国土调查及后续开展的年度国土变更调查成果为底版，依法依规进行管理。实行用地备案，不需按非农建设用地审批。</w:t>
                  </w:r>
                </w:p>
              </w:tc>
              <w:tc>
                <w:tcPr>
                  <w:tcW w:w="2511" w:type="pct"/>
                  <w:vAlign w:val="center"/>
                </w:tcPr>
                <w:p w14:paraId="6CAD1C86">
                  <w:pPr>
                    <w:rPr>
                      <w:bCs/>
                    </w:rPr>
                  </w:pPr>
                  <w:r>
                    <w:rPr>
                      <w:rFonts w:hint="eastAsia" w:hAnsi="宋体"/>
                      <w:bCs/>
                    </w:rPr>
                    <w:t>项目用地涉及草地和园地，不占用林地。项目将加快办理用地手续。</w:t>
                  </w:r>
                </w:p>
              </w:tc>
              <w:tc>
                <w:tcPr>
                  <w:tcW w:w="413" w:type="pct"/>
                  <w:vAlign w:val="center"/>
                </w:tcPr>
                <w:p w14:paraId="58FD3862">
                  <w:pPr>
                    <w:jc w:val="center"/>
                    <w:rPr>
                      <w:bCs/>
                    </w:rPr>
                  </w:pPr>
                  <w:r>
                    <w:rPr>
                      <w:rFonts w:hint="eastAsia"/>
                      <w:bCs/>
                    </w:rPr>
                    <w:t>符合</w:t>
                  </w:r>
                </w:p>
              </w:tc>
            </w:tr>
            <w:tr w14:paraId="22BC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76" w:type="pct"/>
                  <w:vAlign w:val="center"/>
                </w:tcPr>
                <w:p w14:paraId="59D11162">
                  <w:pPr>
                    <w:rPr>
                      <w:bCs/>
                    </w:rPr>
                  </w:pPr>
                  <w:r>
                    <w:rPr>
                      <w:rFonts w:hint="eastAsia"/>
                      <w:bCs/>
                    </w:rPr>
                    <w:t>配套设施用地管理。光伏发电项目配套设施用地，按建设用地进行管理，依法依规办理建设用地审批手续。其中，涉及占用耕地的，按规定落实占补平衡。符合光伏用地标准，位于方阵内部和四周，直接配套光伏方阵的道路，可按农村道路用地管理，涉及占用耕地的，按规定落实进出平衡。其他道路按建设用地管理。</w:t>
                  </w:r>
                </w:p>
              </w:tc>
              <w:tc>
                <w:tcPr>
                  <w:tcW w:w="2511" w:type="pct"/>
                  <w:vAlign w:val="center"/>
                </w:tcPr>
                <w:p w14:paraId="147C2D72">
                  <w:pPr>
                    <w:rPr>
                      <w:bCs/>
                    </w:rPr>
                  </w:pPr>
                  <w:r>
                    <w:rPr>
                      <w:rFonts w:hint="eastAsia"/>
                      <w:bCs/>
                    </w:rPr>
                    <w:t>根据现场实际勘察及可研报告，大部分光伏阵对外连接已有现有道路，大部分现有规划的农村道路能够直达光伏阵，根据自然资源局意见已经在进行相关手续办理。建设用地已经根据选址意见，正在办理土地用地许可。</w:t>
                  </w:r>
                </w:p>
              </w:tc>
              <w:tc>
                <w:tcPr>
                  <w:tcW w:w="413" w:type="pct"/>
                  <w:vAlign w:val="center"/>
                </w:tcPr>
                <w:p w14:paraId="716DBF15">
                  <w:pPr>
                    <w:jc w:val="center"/>
                    <w:rPr>
                      <w:bCs/>
                    </w:rPr>
                  </w:pPr>
                  <w:r>
                    <w:rPr>
                      <w:rFonts w:hint="eastAsia"/>
                      <w:bCs/>
                    </w:rPr>
                    <w:t>符合</w:t>
                  </w:r>
                </w:p>
              </w:tc>
            </w:tr>
            <w:tr w14:paraId="6844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76" w:type="pct"/>
                  <w:vAlign w:val="center"/>
                </w:tcPr>
                <w:p w14:paraId="79809E4F">
                  <w:pPr>
                    <w:rPr>
                      <w:bCs/>
                    </w:rPr>
                  </w:pPr>
                  <w:r>
                    <w:rPr>
                      <w:rFonts w:hint="eastAsia"/>
                      <w:bCs/>
                    </w:rPr>
                    <w:t>植被保护：光伏复合项目在满足正常运营的同时，须保证电池组件阵列下方不得改变林草地用途，不得裸露地表、硬化或作其他用途。</w:t>
                  </w:r>
                </w:p>
              </w:tc>
              <w:tc>
                <w:tcPr>
                  <w:tcW w:w="2511" w:type="pct"/>
                  <w:vAlign w:val="center"/>
                </w:tcPr>
                <w:p w14:paraId="5678CC74">
                  <w:pPr>
                    <w:rPr>
                      <w:bCs/>
                    </w:rPr>
                  </w:pPr>
                  <w:r>
                    <w:rPr>
                      <w:rFonts w:hint="eastAsia"/>
                      <w:bCs/>
                    </w:rPr>
                    <w:t>光伏板按照规定高度安装，项目光伏板安装不改变下方草地用途，光伏板方阵占地现状主要为其他草地，经过施工期后，可以恢复到原草地的状态，不改变原有草地用途且不裸露用地或作为其他用途。</w:t>
                  </w:r>
                </w:p>
              </w:tc>
              <w:tc>
                <w:tcPr>
                  <w:tcW w:w="413" w:type="pct"/>
                  <w:vAlign w:val="center"/>
                </w:tcPr>
                <w:p w14:paraId="646D4E99">
                  <w:pPr>
                    <w:jc w:val="center"/>
                    <w:rPr>
                      <w:bCs/>
                    </w:rPr>
                  </w:pPr>
                  <w:r>
                    <w:rPr>
                      <w:rFonts w:hint="eastAsia"/>
                      <w:bCs/>
                    </w:rPr>
                    <w:t>符合</w:t>
                  </w:r>
                </w:p>
              </w:tc>
            </w:tr>
          </w:tbl>
          <w:p w14:paraId="2514F804">
            <w:pPr>
              <w:pStyle w:val="73"/>
              <w:keepNext w:val="0"/>
              <w:keepLines w:val="0"/>
              <w:ind w:firstLine="480" w:firstLineChars="200"/>
              <w:jc w:val="both"/>
              <w:rPr>
                <w:b w:val="0"/>
                <w:bCs w:val="0"/>
                <w:sz w:val="24"/>
                <w:szCs w:val="24"/>
              </w:rPr>
            </w:pPr>
            <w:r>
              <w:rPr>
                <w:b w:val="0"/>
                <w:bCs w:val="0"/>
                <w:snapToGrid w:val="0"/>
                <w:color w:val="000000"/>
                <w:sz w:val="24"/>
                <w:szCs w:val="24"/>
              </w:rPr>
              <w:t>综上，项目符合《自然资源部办公厅、国家林业和草原局办公室、国家能源局综合司关于支持光伏发电产业发展规范用地管理有关工作的通知》（自然资办发〔2023〕12号）的要求。</w:t>
            </w:r>
          </w:p>
          <w:p w14:paraId="247A21BA">
            <w:pPr>
              <w:pStyle w:val="73"/>
              <w:keepNext w:val="0"/>
              <w:keepLines w:val="0"/>
              <w:jc w:val="both"/>
              <w:rPr>
                <w:rFonts w:hint="eastAsia"/>
                <w:kern w:val="2"/>
                <w:sz w:val="24"/>
                <w:szCs w:val="24"/>
              </w:rPr>
            </w:pPr>
            <w:r>
              <w:rPr>
                <w:rFonts w:hint="eastAsia"/>
                <w:kern w:val="2"/>
                <w:sz w:val="24"/>
                <w:szCs w:val="24"/>
              </w:rPr>
              <w:t xml:space="preserve">1.2.10 </w:t>
            </w:r>
            <w:r>
              <w:rPr>
                <w:kern w:val="2"/>
                <w:sz w:val="24"/>
                <w:szCs w:val="24"/>
              </w:rPr>
              <w:t>《</w:t>
            </w:r>
            <w:r>
              <w:rPr>
                <w:rFonts w:hint="eastAsia"/>
                <w:kern w:val="2"/>
                <w:sz w:val="24"/>
                <w:szCs w:val="24"/>
              </w:rPr>
              <w:t>云南省林业和草原局云南省能源局关于进一步规范光伏复合项目使用林草地有关事项的通知》（云林规〔2021〕5号）的符合性分析</w:t>
            </w:r>
          </w:p>
          <w:p w14:paraId="465C3A30">
            <w:pPr>
              <w:pStyle w:val="73"/>
              <w:keepNext w:val="0"/>
              <w:keepLines w:val="0"/>
              <w:ind w:firstLine="480" w:firstLineChars="200"/>
              <w:jc w:val="both"/>
              <w:rPr>
                <w:b w:val="0"/>
                <w:bCs w:val="0"/>
                <w:snapToGrid w:val="0"/>
                <w:color w:val="000000"/>
                <w:sz w:val="24"/>
                <w:szCs w:val="24"/>
              </w:rPr>
            </w:pPr>
            <w:r>
              <w:rPr>
                <w:b w:val="0"/>
                <w:bCs w:val="0"/>
                <w:snapToGrid w:val="0"/>
                <w:color w:val="000000"/>
                <w:sz w:val="24"/>
                <w:szCs w:val="24"/>
              </w:rPr>
              <w:t>根据《云南省林业和草原局云南省能源局关于进一步规范光伏复合项目使用林草地有关事项的通知》（云林规〔2021〕5号）的要求，与项目的符合性见下表。</w:t>
            </w:r>
          </w:p>
          <w:p w14:paraId="236356A9">
            <w:pPr>
              <w:pStyle w:val="219"/>
              <w:spacing w:before="0" w:beforeLines="0"/>
              <w:rPr>
                <w:sz w:val="24"/>
                <w:szCs w:val="24"/>
              </w:rPr>
            </w:pPr>
            <w:r>
              <w:rPr>
                <w:sz w:val="24"/>
                <w:szCs w:val="24"/>
              </w:rPr>
              <w:t>表1.2.10-1</w:t>
            </w:r>
            <w:r>
              <w:rPr>
                <w:rFonts w:hint="eastAsia"/>
                <w:sz w:val="24"/>
                <w:szCs w:val="24"/>
              </w:rPr>
              <w:t xml:space="preserve">  </w:t>
            </w:r>
            <w:r>
              <w:rPr>
                <w:sz w:val="24"/>
                <w:szCs w:val="24"/>
              </w:rPr>
              <w:t>与（云林规〔2021〕5号）的符合性分析</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5"/>
              <w:gridCol w:w="4015"/>
              <w:gridCol w:w="661"/>
            </w:tblGrid>
            <w:tr w14:paraId="1656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78" w:type="pct"/>
                  <w:vAlign w:val="center"/>
                </w:tcPr>
                <w:p w14:paraId="30B1487A">
                  <w:pPr>
                    <w:jc w:val="center"/>
                    <w:rPr>
                      <w:b/>
                      <w:bCs/>
                    </w:rPr>
                  </w:pPr>
                  <w:r>
                    <w:rPr>
                      <w:rFonts w:hint="eastAsia"/>
                      <w:b/>
                      <w:bCs/>
                    </w:rPr>
                    <w:t>通知</w:t>
                  </w:r>
                  <w:r>
                    <w:rPr>
                      <w:b/>
                      <w:bCs/>
                    </w:rPr>
                    <w:t>要求</w:t>
                  </w:r>
                </w:p>
              </w:tc>
              <w:tc>
                <w:tcPr>
                  <w:tcW w:w="2509" w:type="pct"/>
                  <w:vAlign w:val="center"/>
                </w:tcPr>
                <w:p w14:paraId="58115AC2">
                  <w:pPr>
                    <w:jc w:val="center"/>
                    <w:rPr>
                      <w:b/>
                      <w:bCs/>
                    </w:rPr>
                  </w:pPr>
                  <w:r>
                    <w:rPr>
                      <w:b/>
                      <w:bCs/>
                    </w:rPr>
                    <w:t>项目情况</w:t>
                  </w:r>
                </w:p>
              </w:tc>
              <w:tc>
                <w:tcPr>
                  <w:tcW w:w="413" w:type="pct"/>
                  <w:vAlign w:val="center"/>
                </w:tcPr>
                <w:p w14:paraId="7B3CE3EA">
                  <w:pPr>
                    <w:jc w:val="center"/>
                    <w:rPr>
                      <w:b/>
                      <w:bCs/>
                    </w:rPr>
                  </w:pPr>
                  <w:r>
                    <w:rPr>
                      <w:rFonts w:hint="eastAsia"/>
                      <w:b/>
                      <w:bCs/>
                    </w:rPr>
                    <w:t>符合性</w:t>
                  </w:r>
                </w:p>
              </w:tc>
            </w:tr>
            <w:tr w14:paraId="6A2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78" w:type="pct"/>
                </w:tcPr>
                <w:p w14:paraId="05DF04FB">
                  <w:pPr>
                    <w:rPr>
                      <w:bCs/>
                    </w:rPr>
                  </w:pPr>
                  <w:r>
                    <w:rPr>
                      <w:rFonts w:hint="eastAsia"/>
                      <w:bCs/>
                    </w:rPr>
                    <w:t>选址要求：</w:t>
                  </w:r>
                  <w:r>
                    <w:rPr>
                      <w:snapToGrid w:val="0"/>
                      <w:color w:val="000000"/>
                      <w:kern w:val="0"/>
                    </w:rPr>
                    <w:t>《国家林业和草原局关于光伏电站建设使用林地有关问题的通知》（林资发〔2015〕153号）规定，要求</w:t>
                  </w:r>
                  <w:r>
                    <w:rPr>
                      <w:rFonts w:hint="eastAsia"/>
                      <w:snapToGrid w:val="0"/>
                      <w:color w:val="000000"/>
                      <w:kern w:val="0"/>
                    </w:rPr>
                    <w:t>“</w:t>
                  </w:r>
                  <w:r>
                    <w:rPr>
                      <w:snapToGrid w:val="0"/>
                      <w:color w:val="000000"/>
                      <w:kern w:val="0"/>
                    </w:rPr>
                    <w:t>禁止在国家公园、自然保护区、森林公园、风景名胜区、草原公园等各类自然保护地，世界遗产地湿地，野生动物重要栖息地，珍稀濒危和极小种群野生植物重要原生境，天然林保护重点区域、基本草原及生态保护红线内建设光伏复合项目</w:t>
                  </w:r>
                  <w:r>
                    <w:rPr>
                      <w:rFonts w:hint="eastAsia"/>
                      <w:snapToGrid w:val="0"/>
                      <w:color w:val="000000"/>
                      <w:kern w:val="0"/>
                    </w:rPr>
                    <w:t>”</w:t>
                  </w:r>
                  <w:r>
                    <w:rPr>
                      <w:snapToGrid w:val="0"/>
                      <w:color w:val="000000"/>
                      <w:kern w:val="0"/>
                    </w:rPr>
                    <w:t>。</w:t>
                  </w:r>
                </w:p>
              </w:tc>
              <w:tc>
                <w:tcPr>
                  <w:tcW w:w="2509" w:type="pct"/>
                  <w:vAlign w:val="center"/>
                </w:tcPr>
                <w:p w14:paraId="2B16BA8D">
                  <w:pPr>
                    <w:rPr>
                      <w:rFonts w:hint="eastAsia"/>
                      <w:bCs/>
                    </w:rPr>
                  </w:pPr>
                  <w:r>
                    <w:rPr>
                      <w:rFonts w:hint="eastAsia"/>
                      <w:bCs/>
                    </w:rPr>
                    <w:t>经查询核实：项目选址区域不涉及各类自然保护地世界遗产地湿地，野生动物重要栖息地，珍稀濒危和极小种群野生植物重要原生境，天然林保护重点区域、基本草原及生态保护红线。</w:t>
                  </w:r>
                </w:p>
              </w:tc>
              <w:tc>
                <w:tcPr>
                  <w:tcW w:w="413" w:type="pct"/>
                  <w:vAlign w:val="center"/>
                </w:tcPr>
                <w:p w14:paraId="7E9B6418">
                  <w:pPr>
                    <w:jc w:val="center"/>
                    <w:rPr>
                      <w:bCs/>
                    </w:rPr>
                  </w:pPr>
                  <w:r>
                    <w:rPr>
                      <w:rFonts w:hint="eastAsia"/>
                      <w:bCs/>
                    </w:rPr>
                    <w:t>符合</w:t>
                  </w:r>
                </w:p>
              </w:tc>
            </w:tr>
            <w:tr w14:paraId="68C3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78" w:type="pct"/>
                </w:tcPr>
                <w:p w14:paraId="6E06EB0F">
                  <w:pPr>
                    <w:rPr>
                      <w:bCs/>
                    </w:rPr>
                  </w:pPr>
                  <w:r>
                    <w:rPr>
                      <w:rFonts w:hint="eastAsia"/>
                      <w:bCs/>
                    </w:rPr>
                    <w:t>选址要求：光伏复合项目的生产区（包括升压站、配电室、控制室、新建进场道路、新建场内检修道路、集电线路塔基等）、生活区（包括办公、住宿、食堂、活动场所、仓库等附属设施），禁止使用天然乔木林地；施工期临时设置的弃渣场、取土场、砂石场、堆料场、拌和站、工棚、临时施工道路等，禁止使用乔木林地；电池组件阵列禁止使用有林地、疏林地、未成林造林地、采伐迹地、火烧迹地，以及年降雨量400毫米以下区域覆盖度高于30%的灌木林地和年降雨量400毫米以上区域覆盖度高于50%的灌木林地。</w:t>
                  </w:r>
                </w:p>
              </w:tc>
              <w:tc>
                <w:tcPr>
                  <w:tcW w:w="2509" w:type="pct"/>
                  <w:vAlign w:val="center"/>
                </w:tcPr>
                <w:p w14:paraId="640C8B6A">
                  <w:pPr>
                    <w:rPr>
                      <w:bCs/>
                    </w:rPr>
                  </w:pPr>
                  <w:r>
                    <w:rPr>
                      <w:bCs/>
                    </w:rPr>
                    <w:t>本项目生产区、临时生活区不涉及天然乔木林地，施工期不设置取土场、砂石</w:t>
                  </w:r>
                  <w:r>
                    <w:rPr>
                      <w:rFonts w:hint="eastAsia"/>
                      <w:bCs/>
                    </w:rPr>
                    <w:t>场</w:t>
                  </w:r>
                  <w:r>
                    <w:rPr>
                      <w:bCs/>
                    </w:rPr>
                    <w:t>、堆料场、</w:t>
                  </w:r>
                  <w:r>
                    <w:rPr>
                      <w:rFonts w:hint="eastAsia"/>
                      <w:bCs/>
                    </w:rPr>
                    <w:t>拌和站</w:t>
                  </w:r>
                  <w:r>
                    <w:rPr>
                      <w:bCs/>
                    </w:rPr>
                    <w:t>，表土临时堆存场、临时工棚、临时道路不占用乔木林地，电池组件阵列不在有林地、疏林地、未成林造林地、采伐迹地、火烧迹地，以及年降雨量400毫米以下区域覆盖度高于30%的灌木林地和年降雨量400毫米以上区域覆盖度高于50%的灌木林地范围内。</w:t>
                  </w:r>
                </w:p>
              </w:tc>
              <w:tc>
                <w:tcPr>
                  <w:tcW w:w="413" w:type="pct"/>
                  <w:vAlign w:val="center"/>
                </w:tcPr>
                <w:p w14:paraId="10632CC4">
                  <w:pPr>
                    <w:jc w:val="center"/>
                    <w:rPr>
                      <w:bCs/>
                    </w:rPr>
                  </w:pPr>
                  <w:r>
                    <w:rPr>
                      <w:rFonts w:hint="eastAsia"/>
                      <w:bCs/>
                    </w:rPr>
                    <w:t>符合</w:t>
                  </w:r>
                </w:p>
              </w:tc>
            </w:tr>
            <w:tr w14:paraId="0C42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78" w:type="pct"/>
                </w:tcPr>
                <w:p w14:paraId="587D8BFC">
                  <w:pPr>
                    <w:rPr>
                      <w:bCs/>
                    </w:rPr>
                  </w:pPr>
                  <w:r>
                    <w:rPr>
                      <w:rFonts w:hint="eastAsia"/>
                      <w:bCs/>
                    </w:rPr>
                    <w:t>用地性质：光伏复合项目生产区（包括升压站、配电室、控制室、集电线路塔基等）、生活区（包括办公、住宿、食堂、活动场所、仓库等附属设施）、电池组件阵列区箱变、新建进场道路、新建场内检修道路，应当办理占用林地手续；施工期临时设置的弃渣场、取土场、砂石场、堆料场、拌和站、工棚、地埋电缆槽以及临时施工道路应当办理临时占用林地手续。电池组件阵列使用林地由项目业主单位与林权权利人签订书面协议，通过租赁、作价入股等流转方式使用林地，在用地报批阶段明确用地红线范围，待光伏电站设施占用林地经审核同意后方可开展建设，不再办理使用林地许可手续。</w:t>
                  </w:r>
                </w:p>
              </w:tc>
              <w:tc>
                <w:tcPr>
                  <w:tcW w:w="2509" w:type="pct"/>
                  <w:vAlign w:val="center"/>
                </w:tcPr>
                <w:p w14:paraId="3BC84676">
                  <w:r>
                    <w:rPr>
                      <w:rFonts w:hint="eastAsia" w:hAnsi="宋体"/>
                      <w:bCs/>
                    </w:rPr>
                    <w:t>根据《云南省曲靖市会泽县绿坪村光伏发电项目可行性研究报告审查意见》，项目用地范围含项目光伏方阵区、集电线路区、</w:t>
                  </w:r>
                  <w:r>
                    <w:rPr>
                      <w:rFonts w:hAnsi="宋体"/>
                      <w:bCs/>
                    </w:rPr>
                    <w:t>交通道路区</w:t>
                  </w:r>
                  <w:r>
                    <w:rPr>
                      <w:rFonts w:hint="eastAsia" w:hAnsi="宋体"/>
                      <w:bCs/>
                    </w:rPr>
                    <w:t>、施工生产生活区、升压站。项目林草地使用将严格按照国家相关法规及国家林业和草原局印发的《建设项目使用草地审核审批管理办法》</w:t>
                  </w:r>
                  <w:r>
                    <w:rPr>
                      <w:rFonts w:hint="eastAsia" w:ascii="宋体" w:hAnsi="宋体"/>
                      <w:bCs/>
                    </w:rPr>
                    <w:t>（国家林业和草原局</w:t>
                  </w:r>
                  <w:r>
                    <w:rPr>
                      <w:rFonts w:hint="eastAsia" w:hAnsi="宋体"/>
                      <w:bCs/>
                    </w:rPr>
                    <w:t>令第35号</w:t>
                  </w:r>
                  <w:r>
                    <w:rPr>
                      <w:rFonts w:hint="eastAsia" w:ascii="宋体" w:hAnsi="宋体"/>
                      <w:bCs/>
                    </w:rPr>
                    <w:t>）</w:t>
                  </w:r>
                  <w:r>
                    <w:rPr>
                      <w:rFonts w:hint="eastAsia" w:hAnsi="宋体"/>
                      <w:bCs/>
                    </w:rPr>
                    <w:t>的相关规定进行相关手续办理，项目占用林草地在经审核同意后方可开展建设。</w:t>
                  </w:r>
                </w:p>
              </w:tc>
              <w:tc>
                <w:tcPr>
                  <w:tcW w:w="413" w:type="pct"/>
                  <w:vAlign w:val="center"/>
                </w:tcPr>
                <w:p w14:paraId="439059E2">
                  <w:pPr>
                    <w:jc w:val="center"/>
                    <w:rPr>
                      <w:bCs/>
                    </w:rPr>
                  </w:pPr>
                  <w:r>
                    <w:rPr>
                      <w:rFonts w:hint="eastAsia"/>
                      <w:bCs/>
                    </w:rPr>
                    <w:t>符合</w:t>
                  </w:r>
                </w:p>
              </w:tc>
            </w:tr>
            <w:tr w14:paraId="31B1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78" w:type="pct"/>
                </w:tcPr>
                <w:p w14:paraId="484987F6">
                  <w:pPr>
                    <w:rPr>
                      <w:rFonts w:hint="eastAsia"/>
                      <w:bCs/>
                    </w:rPr>
                  </w:pPr>
                  <w:r>
                    <w:rPr>
                      <w:rFonts w:hint="eastAsia"/>
                      <w:bCs/>
                    </w:rPr>
                    <w:t>建设标准：电池组件阵列区在设计方面应当尽可能节约集约使用林地，光伏板最低沿与地面距离不得低于2.5m，电池组件阵列各排、列的布置间距应当符合《光伏电站设计规范》（GB 50797-2012）相关规定。</w:t>
                  </w:r>
                </w:p>
              </w:tc>
              <w:tc>
                <w:tcPr>
                  <w:tcW w:w="2509" w:type="pct"/>
                  <w:vAlign w:val="center"/>
                </w:tcPr>
                <w:p w14:paraId="18B0093C">
                  <w:pPr>
                    <w:rPr>
                      <w:bCs/>
                    </w:rPr>
                  </w:pPr>
                  <w:r>
                    <w:rPr>
                      <w:bCs/>
                    </w:rPr>
                    <w:t>根据可研要求，项目光伏组件阵列区光伏板最低沿与地面距离不得低于2.5m，电池组件阵列各排、列的布置间距符合《光伏电站设计规范》（GB 50797-2012）相关规定要求。</w:t>
                  </w:r>
                </w:p>
              </w:tc>
              <w:tc>
                <w:tcPr>
                  <w:tcW w:w="413" w:type="pct"/>
                  <w:vAlign w:val="center"/>
                </w:tcPr>
                <w:p w14:paraId="331296B2">
                  <w:pPr>
                    <w:jc w:val="center"/>
                    <w:rPr>
                      <w:bCs/>
                    </w:rPr>
                  </w:pPr>
                  <w:r>
                    <w:rPr>
                      <w:rFonts w:hint="eastAsia"/>
                      <w:bCs/>
                    </w:rPr>
                    <w:t>符合</w:t>
                  </w:r>
                </w:p>
              </w:tc>
            </w:tr>
            <w:tr w14:paraId="2AFE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78" w:type="pct"/>
                </w:tcPr>
                <w:p w14:paraId="51259226">
                  <w:pPr>
                    <w:rPr>
                      <w:bCs/>
                    </w:rPr>
                  </w:pPr>
                  <w:r>
                    <w:rPr>
                      <w:rFonts w:hint="eastAsia"/>
                      <w:bCs/>
                    </w:rPr>
                    <w:t>植被保护：光伏复合项目在满足正常运营的同时，须保证电池组件阵列下方不得改变林草地用途，不得裸露地表、硬化或作其他用途。</w:t>
                  </w:r>
                </w:p>
              </w:tc>
              <w:tc>
                <w:tcPr>
                  <w:tcW w:w="2509" w:type="pct"/>
                  <w:vAlign w:val="center"/>
                </w:tcPr>
                <w:p w14:paraId="188A4EC8">
                  <w:pPr>
                    <w:rPr>
                      <w:bCs/>
                    </w:rPr>
                  </w:pPr>
                  <w:r>
                    <w:rPr>
                      <w:bCs/>
                    </w:rPr>
                    <w:t>光伏板方阵占地现状为</w:t>
                  </w:r>
                  <w:r>
                    <w:rPr>
                      <w:rFonts w:hint="eastAsia" w:hAnsi="宋体"/>
                      <w:bCs/>
                    </w:rPr>
                    <w:t>涉及草地和园地，</w:t>
                  </w:r>
                  <w:r>
                    <w:rPr>
                      <w:bCs/>
                    </w:rPr>
                    <w:t>经过施工期后，可以恢复到原灌木草地的状态，不改变原有草地用途且不裸露用地或作为其他用途。</w:t>
                  </w:r>
                </w:p>
              </w:tc>
              <w:tc>
                <w:tcPr>
                  <w:tcW w:w="413" w:type="pct"/>
                  <w:vAlign w:val="center"/>
                </w:tcPr>
                <w:p w14:paraId="434D8B3F">
                  <w:pPr>
                    <w:jc w:val="center"/>
                    <w:rPr>
                      <w:bCs/>
                    </w:rPr>
                  </w:pPr>
                  <w:r>
                    <w:rPr>
                      <w:rFonts w:hint="eastAsia"/>
                      <w:bCs/>
                    </w:rPr>
                    <w:t>符合</w:t>
                  </w:r>
                </w:p>
              </w:tc>
            </w:tr>
          </w:tbl>
          <w:p w14:paraId="6AD1B40E">
            <w:pPr>
              <w:pStyle w:val="73"/>
              <w:keepNext w:val="0"/>
              <w:keepLines w:val="0"/>
              <w:ind w:firstLine="480" w:firstLineChars="200"/>
              <w:jc w:val="both"/>
              <w:rPr>
                <w:b w:val="0"/>
                <w:bCs w:val="0"/>
                <w:snapToGrid w:val="0"/>
                <w:color w:val="000000"/>
                <w:sz w:val="24"/>
                <w:szCs w:val="24"/>
              </w:rPr>
            </w:pPr>
            <w:r>
              <w:rPr>
                <w:rFonts w:hint="eastAsia"/>
                <w:b w:val="0"/>
                <w:bCs w:val="0"/>
                <w:snapToGrid w:val="0"/>
                <w:color w:val="000000"/>
                <w:sz w:val="24"/>
                <w:szCs w:val="24"/>
              </w:rPr>
              <w:t>综上所述，本项目符合</w:t>
            </w:r>
            <w:r>
              <w:rPr>
                <w:b w:val="0"/>
                <w:bCs w:val="0"/>
                <w:snapToGrid w:val="0"/>
                <w:color w:val="000000"/>
                <w:sz w:val="24"/>
                <w:szCs w:val="24"/>
              </w:rPr>
              <w:t>《云南省林业和草原局云南省能源局关于进一步规范光伏复合项目使用林草地有关事项的通知》（云林规〔2021〕5号）的要求</w:t>
            </w:r>
            <w:r>
              <w:rPr>
                <w:rFonts w:hint="eastAsia"/>
                <w:b w:val="0"/>
                <w:bCs w:val="0"/>
                <w:snapToGrid w:val="0"/>
                <w:color w:val="000000"/>
                <w:sz w:val="24"/>
                <w:szCs w:val="24"/>
              </w:rPr>
              <w:t>。</w:t>
            </w:r>
          </w:p>
          <w:p w14:paraId="6205278E">
            <w:pPr>
              <w:spacing w:line="360" w:lineRule="auto"/>
              <w:rPr>
                <w:b/>
                <w:bCs/>
                <w:sz w:val="24"/>
                <w:szCs w:val="24"/>
              </w:rPr>
            </w:pPr>
            <w:r>
              <w:rPr>
                <w:rFonts w:hint="eastAsia"/>
                <w:b/>
                <w:bCs/>
                <w:sz w:val="24"/>
                <w:szCs w:val="24"/>
              </w:rPr>
              <w:t>1.2.1</w:t>
            </w:r>
            <w:r>
              <w:rPr>
                <w:b/>
                <w:bCs/>
                <w:sz w:val="24"/>
                <w:szCs w:val="24"/>
              </w:rPr>
              <w:t>1</w:t>
            </w:r>
            <w:r>
              <w:rPr>
                <w:rFonts w:hint="eastAsia"/>
                <w:b/>
                <w:bCs/>
                <w:sz w:val="24"/>
                <w:szCs w:val="24"/>
              </w:rPr>
              <w:t xml:space="preserve"> 与《</w:t>
            </w:r>
            <w:bookmarkStart w:id="39" w:name="OLE_LINK83"/>
            <w:r>
              <w:rPr>
                <w:rFonts w:hint="eastAsia"/>
                <w:b/>
                <w:bCs/>
                <w:sz w:val="24"/>
                <w:szCs w:val="24"/>
              </w:rPr>
              <w:t>云南省自然资源厅 云南省生态环境厅 云南省林业和草原局关于加强生态保护红线管理工作的通知</w:t>
            </w:r>
            <w:bookmarkEnd w:id="39"/>
            <w:r>
              <w:rPr>
                <w:rFonts w:hint="eastAsia"/>
                <w:b/>
                <w:bCs/>
                <w:sz w:val="24"/>
                <w:szCs w:val="24"/>
              </w:rPr>
              <w:t>》（云自然资﹝2023﹞98号）的符合性分析</w:t>
            </w:r>
          </w:p>
          <w:p w14:paraId="12CB81EA">
            <w:pPr>
              <w:autoSpaceDE w:val="0"/>
              <w:autoSpaceDN w:val="0"/>
              <w:spacing w:line="360" w:lineRule="auto"/>
              <w:ind w:firstLine="480" w:firstLineChars="200"/>
              <w:jc w:val="left"/>
              <w:rPr>
                <w:snapToGrid w:val="0"/>
                <w:color w:val="000000"/>
                <w:kern w:val="0"/>
                <w:sz w:val="24"/>
              </w:rPr>
            </w:pPr>
            <w:r>
              <w:rPr>
                <w:snapToGrid w:val="0"/>
                <w:color w:val="000000"/>
                <w:kern w:val="0"/>
                <w:sz w:val="24"/>
              </w:rPr>
              <w:t>2023年8月28日，云南省自然资源厅办公室以云自然资〔2023〕98号文印发了</w:t>
            </w:r>
            <w:r>
              <w:rPr>
                <w:rFonts w:hint="eastAsia"/>
                <w:snapToGrid w:val="0"/>
                <w:color w:val="000000"/>
                <w:kern w:val="0"/>
                <w:sz w:val="24"/>
              </w:rPr>
              <w:t>《云南省自然资源厅 云南省生态环境厅 云南省林业和草原局关于加强生态保护红线管理工作的通知》，《通知》要求：生态保护红线内，自然保护地核心保护区原则上禁止人为活动；自然保护地核心保护区外禁止开发性、生产性建设活动，在符合法律法规前提下，仅允许</w:t>
            </w:r>
            <w:bookmarkStart w:id="40" w:name="OLE_LINK84"/>
            <w:r>
              <w:rPr>
                <w:rFonts w:hint="eastAsia"/>
                <w:snapToGrid w:val="0"/>
                <w:color w:val="000000"/>
                <w:kern w:val="0"/>
                <w:sz w:val="24"/>
              </w:rPr>
              <w:t>对生态功能不造成破坏的有限人为活动</w:t>
            </w:r>
            <w:bookmarkEnd w:id="40"/>
            <w:r>
              <w:rPr>
                <w:rFonts w:hint="eastAsia"/>
                <w:snapToGrid w:val="0"/>
                <w:color w:val="000000"/>
                <w:kern w:val="0"/>
                <w:sz w:val="24"/>
              </w:rPr>
              <w:t>。有限人为活动应尽量避让自然保护区、风景名胜区等自然保护地、饮用水水源保护区、世界自然遗产地、重要湿地、九大高原湖泊生态黄线内等特殊区域，确实无法避让的应符合法律法规规定。</w:t>
            </w:r>
          </w:p>
          <w:p w14:paraId="285E9F36">
            <w:pPr>
              <w:autoSpaceDE w:val="0"/>
              <w:autoSpaceDN w:val="0"/>
              <w:spacing w:line="360" w:lineRule="auto"/>
              <w:ind w:firstLine="480" w:firstLineChars="200"/>
              <w:jc w:val="left"/>
              <w:rPr>
                <w:snapToGrid w:val="0"/>
                <w:color w:val="000000"/>
                <w:kern w:val="0"/>
                <w:sz w:val="24"/>
              </w:rPr>
            </w:pPr>
            <w:r>
              <w:rPr>
                <w:rFonts w:hint="eastAsia"/>
                <w:snapToGrid w:val="0"/>
                <w:color w:val="000000"/>
                <w:kern w:val="0"/>
                <w:sz w:val="24"/>
              </w:rPr>
              <w:t>本项目占地不涉及生态保护红线，集电线路无害化跨越“金沙江下游-小江流域水土流失控制生态保护红线”约877m，无实际占地。项目不涉及自然保护区、风景名胜区等自然保护地、饮用水水源保护区、世界自然遗产地、重要湿地、九大高原湖泊生态黄线内等特殊区域。</w:t>
            </w:r>
          </w:p>
          <w:p w14:paraId="4252187F">
            <w:pPr>
              <w:autoSpaceDE w:val="0"/>
              <w:autoSpaceDN w:val="0"/>
              <w:spacing w:line="360" w:lineRule="auto"/>
              <w:ind w:firstLine="480" w:firstLineChars="200"/>
              <w:jc w:val="left"/>
              <w:rPr>
                <w:snapToGrid w:val="0"/>
                <w:color w:val="000000"/>
                <w:kern w:val="0"/>
                <w:sz w:val="24"/>
              </w:rPr>
            </w:pPr>
            <w:r>
              <w:rPr>
                <w:rFonts w:hint="eastAsia"/>
                <w:snapToGrid w:val="0"/>
                <w:color w:val="000000"/>
                <w:kern w:val="0"/>
                <w:sz w:val="24"/>
              </w:rPr>
              <w:t>因此，本项目建设符合《云南省自然资源厅 云南省生态环境厅 云南省林业和草原局关于加强生态保护红线管理工作的通知》相关要求。</w:t>
            </w:r>
          </w:p>
          <w:p w14:paraId="7BC7D8D4">
            <w:pPr>
              <w:pStyle w:val="73"/>
              <w:keepNext w:val="0"/>
              <w:keepLines w:val="0"/>
              <w:jc w:val="both"/>
              <w:rPr>
                <w:kern w:val="2"/>
                <w:sz w:val="24"/>
                <w:szCs w:val="24"/>
              </w:rPr>
            </w:pPr>
            <w:r>
              <w:rPr>
                <w:rFonts w:hint="eastAsia"/>
                <w:kern w:val="2"/>
                <w:sz w:val="24"/>
                <w:szCs w:val="24"/>
              </w:rPr>
              <w:t>1.2.1</w:t>
            </w:r>
            <w:r>
              <w:rPr>
                <w:kern w:val="2"/>
                <w:sz w:val="24"/>
                <w:szCs w:val="24"/>
              </w:rPr>
              <w:t>2</w:t>
            </w:r>
            <w:r>
              <w:rPr>
                <w:rFonts w:hint="eastAsia"/>
                <w:kern w:val="2"/>
                <w:sz w:val="24"/>
                <w:szCs w:val="24"/>
              </w:rPr>
              <w:t xml:space="preserve"> </w:t>
            </w:r>
            <w:r>
              <w:rPr>
                <w:kern w:val="2"/>
                <w:sz w:val="24"/>
                <w:szCs w:val="24"/>
              </w:rPr>
              <w:t>与《云南省发展和改革委员会关于加强光伏资源开发建设有关工作的通知》（云发改能源〔2023〕785号）的符合性分析</w:t>
            </w:r>
          </w:p>
          <w:p w14:paraId="62E9C345">
            <w:pPr>
              <w:spacing w:line="360" w:lineRule="auto"/>
              <w:ind w:firstLine="480" w:firstLineChars="200"/>
              <w:jc w:val="left"/>
              <w:rPr>
                <w:kern w:val="0"/>
                <w:sz w:val="24"/>
              </w:rPr>
            </w:pPr>
            <w:r>
              <w:rPr>
                <w:kern w:val="0"/>
                <w:sz w:val="24"/>
              </w:rPr>
              <w:t>为贯彻落实省委</w:t>
            </w:r>
            <w:r>
              <w:rPr>
                <w:rFonts w:hint="eastAsia"/>
                <w:kern w:val="0"/>
                <w:sz w:val="24"/>
              </w:rPr>
              <w:t>“</w:t>
            </w:r>
            <w:r>
              <w:rPr>
                <w:kern w:val="0"/>
                <w:sz w:val="24"/>
              </w:rPr>
              <w:t>3815</w:t>
            </w:r>
            <w:r>
              <w:rPr>
                <w:rFonts w:hint="eastAsia"/>
                <w:kern w:val="0"/>
                <w:sz w:val="24"/>
              </w:rPr>
              <w:t>”</w:t>
            </w:r>
            <w:r>
              <w:rPr>
                <w:kern w:val="0"/>
                <w:sz w:val="24"/>
              </w:rPr>
              <w:t>战略发展目标，发挥云南省光伏资源优势，云南省发展和改革委员会发布了关于加强光伏资源开发建设有关工作的通知。本项目与《云南省发展和改革委员会关于加强光伏资源开发建设有关工作的通知》（云发改能源〔2023〕785号）</w:t>
            </w:r>
            <w:r>
              <w:rPr>
                <w:rFonts w:hint="eastAsia"/>
                <w:kern w:val="0"/>
                <w:sz w:val="24"/>
              </w:rPr>
              <w:t>（节选）</w:t>
            </w:r>
            <w:r>
              <w:rPr>
                <w:kern w:val="0"/>
                <w:sz w:val="24"/>
              </w:rPr>
              <w:t>的符合性见</w:t>
            </w:r>
            <w:r>
              <w:rPr>
                <w:rFonts w:hint="eastAsia"/>
                <w:kern w:val="0"/>
                <w:sz w:val="24"/>
              </w:rPr>
              <w:t>下表</w:t>
            </w:r>
            <w:r>
              <w:rPr>
                <w:kern w:val="0"/>
                <w:sz w:val="24"/>
              </w:rPr>
              <w:t>。</w:t>
            </w:r>
          </w:p>
          <w:p w14:paraId="5E5EC7BD">
            <w:pPr>
              <w:pStyle w:val="219"/>
              <w:spacing w:before="0" w:beforeLines="0"/>
              <w:rPr>
                <w:sz w:val="24"/>
                <w:szCs w:val="24"/>
              </w:rPr>
            </w:pPr>
            <w:r>
              <w:rPr>
                <w:sz w:val="24"/>
                <w:szCs w:val="24"/>
              </w:rPr>
              <w:t>表1</w:t>
            </w:r>
            <w:r>
              <w:rPr>
                <w:rFonts w:hint="eastAsia"/>
                <w:sz w:val="24"/>
                <w:szCs w:val="24"/>
              </w:rPr>
              <w:t>.2.1</w:t>
            </w:r>
            <w:r>
              <w:rPr>
                <w:sz w:val="24"/>
                <w:szCs w:val="24"/>
              </w:rPr>
              <w:t>2-1</w:t>
            </w:r>
            <w:r>
              <w:rPr>
                <w:rFonts w:hint="eastAsia"/>
                <w:sz w:val="24"/>
                <w:szCs w:val="24"/>
              </w:rPr>
              <w:t xml:space="preserve">  </w:t>
            </w:r>
            <w:r>
              <w:rPr>
                <w:sz w:val="24"/>
                <w:szCs w:val="24"/>
              </w:rPr>
              <w:t>项目与《通知》</w:t>
            </w:r>
            <w:r>
              <w:rPr>
                <w:rFonts w:hint="eastAsia"/>
                <w:sz w:val="24"/>
                <w:szCs w:val="24"/>
              </w:rPr>
              <w:t>的符合性分析表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4677"/>
              <w:gridCol w:w="1781"/>
              <w:gridCol w:w="724"/>
            </w:tblGrid>
            <w:tr w14:paraId="1B73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435" w:type="pct"/>
                  <w:gridSpan w:val="2"/>
                  <w:vAlign w:val="center"/>
                </w:tcPr>
                <w:p w14:paraId="0549CC8E">
                  <w:pPr>
                    <w:pStyle w:val="202"/>
                    <w:widowControl w:val="0"/>
                    <w:rPr>
                      <w:rFonts w:hAnsi="Times New Roman"/>
                      <w:b/>
                    </w:rPr>
                  </w:pPr>
                  <w:r>
                    <w:rPr>
                      <w:rFonts w:hAnsi="Times New Roman"/>
                      <w:b/>
                    </w:rPr>
                    <w:t>文件要求</w:t>
                  </w:r>
                </w:p>
              </w:tc>
              <w:tc>
                <w:tcPr>
                  <w:tcW w:w="1113" w:type="pct"/>
                  <w:vAlign w:val="center"/>
                </w:tcPr>
                <w:p w14:paraId="13935719">
                  <w:pPr>
                    <w:pStyle w:val="202"/>
                    <w:widowControl w:val="0"/>
                    <w:rPr>
                      <w:rFonts w:hAnsi="Times New Roman"/>
                      <w:b/>
                    </w:rPr>
                  </w:pPr>
                  <w:r>
                    <w:rPr>
                      <w:rFonts w:hAnsi="Times New Roman"/>
                      <w:b/>
                    </w:rPr>
                    <w:t>本项目情况</w:t>
                  </w:r>
                </w:p>
              </w:tc>
              <w:tc>
                <w:tcPr>
                  <w:tcW w:w="452" w:type="pct"/>
                  <w:vAlign w:val="center"/>
                </w:tcPr>
                <w:p w14:paraId="3ED570FE">
                  <w:pPr>
                    <w:pStyle w:val="202"/>
                    <w:widowControl w:val="0"/>
                    <w:rPr>
                      <w:rFonts w:hAnsi="Times New Roman"/>
                      <w:b/>
                    </w:rPr>
                  </w:pPr>
                  <w:r>
                    <w:rPr>
                      <w:rFonts w:hAnsi="Times New Roman"/>
                      <w:b/>
                    </w:rPr>
                    <w:t>符合性</w:t>
                  </w:r>
                </w:p>
              </w:tc>
            </w:tr>
            <w:tr w14:paraId="5D94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512" w:type="pct"/>
                  <w:vAlign w:val="center"/>
                </w:tcPr>
                <w:p w14:paraId="7C3C8B3F">
                  <w:pPr>
                    <w:pStyle w:val="202"/>
                    <w:widowControl w:val="0"/>
                    <w:adjustRightInd/>
                    <w:snapToGrid/>
                    <w:rPr>
                      <w:rFonts w:hAnsi="Times New Roman"/>
                      <w:bCs/>
                    </w:rPr>
                  </w:pPr>
                  <w:r>
                    <w:rPr>
                      <w:rFonts w:hint="eastAsia" w:hAnsi="Times New Roman"/>
                    </w:rPr>
                    <w:t>一、</w:t>
                  </w:r>
                  <w:r>
                    <w:rPr>
                      <w:rFonts w:hAnsi="Times New Roman"/>
                    </w:rPr>
                    <w:t>做深做细项目前期工作</w:t>
                  </w:r>
                </w:p>
              </w:tc>
              <w:tc>
                <w:tcPr>
                  <w:tcW w:w="2923" w:type="pct"/>
                  <w:vAlign w:val="center"/>
                </w:tcPr>
                <w:p w14:paraId="7D340E43">
                  <w:pPr>
                    <w:pStyle w:val="202"/>
                    <w:widowControl w:val="0"/>
                    <w:jc w:val="left"/>
                    <w:rPr>
                      <w:rFonts w:hAnsi="Times New Roman"/>
                      <w:bCs/>
                    </w:rPr>
                  </w:pPr>
                  <w:r>
                    <w:rPr>
                      <w:rFonts w:hAnsi="Times New Roman"/>
                    </w:rPr>
                    <w:t>（一）开展资源系统排查。统筹考虑生态环境敏感因素及项目的可行性，扣除生态保护红线、耕地（含永久基本农田）、城镇开发边界、天然林、采矿权、耕地林地后备资源、坡度大于40度等区域，鼓励利用采矿沉陷区、尾矿库以及</w:t>
                  </w:r>
                  <w:r>
                    <w:rPr>
                      <w:rFonts w:hint="eastAsia" w:hAnsi="Times New Roman"/>
                    </w:rPr>
                    <w:t>“</w:t>
                  </w:r>
                  <w:r>
                    <w:rPr>
                      <w:rFonts w:hAnsi="Times New Roman"/>
                    </w:rPr>
                    <w:t>四荒地</w:t>
                  </w:r>
                  <w:r>
                    <w:rPr>
                      <w:rFonts w:hint="eastAsia" w:hAnsi="Times New Roman"/>
                    </w:rPr>
                    <w:t>”</w:t>
                  </w:r>
                  <w:r>
                    <w:rPr>
                      <w:rFonts w:hAnsi="Times New Roman"/>
                    </w:rPr>
                    <w:t>等未利用地，优化现有全省光伏资源分布</w:t>
                  </w:r>
                  <w:r>
                    <w:rPr>
                      <w:rFonts w:hint="eastAsia" w:hAnsi="Times New Roman"/>
                    </w:rPr>
                    <w:t>“</w:t>
                  </w:r>
                  <w:r>
                    <w:rPr>
                      <w:rFonts w:hAnsi="Times New Roman"/>
                    </w:rPr>
                    <w:t>一张图</w:t>
                  </w:r>
                  <w:r>
                    <w:rPr>
                      <w:rFonts w:hint="eastAsia" w:hAnsi="Times New Roman"/>
                    </w:rPr>
                    <w:t>”</w:t>
                  </w:r>
                  <w:r>
                    <w:rPr>
                      <w:rFonts w:hAnsi="Times New Roman"/>
                    </w:rPr>
                    <w:t>。各州、市按照光伏资源分布</w:t>
                  </w:r>
                  <w:r>
                    <w:rPr>
                      <w:rFonts w:hint="eastAsia" w:hAnsi="Times New Roman"/>
                    </w:rPr>
                    <w:t>“</w:t>
                  </w:r>
                  <w:r>
                    <w:rPr>
                      <w:rFonts w:hAnsi="Times New Roman"/>
                    </w:rPr>
                    <w:t>一张图</w:t>
                  </w:r>
                  <w:r>
                    <w:rPr>
                      <w:rFonts w:hint="eastAsia" w:hAnsi="Times New Roman"/>
                    </w:rPr>
                    <w:t>”</w:t>
                  </w:r>
                  <w:r>
                    <w:rPr>
                      <w:rFonts w:hAnsi="Times New Roman"/>
                    </w:rPr>
                    <w:t>，统筹协调做好辖区内的光伏资源排查、规划优化调整等技术性工作，加强对企业的指导，未在</w:t>
                  </w:r>
                  <w:r>
                    <w:rPr>
                      <w:rFonts w:hint="eastAsia" w:hAnsi="Times New Roman"/>
                    </w:rPr>
                    <w:t>“</w:t>
                  </w:r>
                  <w:r>
                    <w:rPr>
                      <w:rFonts w:hAnsi="Times New Roman"/>
                    </w:rPr>
                    <w:t>一张图</w:t>
                  </w:r>
                  <w:r>
                    <w:rPr>
                      <w:rFonts w:hint="eastAsia" w:hAnsi="Times New Roman"/>
                    </w:rPr>
                    <w:t>”</w:t>
                  </w:r>
                  <w:r>
                    <w:rPr>
                      <w:rFonts w:hAnsi="Times New Roman"/>
                    </w:rPr>
                    <w:t>范围内的光伏项目，一律不得纳入各级政府规划、开展前期准备工作。</w:t>
                  </w:r>
                </w:p>
              </w:tc>
              <w:tc>
                <w:tcPr>
                  <w:tcW w:w="1113" w:type="pct"/>
                  <w:vAlign w:val="center"/>
                </w:tcPr>
                <w:p w14:paraId="7E1CCF85">
                  <w:pPr>
                    <w:pStyle w:val="202"/>
                    <w:widowControl w:val="0"/>
                    <w:jc w:val="left"/>
                    <w:rPr>
                      <w:rFonts w:hAnsi="Times New Roman"/>
                      <w:bCs/>
                    </w:rPr>
                  </w:pPr>
                  <w:r>
                    <w:rPr>
                      <w:rFonts w:hAnsi="Times New Roman"/>
                    </w:rPr>
                    <w:t>拟选址用地不涉及耕地、永久基本农田、生态保护红线等其他规划禁止用地，不涉及占用湿地、自然保护地、森林公园、湿地公园、重要湿地等敏感因素。</w:t>
                  </w:r>
                </w:p>
              </w:tc>
              <w:tc>
                <w:tcPr>
                  <w:tcW w:w="452" w:type="pct"/>
                  <w:vAlign w:val="center"/>
                </w:tcPr>
                <w:p w14:paraId="4FEE1D5D">
                  <w:pPr>
                    <w:pStyle w:val="202"/>
                    <w:widowControl w:val="0"/>
                    <w:rPr>
                      <w:rFonts w:hint="eastAsia" w:hAnsi="Times New Roman"/>
                      <w:bCs/>
                    </w:rPr>
                  </w:pPr>
                  <w:r>
                    <w:rPr>
                      <w:rFonts w:hint="eastAsia" w:hAnsi="Times New Roman"/>
                      <w:bCs/>
                    </w:rPr>
                    <w:t>符合</w:t>
                  </w:r>
                </w:p>
              </w:tc>
            </w:tr>
            <w:tr w14:paraId="3A6D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2" w:type="pct"/>
                  <w:vAlign w:val="center"/>
                </w:tcPr>
                <w:p w14:paraId="2F5027CC">
                  <w:pPr>
                    <w:pStyle w:val="202"/>
                    <w:widowControl w:val="0"/>
                    <w:adjustRightInd/>
                    <w:snapToGrid/>
                    <w:rPr>
                      <w:rFonts w:hint="eastAsia" w:hAnsi="Times New Roman"/>
                    </w:rPr>
                  </w:pPr>
                  <w:r>
                    <w:rPr>
                      <w:rFonts w:hAnsi="Times New Roman"/>
                    </w:rPr>
                    <w:t>二、强化项目用林用地保障服务</w:t>
                  </w:r>
                </w:p>
              </w:tc>
              <w:tc>
                <w:tcPr>
                  <w:tcW w:w="2923" w:type="pct"/>
                  <w:vAlign w:val="center"/>
                </w:tcPr>
                <w:p w14:paraId="6FAFC009">
                  <w:pPr>
                    <w:pStyle w:val="202"/>
                    <w:widowControl w:val="0"/>
                    <w:jc w:val="left"/>
                    <w:rPr>
                      <w:rFonts w:hAnsi="Times New Roman"/>
                    </w:rPr>
                  </w:pPr>
                  <w:r>
                    <w:rPr>
                      <w:rFonts w:hAnsi="Times New Roman"/>
                    </w:rPr>
                    <w:t>（四）加强项目报批指导。从源头控制好报件质量，做到上下联动、及时审批。对纳入新能源年度建设方案的项目，项目业主向自然资源、生态环境、水利、林草等部门申领审批事项办理告知书，告知书中将审批流程、申报材料等事项一次性告知。项目业主要落实主体责任，做实做细项目报批前期基础工作。</w:t>
                  </w:r>
                </w:p>
              </w:tc>
              <w:tc>
                <w:tcPr>
                  <w:tcW w:w="1113" w:type="pct"/>
                  <w:vAlign w:val="center"/>
                </w:tcPr>
                <w:p w14:paraId="2017DD3C">
                  <w:pPr>
                    <w:pStyle w:val="202"/>
                    <w:widowControl w:val="0"/>
                    <w:jc w:val="left"/>
                    <w:rPr>
                      <w:rFonts w:hAnsi="Times New Roman"/>
                    </w:rPr>
                  </w:pPr>
                  <w:r>
                    <w:rPr>
                      <w:rFonts w:hAnsi="Times New Roman"/>
                    </w:rPr>
                    <w:t>项目已取得自然资源、生态环境、水务、林草等部门的选址意见，且已取得</w:t>
                  </w:r>
                  <w:r>
                    <w:rPr>
                      <w:rFonts w:hint="eastAsia" w:hAnsi="Times New Roman"/>
                    </w:rPr>
                    <w:t>会泽县</w:t>
                  </w:r>
                  <w:r>
                    <w:rPr>
                      <w:rFonts w:hAnsi="Times New Roman"/>
                    </w:rPr>
                    <w:t>发展和改革局投资项目备案证。</w:t>
                  </w:r>
                </w:p>
              </w:tc>
              <w:tc>
                <w:tcPr>
                  <w:tcW w:w="452" w:type="pct"/>
                  <w:vAlign w:val="center"/>
                </w:tcPr>
                <w:p w14:paraId="15DFB46B">
                  <w:pPr>
                    <w:pStyle w:val="202"/>
                    <w:widowControl w:val="0"/>
                    <w:rPr>
                      <w:rFonts w:hint="eastAsia" w:hAnsi="Times New Roman"/>
                    </w:rPr>
                  </w:pPr>
                  <w:r>
                    <w:rPr>
                      <w:rFonts w:hAnsi="Times New Roman"/>
                    </w:rPr>
                    <w:t>符合</w:t>
                  </w:r>
                </w:p>
              </w:tc>
            </w:tr>
          </w:tbl>
          <w:p w14:paraId="0DEB4256">
            <w:pPr>
              <w:spacing w:before="120" w:beforeLines="50" w:line="360" w:lineRule="auto"/>
              <w:ind w:firstLine="480" w:firstLineChars="200"/>
              <w:jc w:val="left"/>
              <w:rPr>
                <w:kern w:val="0"/>
                <w:sz w:val="24"/>
              </w:rPr>
            </w:pPr>
            <w:r>
              <w:rPr>
                <w:kern w:val="0"/>
                <w:sz w:val="24"/>
              </w:rPr>
              <w:t>综上，项目与《云南省发展和改革委员会关于加强光伏资源开发建设有关工作的通知》（云发改能源〔2023〕785号）相关要求相符。</w:t>
            </w:r>
          </w:p>
          <w:p w14:paraId="3CAAD1B2">
            <w:pPr>
              <w:spacing w:line="360" w:lineRule="auto"/>
              <w:rPr>
                <w:rFonts w:hint="eastAsia"/>
                <w:b/>
                <w:bCs/>
                <w:sz w:val="24"/>
                <w:szCs w:val="24"/>
              </w:rPr>
            </w:pPr>
            <w:r>
              <w:rPr>
                <w:rFonts w:hint="eastAsia"/>
                <w:b/>
                <w:bCs/>
                <w:sz w:val="24"/>
                <w:szCs w:val="24"/>
              </w:rPr>
              <w:t>1.2.1</w:t>
            </w:r>
            <w:r>
              <w:rPr>
                <w:b/>
                <w:bCs/>
                <w:sz w:val="24"/>
                <w:szCs w:val="24"/>
              </w:rPr>
              <w:t>3</w:t>
            </w:r>
            <w:r>
              <w:rPr>
                <w:rFonts w:hint="eastAsia"/>
                <w:b/>
                <w:bCs/>
                <w:sz w:val="24"/>
                <w:szCs w:val="24"/>
              </w:rPr>
              <w:t xml:space="preserve"> 与《长江经济带发展负面清单指南（试行）》的符合性分析</w:t>
            </w:r>
          </w:p>
          <w:p w14:paraId="06B9DEF3">
            <w:pPr>
              <w:autoSpaceDE w:val="0"/>
              <w:autoSpaceDN w:val="0"/>
              <w:spacing w:line="360" w:lineRule="auto"/>
              <w:ind w:firstLine="480" w:firstLineChars="200"/>
              <w:jc w:val="left"/>
              <w:rPr>
                <w:snapToGrid w:val="0"/>
                <w:color w:val="000000"/>
                <w:kern w:val="0"/>
                <w:sz w:val="24"/>
              </w:rPr>
            </w:pPr>
            <w:r>
              <w:rPr>
                <w:rFonts w:hint="eastAsia"/>
                <w:snapToGrid w:val="0"/>
                <w:color w:val="000000"/>
                <w:kern w:val="0"/>
                <w:sz w:val="24"/>
              </w:rPr>
              <w:t>本项目与《长江经济带发展负面清单指南（试行）》符合性见下表，通过下表可知，本项目建设符合《长江经济带发展负面清单指南（试行）》相关环境保护要求。</w:t>
            </w:r>
          </w:p>
          <w:p w14:paraId="6D60D1B0">
            <w:pPr>
              <w:pStyle w:val="219"/>
              <w:spacing w:before="0" w:beforeLines="0"/>
              <w:rPr>
                <w:sz w:val="24"/>
                <w:szCs w:val="24"/>
              </w:rPr>
            </w:pPr>
            <w:r>
              <w:rPr>
                <w:rFonts w:hint="eastAsia"/>
                <w:sz w:val="24"/>
                <w:szCs w:val="24"/>
              </w:rPr>
              <w:t>表1</w:t>
            </w:r>
            <w:r>
              <w:rPr>
                <w:sz w:val="24"/>
                <w:szCs w:val="24"/>
              </w:rPr>
              <w:t xml:space="preserve">.2.13-1  </w:t>
            </w:r>
            <w:r>
              <w:rPr>
                <w:rFonts w:hint="eastAsia"/>
                <w:sz w:val="24"/>
                <w:szCs w:val="24"/>
              </w:rPr>
              <w:t>与《长江经济带发展负面清单指南（试行）》的符合性分析</w:t>
            </w:r>
          </w:p>
          <w:tbl>
            <w:tblPr>
              <w:tblStyle w:val="30"/>
              <w:tblW w:w="4924"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441"/>
              <w:gridCol w:w="2556"/>
              <w:gridCol w:w="886"/>
            </w:tblGrid>
            <w:tr w14:paraId="547E8E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17" w:type="pct"/>
                  <w:vAlign w:val="center"/>
                </w:tcPr>
                <w:p w14:paraId="4E7EDDB0">
                  <w:pPr>
                    <w:autoSpaceDE w:val="0"/>
                    <w:autoSpaceDN w:val="0"/>
                    <w:adjustRightInd w:val="0"/>
                    <w:snapToGrid w:val="0"/>
                    <w:jc w:val="center"/>
                    <w:rPr>
                      <w:b/>
                      <w:bCs/>
                    </w:rPr>
                  </w:pPr>
                  <w:r>
                    <w:rPr>
                      <w:b/>
                      <w:bCs/>
                    </w:rPr>
                    <w:t>《指南》要求</w:t>
                  </w:r>
                </w:p>
              </w:tc>
              <w:tc>
                <w:tcPr>
                  <w:tcW w:w="1621" w:type="pct"/>
                  <w:vAlign w:val="center"/>
                </w:tcPr>
                <w:p w14:paraId="745FF29B">
                  <w:pPr>
                    <w:autoSpaceDE w:val="0"/>
                    <w:autoSpaceDN w:val="0"/>
                    <w:adjustRightInd w:val="0"/>
                    <w:snapToGrid w:val="0"/>
                    <w:jc w:val="center"/>
                    <w:rPr>
                      <w:b/>
                      <w:bCs/>
                    </w:rPr>
                  </w:pPr>
                  <w:r>
                    <w:rPr>
                      <w:b/>
                      <w:bCs/>
                    </w:rPr>
                    <w:t>项目情况</w:t>
                  </w:r>
                </w:p>
              </w:tc>
              <w:tc>
                <w:tcPr>
                  <w:tcW w:w="563" w:type="pct"/>
                  <w:vAlign w:val="center"/>
                </w:tcPr>
                <w:p w14:paraId="048EDC98">
                  <w:pPr>
                    <w:autoSpaceDE w:val="0"/>
                    <w:autoSpaceDN w:val="0"/>
                    <w:adjustRightInd w:val="0"/>
                    <w:snapToGrid w:val="0"/>
                    <w:jc w:val="center"/>
                    <w:rPr>
                      <w:b/>
                      <w:bCs/>
                    </w:rPr>
                  </w:pPr>
                  <w:r>
                    <w:rPr>
                      <w:rFonts w:hint="eastAsia"/>
                      <w:b/>
                      <w:bCs/>
                    </w:rPr>
                    <w:t>符合性</w:t>
                  </w:r>
                </w:p>
              </w:tc>
            </w:tr>
            <w:tr w14:paraId="316549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17" w:type="pct"/>
                  <w:vAlign w:val="center"/>
                </w:tcPr>
                <w:p w14:paraId="55ACFD37">
                  <w:pPr>
                    <w:autoSpaceDE w:val="0"/>
                    <w:autoSpaceDN w:val="0"/>
                    <w:adjustRightInd w:val="0"/>
                    <w:snapToGrid w:val="0"/>
                    <w:jc w:val="left"/>
                  </w:pPr>
                  <w:r>
                    <w:t>1.禁止建设不符合全国和省级港口布局规划以及港口总体规划的码头项目，禁止建设不符合《长江干线过江通道布局规划》的过长江通道项目。</w:t>
                  </w:r>
                </w:p>
              </w:tc>
              <w:tc>
                <w:tcPr>
                  <w:tcW w:w="1621" w:type="pct"/>
                  <w:vAlign w:val="center"/>
                </w:tcPr>
                <w:p w14:paraId="57A943EF">
                  <w:pPr>
                    <w:autoSpaceDE w:val="0"/>
                    <w:autoSpaceDN w:val="0"/>
                    <w:adjustRightInd w:val="0"/>
                    <w:snapToGrid w:val="0"/>
                    <w:jc w:val="left"/>
                  </w:pPr>
                  <w:r>
                    <w:t>本项目为风力发电项目建设，不涉及港口、码头建设，无涉水、过江设施。</w:t>
                  </w:r>
                </w:p>
              </w:tc>
              <w:tc>
                <w:tcPr>
                  <w:tcW w:w="563" w:type="pct"/>
                  <w:vAlign w:val="center"/>
                </w:tcPr>
                <w:p w14:paraId="03D9B7DF">
                  <w:pPr>
                    <w:autoSpaceDE w:val="0"/>
                    <w:autoSpaceDN w:val="0"/>
                    <w:adjustRightInd w:val="0"/>
                    <w:snapToGrid w:val="0"/>
                    <w:jc w:val="center"/>
                  </w:pPr>
                  <w:r>
                    <w:t>符合</w:t>
                  </w:r>
                </w:p>
              </w:tc>
            </w:tr>
            <w:tr w14:paraId="5031BC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17" w:type="pct"/>
                  <w:vAlign w:val="center"/>
                </w:tcPr>
                <w:p w14:paraId="698A1CA2">
                  <w:pPr>
                    <w:autoSpaceDE w:val="0"/>
                    <w:autoSpaceDN w:val="0"/>
                    <w:adjustRightInd w:val="0"/>
                    <w:snapToGrid w:val="0"/>
                    <w:jc w:val="left"/>
                  </w:pPr>
                  <w:r>
                    <w:t>2.禁止在自然保护区核心区、缓冲区的岸线和河段范围内投资建设旅游和生产经营项目。禁止在风景名胜区核心景区的岸线和河段范围内投资建设与风景名胜资源保护无关的项目。</w:t>
                  </w:r>
                </w:p>
              </w:tc>
              <w:tc>
                <w:tcPr>
                  <w:tcW w:w="1621" w:type="pct"/>
                  <w:vAlign w:val="center"/>
                </w:tcPr>
                <w:p w14:paraId="1F0E586E">
                  <w:pPr>
                    <w:autoSpaceDE w:val="0"/>
                    <w:autoSpaceDN w:val="0"/>
                    <w:adjustRightInd w:val="0"/>
                    <w:snapToGrid w:val="0"/>
                    <w:jc w:val="left"/>
                  </w:pPr>
                  <w:r>
                    <w:t>本项目选址不涉及自然保护区、风景名胜区等环境敏感区。</w:t>
                  </w:r>
                </w:p>
              </w:tc>
              <w:tc>
                <w:tcPr>
                  <w:tcW w:w="563" w:type="pct"/>
                  <w:vAlign w:val="center"/>
                </w:tcPr>
                <w:p w14:paraId="46CE2C1D">
                  <w:pPr>
                    <w:autoSpaceDE w:val="0"/>
                    <w:autoSpaceDN w:val="0"/>
                    <w:adjustRightInd w:val="0"/>
                    <w:snapToGrid w:val="0"/>
                    <w:jc w:val="center"/>
                  </w:pPr>
                  <w:r>
                    <w:t>符合</w:t>
                  </w:r>
                </w:p>
              </w:tc>
            </w:tr>
            <w:tr w14:paraId="4BFD5C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17" w:type="pct"/>
                  <w:vAlign w:val="center"/>
                </w:tcPr>
                <w:p w14:paraId="3EF70074">
                  <w:pPr>
                    <w:autoSpaceDE w:val="0"/>
                    <w:autoSpaceDN w:val="0"/>
                    <w:adjustRightInd w:val="0"/>
                    <w:snapToGrid w:val="0"/>
                    <w:jc w:val="left"/>
                  </w:pPr>
                  <w:r>
                    <w:t>3.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1621" w:type="pct"/>
                  <w:vAlign w:val="center"/>
                </w:tcPr>
                <w:p w14:paraId="1E54414F">
                  <w:pPr>
                    <w:autoSpaceDE w:val="0"/>
                    <w:autoSpaceDN w:val="0"/>
                    <w:adjustRightInd w:val="0"/>
                    <w:snapToGrid w:val="0"/>
                    <w:jc w:val="left"/>
                  </w:pPr>
                  <w:r>
                    <w:t>本项目不涉及饮用水水源保护区。</w:t>
                  </w:r>
                </w:p>
              </w:tc>
              <w:tc>
                <w:tcPr>
                  <w:tcW w:w="563" w:type="pct"/>
                  <w:vAlign w:val="center"/>
                </w:tcPr>
                <w:p w14:paraId="5D238869">
                  <w:pPr>
                    <w:autoSpaceDE w:val="0"/>
                    <w:autoSpaceDN w:val="0"/>
                    <w:adjustRightInd w:val="0"/>
                    <w:snapToGrid w:val="0"/>
                    <w:jc w:val="center"/>
                  </w:pPr>
                  <w:r>
                    <w:t>符合</w:t>
                  </w:r>
                </w:p>
              </w:tc>
            </w:tr>
            <w:tr w14:paraId="2FE38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17" w:type="pct"/>
                  <w:vAlign w:val="center"/>
                </w:tcPr>
                <w:p w14:paraId="26DECD5D">
                  <w:pPr>
                    <w:autoSpaceDE w:val="0"/>
                    <w:autoSpaceDN w:val="0"/>
                    <w:adjustRightInd w:val="0"/>
                    <w:snapToGrid w:val="0"/>
                    <w:jc w:val="left"/>
                  </w:pPr>
                  <w:r>
                    <w:t>4.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1621" w:type="pct"/>
                  <w:vAlign w:val="center"/>
                </w:tcPr>
                <w:p w14:paraId="7758D66A">
                  <w:pPr>
                    <w:autoSpaceDE w:val="0"/>
                    <w:autoSpaceDN w:val="0"/>
                    <w:adjustRightInd w:val="0"/>
                    <w:snapToGrid w:val="0"/>
                    <w:jc w:val="left"/>
                  </w:pPr>
                  <w:r>
                    <w:t>项目位于长江流域，本项目无取水、涉河设施，项目建设不涉及河道管理范围。</w:t>
                  </w:r>
                </w:p>
              </w:tc>
              <w:tc>
                <w:tcPr>
                  <w:tcW w:w="563" w:type="pct"/>
                  <w:vAlign w:val="center"/>
                </w:tcPr>
                <w:p w14:paraId="52497765">
                  <w:pPr>
                    <w:autoSpaceDE w:val="0"/>
                    <w:autoSpaceDN w:val="0"/>
                    <w:adjustRightInd w:val="0"/>
                    <w:snapToGrid w:val="0"/>
                    <w:jc w:val="center"/>
                  </w:pPr>
                  <w:r>
                    <w:t>符合</w:t>
                  </w:r>
                </w:p>
              </w:tc>
            </w:tr>
            <w:tr w14:paraId="31C0D5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17" w:type="pct"/>
                  <w:vAlign w:val="center"/>
                </w:tcPr>
                <w:p w14:paraId="4FDBF5A4">
                  <w:pPr>
                    <w:autoSpaceDE w:val="0"/>
                    <w:autoSpaceDN w:val="0"/>
                    <w:adjustRightInd w:val="0"/>
                    <w:snapToGrid w:val="0"/>
                    <w:jc w:val="left"/>
                  </w:pPr>
                  <w:r>
                    <w:t>5.禁止未经许可在长江干支流及湖泊新设、改设或扩大排污口。</w:t>
                  </w:r>
                </w:p>
              </w:tc>
              <w:tc>
                <w:tcPr>
                  <w:tcW w:w="1621" w:type="pct"/>
                  <w:vAlign w:val="center"/>
                </w:tcPr>
                <w:p w14:paraId="5B16FBCE">
                  <w:pPr>
                    <w:autoSpaceDE w:val="0"/>
                    <w:autoSpaceDN w:val="0"/>
                    <w:adjustRightInd w:val="0"/>
                    <w:snapToGrid w:val="0"/>
                    <w:jc w:val="left"/>
                  </w:pPr>
                  <w:r>
                    <w:t>项目位于长江流域，项目废水全部回用，不设排污口。</w:t>
                  </w:r>
                </w:p>
              </w:tc>
              <w:tc>
                <w:tcPr>
                  <w:tcW w:w="563" w:type="pct"/>
                  <w:vAlign w:val="center"/>
                </w:tcPr>
                <w:p w14:paraId="5C2B65C3">
                  <w:pPr>
                    <w:autoSpaceDE w:val="0"/>
                    <w:autoSpaceDN w:val="0"/>
                    <w:adjustRightInd w:val="0"/>
                    <w:snapToGrid w:val="0"/>
                    <w:jc w:val="center"/>
                  </w:pPr>
                  <w:r>
                    <w:t>符合</w:t>
                  </w:r>
                </w:p>
              </w:tc>
            </w:tr>
            <w:tr w14:paraId="206698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17" w:type="pct"/>
                  <w:vAlign w:val="center"/>
                </w:tcPr>
                <w:p w14:paraId="639B46EB">
                  <w:pPr>
                    <w:autoSpaceDE w:val="0"/>
                    <w:autoSpaceDN w:val="0"/>
                    <w:adjustRightInd w:val="0"/>
                    <w:snapToGrid w:val="0"/>
                    <w:jc w:val="left"/>
                  </w:pPr>
                  <w:r>
                    <w:t>6.禁止在</w:t>
                  </w:r>
                  <w:r>
                    <w:rPr>
                      <w:rFonts w:ascii="宋体" w:hAnsi="宋体"/>
                    </w:rPr>
                    <w:t>“一江一口两湖七河”</w:t>
                  </w:r>
                  <w:r>
                    <w:t>和332个水生生物保护区开展生产性捕捞。</w:t>
                  </w:r>
                </w:p>
              </w:tc>
              <w:tc>
                <w:tcPr>
                  <w:tcW w:w="1621" w:type="pct"/>
                  <w:vAlign w:val="center"/>
                </w:tcPr>
                <w:p w14:paraId="06A38AA6">
                  <w:pPr>
                    <w:autoSpaceDE w:val="0"/>
                    <w:autoSpaceDN w:val="0"/>
                    <w:adjustRightInd w:val="0"/>
                    <w:snapToGrid w:val="0"/>
                    <w:jc w:val="left"/>
                  </w:pPr>
                  <w:r>
                    <w:t>项目不涉及生产性捕捞活动。</w:t>
                  </w:r>
                </w:p>
              </w:tc>
              <w:tc>
                <w:tcPr>
                  <w:tcW w:w="563" w:type="pct"/>
                  <w:vAlign w:val="center"/>
                </w:tcPr>
                <w:p w14:paraId="242C1361">
                  <w:pPr>
                    <w:autoSpaceDE w:val="0"/>
                    <w:autoSpaceDN w:val="0"/>
                    <w:adjustRightInd w:val="0"/>
                    <w:snapToGrid w:val="0"/>
                    <w:jc w:val="center"/>
                  </w:pPr>
                  <w:r>
                    <w:t>符合</w:t>
                  </w:r>
                </w:p>
              </w:tc>
            </w:tr>
            <w:tr w14:paraId="47ECBC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14" w:hRule="atLeast"/>
                <w:jc w:val="center"/>
              </w:trPr>
              <w:tc>
                <w:tcPr>
                  <w:tcW w:w="2817" w:type="pct"/>
                  <w:vAlign w:val="center"/>
                </w:tcPr>
                <w:p w14:paraId="53DB40D8">
                  <w:pPr>
                    <w:autoSpaceDE w:val="0"/>
                    <w:autoSpaceDN w:val="0"/>
                    <w:adjustRightInd w:val="0"/>
                    <w:snapToGrid w:val="0"/>
                    <w:jc w:val="left"/>
                  </w:pPr>
                  <w:r>
                    <w:t>7.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1621" w:type="pct"/>
                  <w:vAlign w:val="center"/>
                </w:tcPr>
                <w:p w14:paraId="0451482C">
                  <w:pPr>
                    <w:autoSpaceDE w:val="0"/>
                    <w:autoSpaceDN w:val="0"/>
                    <w:adjustRightInd w:val="0"/>
                    <w:snapToGrid w:val="0"/>
                    <w:jc w:val="left"/>
                  </w:pPr>
                  <w:r>
                    <w:t>项目位于长江流域，不属化工类项目，不涉及尾矿库、冶炼渣库、磷石膏库等建设。</w:t>
                  </w:r>
                </w:p>
              </w:tc>
              <w:tc>
                <w:tcPr>
                  <w:tcW w:w="563" w:type="pct"/>
                  <w:vAlign w:val="center"/>
                </w:tcPr>
                <w:p w14:paraId="5298FF73">
                  <w:pPr>
                    <w:autoSpaceDE w:val="0"/>
                    <w:autoSpaceDN w:val="0"/>
                    <w:adjustRightInd w:val="0"/>
                    <w:snapToGrid w:val="0"/>
                    <w:jc w:val="center"/>
                  </w:pPr>
                  <w:r>
                    <w:t>符合</w:t>
                  </w:r>
                </w:p>
              </w:tc>
            </w:tr>
            <w:tr w14:paraId="7FF5D0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17" w:type="pct"/>
                  <w:vAlign w:val="center"/>
                </w:tcPr>
                <w:p w14:paraId="37518E5D">
                  <w:pPr>
                    <w:autoSpaceDE w:val="0"/>
                    <w:autoSpaceDN w:val="0"/>
                    <w:adjustRightInd w:val="0"/>
                    <w:snapToGrid w:val="0"/>
                    <w:jc w:val="left"/>
                  </w:pPr>
                  <w:r>
                    <w:t>8.禁止在合规园区外新建、扩建钢铁、石化、化工、焦化、建材、有色、制浆造纸等高污染项目。</w:t>
                  </w:r>
                </w:p>
              </w:tc>
              <w:tc>
                <w:tcPr>
                  <w:tcW w:w="1621" w:type="pct"/>
                  <w:vAlign w:val="center"/>
                </w:tcPr>
                <w:p w14:paraId="3C57E4C7">
                  <w:pPr>
                    <w:autoSpaceDE w:val="0"/>
                    <w:autoSpaceDN w:val="0"/>
                    <w:adjustRightInd w:val="0"/>
                    <w:snapToGrid w:val="0"/>
                    <w:jc w:val="left"/>
                  </w:pPr>
                  <w:r>
                    <w:t>本项目不属于禁止建设的高污染项目。</w:t>
                  </w:r>
                </w:p>
              </w:tc>
              <w:tc>
                <w:tcPr>
                  <w:tcW w:w="563" w:type="pct"/>
                  <w:vAlign w:val="center"/>
                </w:tcPr>
                <w:p w14:paraId="76647D59">
                  <w:pPr>
                    <w:autoSpaceDE w:val="0"/>
                    <w:autoSpaceDN w:val="0"/>
                    <w:adjustRightInd w:val="0"/>
                    <w:snapToGrid w:val="0"/>
                    <w:jc w:val="center"/>
                  </w:pPr>
                  <w:r>
                    <w:t>符合</w:t>
                  </w:r>
                </w:p>
              </w:tc>
            </w:tr>
            <w:tr w14:paraId="63A472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17" w:type="pct"/>
                  <w:vAlign w:val="center"/>
                </w:tcPr>
                <w:p w14:paraId="6537C5F5">
                  <w:pPr>
                    <w:autoSpaceDE w:val="0"/>
                    <w:autoSpaceDN w:val="0"/>
                    <w:adjustRightInd w:val="0"/>
                    <w:snapToGrid w:val="0"/>
                    <w:jc w:val="left"/>
                  </w:pPr>
                  <w:r>
                    <w:t>9.禁止新建、扩建不符合国家石化、现代煤化工等产业布局规划的项目。</w:t>
                  </w:r>
                </w:p>
              </w:tc>
              <w:tc>
                <w:tcPr>
                  <w:tcW w:w="1621" w:type="pct"/>
                  <w:vAlign w:val="center"/>
                </w:tcPr>
                <w:p w14:paraId="3EE1D1E8">
                  <w:pPr>
                    <w:autoSpaceDE w:val="0"/>
                    <w:autoSpaceDN w:val="0"/>
                    <w:adjustRightInd w:val="0"/>
                    <w:snapToGrid w:val="0"/>
                    <w:jc w:val="left"/>
                  </w:pPr>
                  <w:r>
                    <w:t>本项目符合国家产业政策，不属于禁止建设项目。</w:t>
                  </w:r>
                </w:p>
              </w:tc>
              <w:tc>
                <w:tcPr>
                  <w:tcW w:w="563" w:type="pct"/>
                  <w:vAlign w:val="center"/>
                </w:tcPr>
                <w:p w14:paraId="288DAE89">
                  <w:pPr>
                    <w:autoSpaceDE w:val="0"/>
                    <w:autoSpaceDN w:val="0"/>
                    <w:adjustRightInd w:val="0"/>
                    <w:snapToGrid w:val="0"/>
                    <w:jc w:val="center"/>
                  </w:pPr>
                  <w:r>
                    <w:t>符合</w:t>
                  </w:r>
                </w:p>
              </w:tc>
            </w:tr>
            <w:tr w14:paraId="497238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17" w:type="pct"/>
                  <w:vAlign w:val="center"/>
                </w:tcPr>
                <w:p w14:paraId="0EB838D8">
                  <w:pPr>
                    <w:autoSpaceDE w:val="0"/>
                    <w:autoSpaceDN w:val="0"/>
                    <w:adjustRightInd w:val="0"/>
                    <w:snapToGrid w:val="0"/>
                    <w:jc w:val="left"/>
                  </w:pPr>
                  <w:r>
                    <w:t>10.禁止新建、扩建法律法规和相关政策明令禁止的落后产能项目。禁止新建、扩建不符合国家产能置换要求的严重过剩产能行业的项目。禁止新建、扩建不符合要求的高耗能高排放项目。</w:t>
                  </w:r>
                </w:p>
              </w:tc>
              <w:tc>
                <w:tcPr>
                  <w:tcW w:w="1621" w:type="pct"/>
                  <w:vAlign w:val="center"/>
                </w:tcPr>
                <w:p w14:paraId="54B0BD1A">
                  <w:pPr>
                    <w:autoSpaceDE w:val="0"/>
                    <w:autoSpaceDN w:val="0"/>
                    <w:adjustRightInd w:val="0"/>
                    <w:snapToGrid w:val="0"/>
                    <w:jc w:val="left"/>
                  </w:pPr>
                  <w:r>
                    <w:t>本项目属《产业结构调整指导目录》（2024年本）鼓励类，不属于落后产能、过剩产能。项目为绿色能源开发利用项目，非高耗能高排放项目。</w:t>
                  </w:r>
                </w:p>
              </w:tc>
              <w:tc>
                <w:tcPr>
                  <w:tcW w:w="563" w:type="pct"/>
                  <w:vAlign w:val="center"/>
                </w:tcPr>
                <w:p w14:paraId="09289E06">
                  <w:pPr>
                    <w:autoSpaceDE w:val="0"/>
                    <w:autoSpaceDN w:val="0"/>
                    <w:adjustRightInd w:val="0"/>
                    <w:snapToGrid w:val="0"/>
                    <w:jc w:val="center"/>
                  </w:pPr>
                  <w:r>
                    <w:t>符合</w:t>
                  </w:r>
                </w:p>
              </w:tc>
            </w:tr>
            <w:tr w14:paraId="2B69B7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17" w:type="pct"/>
                  <w:vAlign w:val="center"/>
                </w:tcPr>
                <w:p w14:paraId="4B3EED8A">
                  <w:pPr>
                    <w:autoSpaceDE w:val="0"/>
                    <w:autoSpaceDN w:val="0"/>
                    <w:adjustRightInd w:val="0"/>
                    <w:snapToGrid w:val="0"/>
                    <w:jc w:val="left"/>
                  </w:pPr>
                  <w:r>
                    <w:t>11.法律法规及相关政策文件有更加严格规定的从其规定。</w:t>
                  </w:r>
                </w:p>
              </w:tc>
              <w:tc>
                <w:tcPr>
                  <w:tcW w:w="1621" w:type="pct"/>
                  <w:vAlign w:val="center"/>
                </w:tcPr>
                <w:p w14:paraId="3A95DDB0">
                  <w:pPr>
                    <w:autoSpaceDE w:val="0"/>
                    <w:autoSpaceDN w:val="0"/>
                    <w:adjustRightInd w:val="0"/>
                    <w:snapToGrid w:val="0"/>
                    <w:jc w:val="left"/>
                  </w:pPr>
                  <w:r>
                    <w:t>项目建设符合相关法律法规及政策文件要求。</w:t>
                  </w:r>
                </w:p>
              </w:tc>
              <w:tc>
                <w:tcPr>
                  <w:tcW w:w="563" w:type="pct"/>
                  <w:vAlign w:val="center"/>
                </w:tcPr>
                <w:p w14:paraId="5E55567D">
                  <w:pPr>
                    <w:autoSpaceDE w:val="0"/>
                    <w:autoSpaceDN w:val="0"/>
                    <w:adjustRightInd w:val="0"/>
                    <w:snapToGrid w:val="0"/>
                    <w:jc w:val="center"/>
                  </w:pPr>
                  <w:r>
                    <w:t>符合</w:t>
                  </w:r>
                </w:p>
              </w:tc>
            </w:tr>
          </w:tbl>
          <w:p w14:paraId="10743E68">
            <w:pPr>
              <w:autoSpaceDE w:val="0"/>
              <w:autoSpaceDN w:val="0"/>
              <w:spacing w:line="360" w:lineRule="auto"/>
              <w:ind w:firstLine="480" w:firstLineChars="200"/>
              <w:jc w:val="left"/>
              <w:rPr>
                <w:rFonts w:hint="eastAsia"/>
                <w:snapToGrid w:val="0"/>
                <w:color w:val="000000"/>
                <w:kern w:val="0"/>
                <w:sz w:val="24"/>
              </w:rPr>
            </w:pPr>
            <w:r>
              <w:rPr>
                <w:rFonts w:hint="eastAsia"/>
                <w:snapToGrid w:val="0"/>
                <w:color w:val="000000"/>
                <w:kern w:val="0"/>
                <w:sz w:val="24"/>
              </w:rPr>
              <w:t>综上，本项目建设与《长江经济带发展负面清单指南（试行）》相符。</w:t>
            </w:r>
          </w:p>
          <w:p w14:paraId="566DC3F3">
            <w:pPr>
              <w:pStyle w:val="73"/>
              <w:keepNext w:val="0"/>
              <w:keepLines w:val="0"/>
              <w:jc w:val="both"/>
              <w:rPr>
                <w:rFonts w:hint="eastAsia"/>
                <w:kern w:val="2"/>
                <w:sz w:val="24"/>
                <w:szCs w:val="24"/>
              </w:rPr>
            </w:pPr>
            <w:r>
              <w:rPr>
                <w:rFonts w:hint="eastAsia"/>
                <w:kern w:val="2"/>
                <w:sz w:val="24"/>
                <w:szCs w:val="24"/>
              </w:rPr>
              <w:t>1.2.1</w:t>
            </w:r>
            <w:r>
              <w:rPr>
                <w:kern w:val="2"/>
                <w:sz w:val="24"/>
                <w:szCs w:val="24"/>
              </w:rPr>
              <w:t>4</w:t>
            </w:r>
            <w:r>
              <w:rPr>
                <w:rFonts w:hint="eastAsia"/>
                <w:kern w:val="2"/>
                <w:sz w:val="24"/>
                <w:szCs w:val="24"/>
              </w:rPr>
              <w:t xml:space="preserve"> 与《云南省长江经济带发展负面清单指南实施细则（试行，2022年版）》的符合性</w:t>
            </w:r>
          </w:p>
          <w:p w14:paraId="5657AD1C">
            <w:pPr>
              <w:autoSpaceDE w:val="0"/>
              <w:autoSpaceDN w:val="0"/>
              <w:spacing w:line="360" w:lineRule="auto"/>
              <w:ind w:firstLine="480" w:firstLineChars="200"/>
              <w:jc w:val="left"/>
              <w:rPr>
                <w:snapToGrid w:val="0"/>
                <w:color w:val="000000"/>
                <w:kern w:val="0"/>
                <w:sz w:val="24"/>
              </w:rPr>
            </w:pPr>
            <w:r>
              <w:rPr>
                <w:snapToGrid w:val="0"/>
                <w:color w:val="000000"/>
                <w:kern w:val="0"/>
                <w:sz w:val="24"/>
              </w:rPr>
              <w:t>根据云南省推动长江经济带发展领导小组办公室印发《关于云南省长江经济带发展负面清单指南实施细则（试行，2022年版）的通知》（云发改基础﹝2022﹞894号）。本项目与该《指南实施细则》的符合性分析如下</w:t>
            </w:r>
            <w:r>
              <w:rPr>
                <w:rFonts w:hint="eastAsia"/>
                <w:snapToGrid w:val="0"/>
                <w:color w:val="000000"/>
                <w:kern w:val="0"/>
                <w:sz w:val="24"/>
              </w:rPr>
              <w:t>表。</w:t>
            </w:r>
          </w:p>
          <w:p w14:paraId="294C2BD6">
            <w:pPr>
              <w:pStyle w:val="219"/>
              <w:spacing w:before="0" w:beforeLines="0"/>
              <w:rPr>
                <w:sz w:val="24"/>
                <w:szCs w:val="24"/>
              </w:rPr>
            </w:pPr>
            <w:r>
              <w:rPr>
                <w:sz w:val="24"/>
                <w:szCs w:val="24"/>
              </w:rPr>
              <w:t>表1</w:t>
            </w:r>
            <w:r>
              <w:rPr>
                <w:rFonts w:hint="eastAsia"/>
                <w:sz w:val="24"/>
                <w:szCs w:val="24"/>
              </w:rPr>
              <w:t>.2.1</w:t>
            </w:r>
            <w:r>
              <w:rPr>
                <w:sz w:val="24"/>
                <w:szCs w:val="24"/>
              </w:rPr>
              <w:t>4-</w:t>
            </w:r>
            <w:r>
              <w:rPr>
                <w:rFonts w:hint="eastAsia"/>
                <w:sz w:val="24"/>
                <w:szCs w:val="24"/>
              </w:rPr>
              <w:t xml:space="preserve">1  </w:t>
            </w:r>
            <w:r>
              <w:rPr>
                <w:sz w:val="24"/>
                <w:szCs w:val="24"/>
              </w:rPr>
              <w:t>与《指南实施细则》符合性</w:t>
            </w:r>
          </w:p>
          <w:tbl>
            <w:tblPr>
              <w:tblStyle w:val="30"/>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501"/>
              <w:gridCol w:w="2613"/>
              <w:gridCol w:w="891"/>
            </w:tblGrid>
            <w:tr w14:paraId="735F6D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811" w:type="pct"/>
                  <w:vAlign w:val="center"/>
                </w:tcPr>
                <w:p w14:paraId="11DBB68B">
                  <w:pPr>
                    <w:autoSpaceDE w:val="0"/>
                    <w:autoSpaceDN w:val="0"/>
                    <w:adjustRightInd w:val="0"/>
                    <w:snapToGrid w:val="0"/>
                    <w:jc w:val="center"/>
                    <w:rPr>
                      <w:b/>
                      <w:bCs/>
                      <w:snapToGrid w:val="0"/>
                      <w:color w:val="000000"/>
                      <w:kern w:val="0"/>
                    </w:rPr>
                  </w:pPr>
                  <w:r>
                    <w:rPr>
                      <w:b/>
                      <w:bCs/>
                      <w:snapToGrid w:val="0"/>
                      <w:color w:val="000000"/>
                      <w:kern w:val="0"/>
                    </w:rPr>
                    <w:t>《指南实施细则》要求</w:t>
                  </w:r>
                </w:p>
              </w:tc>
              <w:tc>
                <w:tcPr>
                  <w:tcW w:w="1632" w:type="pct"/>
                  <w:vAlign w:val="center"/>
                </w:tcPr>
                <w:p w14:paraId="059DF25C">
                  <w:pPr>
                    <w:autoSpaceDE w:val="0"/>
                    <w:autoSpaceDN w:val="0"/>
                    <w:adjustRightInd w:val="0"/>
                    <w:snapToGrid w:val="0"/>
                    <w:jc w:val="center"/>
                    <w:rPr>
                      <w:b/>
                      <w:bCs/>
                      <w:snapToGrid w:val="0"/>
                      <w:color w:val="000000"/>
                      <w:kern w:val="0"/>
                    </w:rPr>
                  </w:pPr>
                  <w:r>
                    <w:rPr>
                      <w:b/>
                      <w:bCs/>
                      <w:snapToGrid w:val="0"/>
                      <w:color w:val="000000"/>
                      <w:kern w:val="0"/>
                    </w:rPr>
                    <w:t>项目情况</w:t>
                  </w:r>
                </w:p>
              </w:tc>
              <w:tc>
                <w:tcPr>
                  <w:tcW w:w="557" w:type="pct"/>
                  <w:vAlign w:val="center"/>
                </w:tcPr>
                <w:p w14:paraId="589C80F9">
                  <w:pPr>
                    <w:autoSpaceDE w:val="0"/>
                    <w:autoSpaceDN w:val="0"/>
                    <w:adjustRightInd w:val="0"/>
                    <w:snapToGrid w:val="0"/>
                    <w:jc w:val="center"/>
                    <w:rPr>
                      <w:b/>
                      <w:bCs/>
                      <w:snapToGrid w:val="0"/>
                      <w:color w:val="000000"/>
                      <w:kern w:val="0"/>
                    </w:rPr>
                  </w:pPr>
                  <w:r>
                    <w:rPr>
                      <w:rFonts w:hint="eastAsia"/>
                      <w:b/>
                      <w:bCs/>
                    </w:rPr>
                    <w:t>符合性</w:t>
                  </w:r>
                </w:p>
              </w:tc>
            </w:tr>
            <w:tr w14:paraId="4B0BEC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811" w:type="pct"/>
                  <w:vAlign w:val="center"/>
                </w:tcPr>
                <w:p w14:paraId="578193F0">
                  <w:pPr>
                    <w:autoSpaceDE w:val="0"/>
                    <w:autoSpaceDN w:val="0"/>
                    <w:jc w:val="center"/>
                    <w:rPr>
                      <w:snapToGrid w:val="0"/>
                      <w:color w:val="000000"/>
                      <w:kern w:val="0"/>
                    </w:rPr>
                  </w:pPr>
                  <w:r>
                    <w:rPr>
                      <w:snapToGrid w:val="0"/>
                      <w:color w:val="000000"/>
                      <w:kern w:val="0"/>
                    </w:rPr>
                    <w:t>一、禁止建设不符合全国和省级港口布局规划以及港口总体规划的码头项目。</w:t>
                  </w:r>
                </w:p>
              </w:tc>
              <w:tc>
                <w:tcPr>
                  <w:tcW w:w="1632" w:type="pct"/>
                  <w:vAlign w:val="center"/>
                </w:tcPr>
                <w:p w14:paraId="621689FD">
                  <w:pPr>
                    <w:autoSpaceDE w:val="0"/>
                    <w:autoSpaceDN w:val="0"/>
                    <w:jc w:val="center"/>
                    <w:rPr>
                      <w:snapToGrid w:val="0"/>
                      <w:color w:val="000000"/>
                      <w:kern w:val="0"/>
                    </w:rPr>
                  </w:pPr>
                  <w:r>
                    <w:rPr>
                      <w:snapToGrid w:val="0"/>
                      <w:color w:val="000000"/>
                      <w:kern w:val="0"/>
                    </w:rPr>
                    <w:t>本项目为太阳能光伏电站建设，不涉及港口、码头建设，无涉水、过江设施。</w:t>
                  </w:r>
                </w:p>
              </w:tc>
              <w:tc>
                <w:tcPr>
                  <w:tcW w:w="557" w:type="pct"/>
                  <w:vAlign w:val="center"/>
                </w:tcPr>
                <w:p w14:paraId="12772F44">
                  <w:pPr>
                    <w:autoSpaceDE w:val="0"/>
                    <w:autoSpaceDN w:val="0"/>
                    <w:adjustRightInd w:val="0"/>
                    <w:snapToGrid w:val="0"/>
                    <w:jc w:val="center"/>
                    <w:rPr>
                      <w:snapToGrid w:val="0"/>
                      <w:color w:val="000000"/>
                      <w:kern w:val="0"/>
                    </w:rPr>
                  </w:pPr>
                  <w:r>
                    <w:rPr>
                      <w:snapToGrid w:val="0"/>
                      <w:color w:val="000000"/>
                      <w:kern w:val="0"/>
                    </w:rPr>
                    <w:t>符合</w:t>
                  </w:r>
                </w:p>
              </w:tc>
            </w:tr>
            <w:tr w14:paraId="733414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811" w:type="pct"/>
                  <w:vAlign w:val="center"/>
                </w:tcPr>
                <w:p w14:paraId="2FBEE779">
                  <w:pPr>
                    <w:autoSpaceDE w:val="0"/>
                    <w:autoSpaceDN w:val="0"/>
                    <w:jc w:val="center"/>
                    <w:rPr>
                      <w:snapToGrid w:val="0"/>
                      <w:color w:val="000000"/>
                      <w:kern w:val="0"/>
                    </w:rPr>
                  </w:pPr>
                  <w:r>
                    <w:rPr>
                      <w:snapToGrid w:val="0"/>
                      <w:color w:val="000000"/>
                      <w:kern w:val="0"/>
                    </w:rPr>
                    <w:t>二、禁止在生态保护红线范围内投资建设项目，生态保护红线内、自然保护地核心保护区原则上禁止人为活动。</w:t>
                  </w:r>
                </w:p>
              </w:tc>
              <w:tc>
                <w:tcPr>
                  <w:tcW w:w="1632" w:type="pct"/>
                  <w:vMerge w:val="restart"/>
                  <w:vAlign w:val="center"/>
                </w:tcPr>
                <w:p w14:paraId="035AD5AC">
                  <w:pPr>
                    <w:autoSpaceDE w:val="0"/>
                    <w:autoSpaceDN w:val="0"/>
                    <w:adjustRightInd w:val="0"/>
                    <w:snapToGrid w:val="0"/>
                    <w:jc w:val="center"/>
                    <w:rPr>
                      <w:snapToGrid w:val="0"/>
                      <w:color w:val="000000"/>
                      <w:kern w:val="0"/>
                    </w:rPr>
                  </w:pPr>
                  <w:r>
                    <w:rPr>
                      <w:snapToGrid w:val="0"/>
                      <w:color w:val="000000"/>
                      <w:kern w:val="0"/>
                    </w:rPr>
                    <w:t>本项目选址不涉及生态保护红线、自然保护区、风景名胜区、湿地公园、饮用水水源保护区等各类环境敏感区。</w:t>
                  </w:r>
                </w:p>
              </w:tc>
              <w:tc>
                <w:tcPr>
                  <w:tcW w:w="557" w:type="pct"/>
                  <w:vAlign w:val="center"/>
                </w:tcPr>
                <w:p w14:paraId="3F532EA3">
                  <w:pPr>
                    <w:autoSpaceDE w:val="0"/>
                    <w:autoSpaceDN w:val="0"/>
                    <w:adjustRightInd w:val="0"/>
                    <w:snapToGrid w:val="0"/>
                    <w:jc w:val="center"/>
                    <w:rPr>
                      <w:snapToGrid w:val="0"/>
                      <w:color w:val="000000"/>
                      <w:kern w:val="0"/>
                    </w:rPr>
                  </w:pPr>
                  <w:r>
                    <w:rPr>
                      <w:snapToGrid w:val="0"/>
                      <w:color w:val="000000"/>
                      <w:kern w:val="0"/>
                    </w:rPr>
                    <w:t>符合</w:t>
                  </w:r>
                </w:p>
              </w:tc>
            </w:tr>
            <w:tr w14:paraId="4CFCA9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811" w:type="pct"/>
                  <w:vAlign w:val="center"/>
                </w:tcPr>
                <w:p w14:paraId="33EE4ECD">
                  <w:pPr>
                    <w:autoSpaceDE w:val="0"/>
                    <w:autoSpaceDN w:val="0"/>
                    <w:jc w:val="center"/>
                    <w:rPr>
                      <w:snapToGrid w:val="0"/>
                      <w:color w:val="000000"/>
                      <w:kern w:val="0"/>
                    </w:rPr>
                  </w:pPr>
                  <w:r>
                    <w:rPr>
                      <w:snapToGrid w:val="0"/>
                      <w:color w:val="000000"/>
                      <w:kern w:val="0"/>
                    </w:rPr>
                    <w:t>三、禁止在自然保护区内进行砍伐、放牧、狩猎、捕捞、采药、开垦、烧荒、开矿、采石、挖沙等活动。</w:t>
                  </w:r>
                </w:p>
              </w:tc>
              <w:tc>
                <w:tcPr>
                  <w:tcW w:w="1632" w:type="pct"/>
                  <w:vMerge w:val="continue"/>
                  <w:vAlign w:val="center"/>
                </w:tcPr>
                <w:p w14:paraId="1984F5F6">
                  <w:pPr>
                    <w:autoSpaceDE w:val="0"/>
                    <w:autoSpaceDN w:val="0"/>
                    <w:adjustRightInd w:val="0"/>
                    <w:snapToGrid w:val="0"/>
                    <w:jc w:val="center"/>
                    <w:rPr>
                      <w:snapToGrid w:val="0"/>
                      <w:color w:val="000000"/>
                      <w:kern w:val="0"/>
                    </w:rPr>
                  </w:pPr>
                </w:p>
              </w:tc>
              <w:tc>
                <w:tcPr>
                  <w:tcW w:w="557" w:type="pct"/>
                  <w:vAlign w:val="center"/>
                </w:tcPr>
                <w:p w14:paraId="04EDCCFE">
                  <w:pPr>
                    <w:autoSpaceDE w:val="0"/>
                    <w:autoSpaceDN w:val="0"/>
                    <w:adjustRightInd w:val="0"/>
                    <w:snapToGrid w:val="0"/>
                    <w:jc w:val="center"/>
                    <w:rPr>
                      <w:snapToGrid w:val="0"/>
                      <w:color w:val="000000"/>
                      <w:kern w:val="0"/>
                    </w:rPr>
                  </w:pPr>
                  <w:r>
                    <w:rPr>
                      <w:snapToGrid w:val="0"/>
                      <w:color w:val="000000"/>
                      <w:kern w:val="0"/>
                    </w:rPr>
                    <w:t>符合</w:t>
                  </w:r>
                </w:p>
              </w:tc>
            </w:tr>
            <w:tr w14:paraId="757068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811" w:type="pct"/>
                  <w:vAlign w:val="center"/>
                </w:tcPr>
                <w:p w14:paraId="62A31569">
                  <w:pPr>
                    <w:autoSpaceDE w:val="0"/>
                    <w:autoSpaceDN w:val="0"/>
                    <w:jc w:val="center"/>
                    <w:rPr>
                      <w:snapToGrid w:val="0"/>
                      <w:color w:val="000000"/>
                      <w:kern w:val="0"/>
                    </w:rPr>
                  </w:pPr>
                  <w:r>
                    <w:rPr>
                      <w:snapToGrid w:val="0"/>
                      <w:color w:val="000000"/>
                      <w:kern w:val="0"/>
                    </w:rPr>
                    <w:t>四、禁止在风景名胜区内进行开山、采石、开矿、开荒、修坟立碑等破坏景观、植被和地形地貌的活动。</w:t>
                  </w:r>
                </w:p>
              </w:tc>
              <w:tc>
                <w:tcPr>
                  <w:tcW w:w="1632" w:type="pct"/>
                  <w:vMerge w:val="continue"/>
                  <w:vAlign w:val="center"/>
                </w:tcPr>
                <w:p w14:paraId="22C63C46">
                  <w:pPr>
                    <w:autoSpaceDE w:val="0"/>
                    <w:autoSpaceDN w:val="0"/>
                    <w:adjustRightInd w:val="0"/>
                    <w:snapToGrid w:val="0"/>
                    <w:jc w:val="center"/>
                    <w:rPr>
                      <w:snapToGrid w:val="0"/>
                      <w:color w:val="000000"/>
                      <w:kern w:val="0"/>
                    </w:rPr>
                  </w:pPr>
                </w:p>
              </w:tc>
              <w:tc>
                <w:tcPr>
                  <w:tcW w:w="557" w:type="pct"/>
                  <w:vAlign w:val="center"/>
                </w:tcPr>
                <w:p w14:paraId="479EE98F">
                  <w:pPr>
                    <w:autoSpaceDE w:val="0"/>
                    <w:autoSpaceDN w:val="0"/>
                    <w:adjustRightInd w:val="0"/>
                    <w:snapToGrid w:val="0"/>
                    <w:jc w:val="center"/>
                    <w:rPr>
                      <w:snapToGrid w:val="0"/>
                      <w:color w:val="000000"/>
                      <w:kern w:val="0"/>
                    </w:rPr>
                  </w:pPr>
                  <w:r>
                    <w:rPr>
                      <w:snapToGrid w:val="0"/>
                      <w:color w:val="000000"/>
                      <w:kern w:val="0"/>
                    </w:rPr>
                    <w:t>符合</w:t>
                  </w:r>
                </w:p>
              </w:tc>
            </w:tr>
            <w:tr w14:paraId="0FB15E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811" w:type="pct"/>
                  <w:vAlign w:val="center"/>
                </w:tcPr>
                <w:p w14:paraId="150F53C4">
                  <w:pPr>
                    <w:autoSpaceDE w:val="0"/>
                    <w:autoSpaceDN w:val="0"/>
                    <w:jc w:val="center"/>
                    <w:rPr>
                      <w:snapToGrid w:val="0"/>
                      <w:color w:val="000000"/>
                      <w:kern w:val="0"/>
                    </w:rPr>
                  </w:pPr>
                  <w:r>
                    <w:rPr>
                      <w:snapToGrid w:val="0"/>
                      <w:color w:val="000000"/>
                      <w:kern w:val="0"/>
                    </w:rPr>
                    <w:t>五、禁止擅自征收、占用国家湿地公园的土地。</w:t>
                  </w:r>
                </w:p>
              </w:tc>
              <w:tc>
                <w:tcPr>
                  <w:tcW w:w="1632" w:type="pct"/>
                  <w:vMerge w:val="continue"/>
                  <w:vAlign w:val="center"/>
                </w:tcPr>
                <w:p w14:paraId="4937D811">
                  <w:pPr>
                    <w:autoSpaceDE w:val="0"/>
                    <w:autoSpaceDN w:val="0"/>
                    <w:adjustRightInd w:val="0"/>
                    <w:snapToGrid w:val="0"/>
                    <w:jc w:val="center"/>
                    <w:rPr>
                      <w:snapToGrid w:val="0"/>
                      <w:color w:val="000000"/>
                      <w:kern w:val="0"/>
                    </w:rPr>
                  </w:pPr>
                </w:p>
              </w:tc>
              <w:tc>
                <w:tcPr>
                  <w:tcW w:w="557" w:type="pct"/>
                  <w:vAlign w:val="center"/>
                </w:tcPr>
                <w:p w14:paraId="1C99CC00">
                  <w:pPr>
                    <w:autoSpaceDE w:val="0"/>
                    <w:autoSpaceDN w:val="0"/>
                    <w:adjustRightInd w:val="0"/>
                    <w:snapToGrid w:val="0"/>
                    <w:jc w:val="center"/>
                    <w:rPr>
                      <w:snapToGrid w:val="0"/>
                      <w:color w:val="000000"/>
                      <w:kern w:val="0"/>
                    </w:rPr>
                  </w:pPr>
                  <w:r>
                    <w:rPr>
                      <w:snapToGrid w:val="0"/>
                      <w:color w:val="000000"/>
                      <w:kern w:val="0"/>
                    </w:rPr>
                    <w:t>符合</w:t>
                  </w:r>
                </w:p>
              </w:tc>
            </w:tr>
            <w:tr w14:paraId="596270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811" w:type="pct"/>
                  <w:vAlign w:val="center"/>
                </w:tcPr>
                <w:p w14:paraId="6A15F63D">
                  <w:pPr>
                    <w:autoSpaceDE w:val="0"/>
                    <w:autoSpaceDN w:val="0"/>
                    <w:jc w:val="center"/>
                    <w:rPr>
                      <w:snapToGrid w:val="0"/>
                      <w:color w:val="000000"/>
                      <w:kern w:val="0"/>
                    </w:rPr>
                  </w:pPr>
                  <w:r>
                    <w:rPr>
                      <w:snapToGrid w:val="0"/>
                      <w:color w:val="000000"/>
                      <w:kern w:val="0"/>
                    </w:rPr>
                    <w:t>六、禁止在饮用水水源一级保护区内新建、改建、扩建与供水设施和保护水源无关的建设项目；禁止在饮用水水源二级保护区内新建、改建、扩建排放污染物的建设项目。</w:t>
                  </w:r>
                </w:p>
              </w:tc>
              <w:tc>
                <w:tcPr>
                  <w:tcW w:w="1632" w:type="pct"/>
                  <w:vMerge w:val="continue"/>
                  <w:vAlign w:val="center"/>
                </w:tcPr>
                <w:p w14:paraId="42A8EBC6">
                  <w:pPr>
                    <w:autoSpaceDE w:val="0"/>
                    <w:autoSpaceDN w:val="0"/>
                    <w:adjustRightInd w:val="0"/>
                    <w:snapToGrid w:val="0"/>
                    <w:jc w:val="center"/>
                    <w:rPr>
                      <w:snapToGrid w:val="0"/>
                      <w:color w:val="000000"/>
                      <w:kern w:val="0"/>
                    </w:rPr>
                  </w:pPr>
                </w:p>
              </w:tc>
              <w:tc>
                <w:tcPr>
                  <w:tcW w:w="557" w:type="pct"/>
                  <w:vAlign w:val="center"/>
                </w:tcPr>
                <w:p w14:paraId="52FBEADA">
                  <w:pPr>
                    <w:autoSpaceDE w:val="0"/>
                    <w:autoSpaceDN w:val="0"/>
                    <w:adjustRightInd w:val="0"/>
                    <w:snapToGrid w:val="0"/>
                    <w:jc w:val="center"/>
                    <w:rPr>
                      <w:snapToGrid w:val="0"/>
                      <w:color w:val="000000"/>
                      <w:kern w:val="0"/>
                    </w:rPr>
                  </w:pPr>
                  <w:r>
                    <w:rPr>
                      <w:snapToGrid w:val="0"/>
                      <w:color w:val="000000"/>
                      <w:kern w:val="0"/>
                    </w:rPr>
                    <w:t>符合</w:t>
                  </w:r>
                </w:p>
              </w:tc>
            </w:tr>
            <w:tr w14:paraId="7EAFA4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811" w:type="pct"/>
                  <w:vAlign w:val="center"/>
                </w:tcPr>
                <w:p w14:paraId="222CAB07">
                  <w:pPr>
                    <w:autoSpaceDE w:val="0"/>
                    <w:autoSpaceDN w:val="0"/>
                    <w:adjustRightInd w:val="0"/>
                    <w:snapToGrid w:val="0"/>
                    <w:jc w:val="left"/>
                    <w:rPr>
                      <w:snapToGrid w:val="0"/>
                      <w:color w:val="000000"/>
                      <w:kern w:val="0"/>
                    </w:rPr>
                  </w:pPr>
                  <w:r>
                    <w:rPr>
                      <w:snapToGrid w:val="0"/>
                      <w:color w:val="000000"/>
                      <w:kern w:val="0"/>
                    </w:rPr>
                    <w:t>七、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w:t>
                  </w:r>
                </w:p>
              </w:tc>
              <w:tc>
                <w:tcPr>
                  <w:tcW w:w="1632" w:type="pct"/>
                  <w:vAlign w:val="center"/>
                </w:tcPr>
                <w:p w14:paraId="4064125A">
                  <w:pPr>
                    <w:autoSpaceDE w:val="0"/>
                    <w:autoSpaceDN w:val="0"/>
                    <w:adjustRightInd w:val="0"/>
                    <w:snapToGrid w:val="0"/>
                    <w:jc w:val="center"/>
                    <w:rPr>
                      <w:snapToGrid w:val="0"/>
                      <w:color w:val="000000"/>
                      <w:kern w:val="0"/>
                    </w:rPr>
                  </w:pPr>
                  <w:r>
                    <w:rPr>
                      <w:rFonts w:hint="eastAsia"/>
                      <w:snapToGrid w:val="0"/>
                      <w:color w:val="000000"/>
                      <w:kern w:val="0"/>
                    </w:rPr>
                    <w:t>根据《会泽县水务局关于云南省曲靖市会泽县绿坪村光伏发电的选址意见》，项目未占用已划界河道管理范围。</w:t>
                  </w:r>
                </w:p>
              </w:tc>
              <w:tc>
                <w:tcPr>
                  <w:tcW w:w="557" w:type="pct"/>
                  <w:vAlign w:val="center"/>
                </w:tcPr>
                <w:p w14:paraId="1BEEA542">
                  <w:pPr>
                    <w:autoSpaceDE w:val="0"/>
                    <w:autoSpaceDN w:val="0"/>
                    <w:adjustRightInd w:val="0"/>
                    <w:snapToGrid w:val="0"/>
                    <w:jc w:val="center"/>
                    <w:rPr>
                      <w:snapToGrid w:val="0"/>
                      <w:color w:val="000000"/>
                      <w:kern w:val="0"/>
                    </w:rPr>
                  </w:pPr>
                  <w:r>
                    <w:rPr>
                      <w:snapToGrid w:val="0"/>
                      <w:color w:val="000000"/>
                      <w:kern w:val="0"/>
                    </w:rPr>
                    <w:t>符合</w:t>
                  </w:r>
                </w:p>
              </w:tc>
            </w:tr>
            <w:tr w14:paraId="786E2A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811" w:type="pct"/>
                  <w:vAlign w:val="center"/>
                </w:tcPr>
                <w:p w14:paraId="1FD8B48A">
                  <w:pPr>
                    <w:autoSpaceDE w:val="0"/>
                    <w:autoSpaceDN w:val="0"/>
                    <w:adjustRightInd w:val="0"/>
                    <w:snapToGrid w:val="0"/>
                    <w:jc w:val="left"/>
                    <w:rPr>
                      <w:snapToGrid w:val="0"/>
                      <w:color w:val="000000"/>
                      <w:kern w:val="0"/>
                    </w:rPr>
                  </w:pPr>
                  <w:r>
                    <w:rPr>
                      <w:snapToGrid w:val="0"/>
                      <w:color w:val="000000"/>
                      <w:kern w:val="0"/>
                    </w:rPr>
                    <w:t>八、禁止在《全国重要江河湖泊水功能区划》划定的河段及湖泊保护区、保留区内投资建设不利于水资源及自然生态保护的项目。禁止在金沙江、长江一级支流建设除党中央、国务院、国家投资主管部门、省级有关部门批复同意以外的过江基础设施项目；禁止未经许可在长江流域、九大高原湖泊流域新设、改设或扩大排污口。禁止在水产种质资源保护区内新建排污口。</w:t>
                  </w:r>
                </w:p>
              </w:tc>
              <w:tc>
                <w:tcPr>
                  <w:tcW w:w="1632" w:type="pct"/>
                  <w:vAlign w:val="center"/>
                </w:tcPr>
                <w:p w14:paraId="5129424A">
                  <w:pPr>
                    <w:autoSpaceDE w:val="0"/>
                    <w:autoSpaceDN w:val="0"/>
                    <w:adjustRightInd w:val="0"/>
                    <w:snapToGrid w:val="0"/>
                    <w:jc w:val="center"/>
                    <w:rPr>
                      <w:snapToGrid w:val="0"/>
                      <w:color w:val="000000"/>
                      <w:kern w:val="0"/>
                    </w:rPr>
                  </w:pPr>
                  <w:r>
                    <w:rPr>
                      <w:snapToGrid w:val="0"/>
                      <w:color w:val="000000"/>
                      <w:kern w:val="0"/>
                    </w:rPr>
                    <w:t>本项目建设不属于《全国重要江河湖泊水功能区划》划定的河段及湖泊保护区、保留区。</w:t>
                  </w:r>
                </w:p>
              </w:tc>
              <w:tc>
                <w:tcPr>
                  <w:tcW w:w="557" w:type="pct"/>
                  <w:vAlign w:val="center"/>
                </w:tcPr>
                <w:p w14:paraId="0ADD928E">
                  <w:pPr>
                    <w:autoSpaceDE w:val="0"/>
                    <w:autoSpaceDN w:val="0"/>
                    <w:adjustRightInd w:val="0"/>
                    <w:snapToGrid w:val="0"/>
                    <w:jc w:val="center"/>
                    <w:rPr>
                      <w:snapToGrid w:val="0"/>
                      <w:color w:val="000000"/>
                      <w:kern w:val="0"/>
                    </w:rPr>
                  </w:pPr>
                  <w:r>
                    <w:rPr>
                      <w:snapToGrid w:val="0"/>
                      <w:color w:val="000000"/>
                      <w:kern w:val="0"/>
                    </w:rPr>
                    <w:t>符合</w:t>
                  </w:r>
                </w:p>
              </w:tc>
            </w:tr>
            <w:tr w14:paraId="76C3D6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811" w:type="pct"/>
                  <w:vAlign w:val="center"/>
                </w:tcPr>
                <w:p w14:paraId="30989F43">
                  <w:pPr>
                    <w:autoSpaceDE w:val="0"/>
                    <w:autoSpaceDN w:val="0"/>
                    <w:adjustRightInd w:val="0"/>
                    <w:snapToGrid w:val="0"/>
                    <w:jc w:val="left"/>
                    <w:rPr>
                      <w:snapToGrid w:val="0"/>
                      <w:color w:val="000000"/>
                      <w:kern w:val="0"/>
                    </w:rPr>
                  </w:pPr>
                  <w:r>
                    <w:rPr>
                      <w:snapToGrid w:val="0"/>
                      <w:color w:val="000000"/>
                      <w:kern w:val="0"/>
                    </w:rPr>
                    <w:t>九、禁止在金沙江、赤水河、乌江等水生动植物自然保护区、水产种质资源保护区长江流域禁捕水域开展天然渔业资源生产性捕捞。</w:t>
                  </w:r>
                </w:p>
              </w:tc>
              <w:tc>
                <w:tcPr>
                  <w:tcW w:w="1632" w:type="pct"/>
                  <w:vAlign w:val="center"/>
                </w:tcPr>
                <w:p w14:paraId="2827D6A2">
                  <w:pPr>
                    <w:autoSpaceDE w:val="0"/>
                    <w:autoSpaceDN w:val="0"/>
                    <w:adjustRightInd w:val="0"/>
                    <w:snapToGrid w:val="0"/>
                    <w:jc w:val="center"/>
                    <w:rPr>
                      <w:snapToGrid w:val="0"/>
                      <w:color w:val="000000"/>
                      <w:kern w:val="0"/>
                    </w:rPr>
                  </w:pPr>
                  <w:r>
                    <w:rPr>
                      <w:snapToGrid w:val="0"/>
                      <w:color w:val="000000"/>
                      <w:kern w:val="0"/>
                    </w:rPr>
                    <w:t>本项目不涉及。</w:t>
                  </w:r>
                </w:p>
              </w:tc>
              <w:tc>
                <w:tcPr>
                  <w:tcW w:w="557" w:type="pct"/>
                  <w:vAlign w:val="center"/>
                </w:tcPr>
                <w:p w14:paraId="73B3BE75">
                  <w:pPr>
                    <w:autoSpaceDE w:val="0"/>
                    <w:autoSpaceDN w:val="0"/>
                    <w:adjustRightInd w:val="0"/>
                    <w:snapToGrid w:val="0"/>
                    <w:jc w:val="center"/>
                    <w:rPr>
                      <w:snapToGrid w:val="0"/>
                      <w:color w:val="000000"/>
                      <w:kern w:val="0"/>
                    </w:rPr>
                  </w:pPr>
                  <w:r>
                    <w:rPr>
                      <w:snapToGrid w:val="0"/>
                      <w:color w:val="000000"/>
                      <w:kern w:val="0"/>
                    </w:rPr>
                    <w:t>符合</w:t>
                  </w:r>
                </w:p>
              </w:tc>
            </w:tr>
            <w:tr w14:paraId="42FA20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811" w:type="pct"/>
                  <w:vAlign w:val="center"/>
                </w:tcPr>
                <w:p w14:paraId="0EFB55BC">
                  <w:pPr>
                    <w:autoSpaceDE w:val="0"/>
                    <w:autoSpaceDN w:val="0"/>
                    <w:adjustRightInd w:val="0"/>
                    <w:snapToGrid w:val="0"/>
                    <w:jc w:val="left"/>
                    <w:rPr>
                      <w:snapToGrid w:val="0"/>
                      <w:color w:val="000000"/>
                      <w:kern w:val="0"/>
                    </w:rPr>
                  </w:pPr>
                  <w:r>
                    <w:rPr>
                      <w:snapToGrid w:val="0"/>
                      <w:color w:val="000000"/>
                      <w:kern w:val="0"/>
                    </w:rPr>
                    <w:t>十、禁止在金沙江、长江一级支流岸线边界</w:t>
                  </w:r>
                  <w:r>
                    <w:rPr>
                      <w:rFonts w:hint="eastAsia"/>
                      <w:snapToGrid w:val="0"/>
                      <w:color w:val="000000"/>
                      <w:kern w:val="0"/>
                    </w:rPr>
                    <w:t>1</w:t>
                  </w:r>
                  <w:r>
                    <w:rPr>
                      <w:snapToGrid w:val="0"/>
                      <w:color w:val="000000"/>
                      <w:kern w:val="0"/>
                    </w:rPr>
                    <w:t>km范围内新建、扩建化工园区和化工项目。</w:t>
                  </w:r>
                </w:p>
              </w:tc>
              <w:tc>
                <w:tcPr>
                  <w:tcW w:w="1632" w:type="pct"/>
                  <w:vAlign w:val="center"/>
                </w:tcPr>
                <w:p w14:paraId="16C19CDA">
                  <w:pPr>
                    <w:autoSpaceDE w:val="0"/>
                    <w:autoSpaceDN w:val="0"/>
                    <w:adjustRightInd w:val="0"/>
                    <w:snapToGrid w:val="0"/>
                    <w:jc w:val="center"/>
                    <w:rPr>
                      <w:snapToGrid w:val="0"/>
                      <w:color w:val="000000"/>
                      <w:kern w:val="0"/>
                    </w:rPr>
                  </w:pPr>
                  <w:r>
                    <w:rPr>
                      <w:snapToGrid w:val="0"/>
                      <w:color w:val="000000"/>
                      <w:kern w:val="0"/>
                    </w:rPr>
                    <w:t>本项目不属于化工园区和化工项目。</w:t>
                  </w:r>
                </w:p>
              </w:tc>
              <w:tc>
                <w:tcPr>
                  <w:tcW w:w="557" w:type="pct"/>
                  <w:vAlign w:val="center"/>
                </w:tcPr>
                <w:p w14:paraId="708B4272">
                  <w:pPr>
                    <w:autoSpaceDE w:val="0"/>
                    <w:autoSpaceDN w:val="0"/>
                    <w:adjustRightInd w:val="0"/>
                    <w:snapToGrid w:val="0"/>
                    <w:jc w:val="center"/>
                    <w:rPr>
                      <w:snapToGrid w:val="0"/>
                      <w:color w:val="000000"/>
                      <w:kern w:val="0"/>
                    </w:rPr>
                  </w:pPr>
                  <w:r>
                    <w:rPr>
                      <w:snapToGrid w:val="0"/>
                      <w:color w:val="000000"/>
                      <w:kern w:val="0"/>
                    </w:rPr>
                    <w:t>符合</w:t>
                  </w:r>
                </w:p>
              </w:tc>
            </w:tr>
            <w:tr w14:paraId="2DE6F6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811" w:type="pct"/>
                  <w:vAlign w:val="center"/>
                </w:tcPr>
                <w:p w14:paraId="24474076">
                  <w:pPr>
                    <w:autoSpaceDE w:val="0"/>
                    <w:autoSpaceDN w:val="0"/>
                    <w:adjustRightInd w:val="0"/>
                    <w:snapToGrid w:val="0"/>
                    <w:jc w:val="left"/>
                    <w:rPr>
                      <w:snapToGrid w:val="0"/>
                      <w:color w:val="000000"/>
                      <w:kern w:val="0"/>
                    </w:rPr>
                  </w:pPr>
                  <w:r>
                    <w:rPr>
                      <w:snapToGrid w:val="0"/>
                      <w:color w:val="000000"/>
                      <w:kern w:val="0"/>
                    </w:rPr>
                    <w:t>十一、禁止在金沙江干流岸线3km、长江（金沙江）一级支流岸线1km范围内新建、改建、扩建尾矿库、冶炼渣库和磷石膏库。</w:t>
                  </w:r>
                </w:p>
              </w:tc>
              <w:tc>
                <w:tcPr>
                  <w:tcW w:w="1632" w:type="pct"/>
                  <w:vMerge w:val="restart"/>
                  <w:vAlign w:val="center"/>
                </w:tcPr>
                <w:p w14:paraId="4B281C73">
                  <w:pPr>
                    <w:autoSpaceDE w:val="0"/>
                    <w:autoSpaceDN w:val="0"/>
                    <w:adjustRightInd w:val="0"/>
                    <w:snapToGrid w:val="0"/>
                    <w:jc w:val="center"/>
                    <w:rPr>
                      <w:snapToGrid w:val="0"/>
                      <w:color w:val="000000"/>
                      <w:kern w:val="0"/>
                    </w:rPr>
                  </w:pPr>
                  <w:r>
                    <w:rPr>
                      <w:snapToGrid w:val="0"/>
                      <w:color w:val="000000"/>
                      <w:kern w:val="0"/>
                    </w:rPr>
                    <w:t>本项目为光伏电站建设，不涉及尾矿库、冶炼渣库、磷石膏，不属于高污染项目和煤化石化项目。</w:t>
                  </w:r>
                </w:p>
              </w:tc>
              <w:tc>
                <w:tcPr>
                  <w:tcW w:w="557" w:type="pct"/>
                  <w:vAlign w:val="center"/>
                </w:tcPr>
                <w:p w14:paraId="244EA815">
                  <w:pPr>
                    <w:autoSpaceDE w:val="0"/>
                    <w:autoSpaceDN w:val="0"/>
                    <w:adjustRightInd w:val="0"/>
                    <w:snapToGrid w:val="0"/>
                    <w:jc w:val="center"/>
                    <w:rPr>
                      <w:snapToGrid w:val="0"/>
                      <w:color w:val="000000"/>
                      <w:kern w:val="0"/>
                    </w:rPr>
                  </w:pPr>
                  <w:r>
                    <w:rPr>
                      <w:snapToGrid w:val="0"/>
                      <w:color w:val="000000"/>
                      <w:kern w:val="0"/>
                    </w:rPr>
                    <w:t>符合</w:t>
                  </w:r>
                </w:p>
              </w:tc>
            </w:tr>
            <w:tr w14:paraId="5ED8B1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811" w:type="pct"/>
                  <w:vAlign w:val="center"/>
                </w:tcPr>
                <w:p w14:paraId="0E7F79E1">
                  <w:pPr>
                    <w:adjustRightInd w:val="0"/>
                    <w:snapToGrid w:val="0"/>
                    <w:jc w:val="left"/>
                    <w:rPr>
                      <w:snapToGrid w:val="0"/>
                      <w:color w:val="000000"/>
                      <w:kern w:val="0"/>
                    </w:rPr>
                  </w:pPr>
                  <w:r>
                    <w:rPr>
                      <w:color w:val="000000"/>
                    </w:rPr>
                    <w:t>十二、禁止在合规园区外新建、扩建钢铁、石化、化工、焦化、建材、有色、制浆造纸等高污染项目。</w:t>
                  </w:r>
                </w:p>
              </w:tc>
              <w:tc>
                <w:tcPr>
                  <w:tcW w:w="1632" w:type="pct"/>
                  <w:vMerge w:val="continue"/>
                  <w:vAlign w:val="center"/>
                </w:tcPr>
                <w:p w14:paraId="6D18B17D">
                  <w:pPr>
                    <w:autoSpaceDE w:val="0"/>
                    <w:autoSpaceDN w:val="0"/>
                    <w:adjustRightInd w:val="0"/>
                    <w:snapToGrid w:val="0"/>
                    <w:jc w:val="center"/>
                    <w:rPr>
                      <w:snapToGrid w:val="0"/>
                      <w:color w:val="000000"/>
                      <w:kern w:val="0"/>
                    </w:rPr>
                  </w:pPr>
                </w:p>
              </w:tc>
              <w:tc>
                <w:tcPr>
                  <w:tcW w:w="557" w:type="pct"/>
                  <w:vAlign w:val="center"/>
                </w:tcPr>
                <w:p w14:paraId="15D040FA">
                  <w:pPr>
                    <w:autoSpaceDE w:val="0"/>
                    <w:autoSpaceDN w:val="0"/>
                    <w:adjustRightInd w:val="0"/>
                    <w:snapToGrid w:val="0"/>
                    <w:jc w:val="center"/>
                    <w:rPr>
                      <w:snapToGrid w:val="0"/>
                      <w:color w:val="000000"/>
                      <w:kern w:val="0"/>
                    </w:rPr>
                  </w:pPr>
                  <w:r>
                    <w:rPr>
                      <w:snapToGrid w:val="0"/>
                      <w:color w:val="000000"/>
                      <w:kern w:val="0"/>
                    </w:rPr>
                    <w:t>符合</w:t>
                  </w:r>
                </w:p>
              </w:tc>
            </w:tr>
            <w:tr w14:paraId="35914D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811" w:type="pct"/>
                  <w:vAlign w:val="center"/>
                </w:tcPr>
                <w:p w14:paraId="740E3744">
                  <w:pPr>
                    <w:adjustRightInd w:val="0"/>
                    <w:snapToGrid w:val="0"/>
                    <w:jc w:val="left"/>
                    <w:rPr>
                      <w:snapToGrid w:val="0"/>
                      <w:color w:val="000000"/>
                      <w:kern w:val="0"/>
                    </w:rPr>
                  </w:pPr>
                  <w:r>
                    <w:rPr>
                      <w:color w:val="000000"/>
                    </w:rPr>
                    <w:t>十三、禁止新建、扩建不符合国家石化、现代煤化工等产业布局规划的项目。</w:t>
                  </w:r>
                </w:p>
              </w:tc>
              <w:tc>
                <w:tcPr>
                  <w:tcW w:w="1632" w:type="pct"/>
                  <w:vMerge w:val="continue"/>
                  <w:vAlign w:val="center"/>
                </w:tcPr>
                <w:p w14:paraId="193D1DDA">
                  <w:pPr>
                    <w:autoSpaceDE w:val="0"/>
                    <w:autoSpaceDN w:val="0"/>
                    <w:adjustRightInd w:val="0"/>
                    <w:snapToGrid w:val="0"/>
                    <w:jc w:val="center"/>
                    <w:rPr>
                      <w:snapToGrid w:val="0"/>
                      <w:color w:val="000000"/>
                      <w:kern w:val="0"/>
                    </w:rPr>
                  </w:pPr>
                </w:p>
              </w:tc>
              <w:tc>
                <w:tcPr>
                  <w:tcW w:w="557" w:type="pct"/>
                  <w:vAlign w:val="center"/>
                </w:tcPr>
                <w:p w14:paraId="144A279B">
                  <w:pPr>
                    <w:autoSpaceDE w:val="0"/>
                    <w:autoSpaceDN w:val="0"/>
                    <w:adjustRightInd w:val="0"/>
                    <w:snapToGrid w:val="0"/>
                    <w:jc w:val="center"/>
                    <w:rPr>
                      <w:snapToGrid w:val="0"/>
                      <w:color w:val="000000"/>
                      <w:kern w:val="0"/>
                    </w:rPr>
                  </w:pPr>
                  <w:r>
                    <w:rPr>
                      <w:snapToGrid w:val="0"/>
                      <w:color w:val="000000"/>
                      <w:kern w:val="0"/>
                    </w:rPr>
                    <w:t>符合</w:t>
                  </w:r>
                </w:p>
              </w:tc>
            </w:tr>
            <w:tr w14:paraId="15457D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2811" w:type="pct"/>
                  <w:vAlign w:val="center"/>
                </w:tcPr>
                <w:p w14:paraId="4EEB0B2E">
                  <w:pPr>
                    <w:adjustRightInd w:val="0"/>
                    <w:snapToGrid w:val="0"/>
                    <w:jc w:val="left"/>
                    <w:rPr>
                      <w:snapToGrid w:val="0"/>
                      <w:color w:val="000000"/>
                      <w:kern w:val="0"/>
                    </w:rPr>
                  </w:pPr>
                  <w:r>
                    <w:rPr>
                      <w:color w:val="000000"/>
                    </w:rPr>
                    <w:t>十四、禁止新建、扩建法律法规和相关政策明令禁止的落后产能项目。</w:t>
                  </w:r>
                </w:p>
              </w:tc>
              <w:tc>
                <w:tcPr>
                  <w:tcW w:w="1632" w:type="pct"/>
                  <w:vAlign w:val="center"/>
                </w:tcPr>
                <w:p w14:paraId="2A26A445">
                  <w:pPr>
                    <w:autoSpaceDE w:val="0"/>
                    <w:autoSpaceDN w:val="0"/>
                    <w:adjustRightInd w:val="0"/>
                    <w:snapToGrid w:val="0"/>
                    <w:jc w:val="center"/>
                    <w:rPr>
                      <w:snapToGrid w:val="0"/>
                      <w:color w:val="000000"/>
                      <w:kern w:val="0"/>
                    </w:rPr>
                  </w:pPr>
                  <w:r>
                    <w:rPr>
                      <w:snapToGrid w:val="0"/>
                      <w:color w:val="000000"/>
                      <w:kern w:val="0"/>
                    </w:rPr>
                    <w:t>本项目符合国家产业政策，不属于禁止建设的落后产能项目。</w:t>
                  </w:r>
                </w:p>
              </w:tc>
              <w:tc>
                <w:tcPr>
                  <w:tcW w:w="557" w:type="pct"/>
                  <w:vAlign w:val="center"/>
                </w:tcPr>
                <w:p w14:paraId="2B5B073F">
                  <w:pPr>
                    <w:autoSpaceDE w:val="0"/>
                    <w:autoSpaceDN w:val="0"/>
                    <w:adjustRightInd w:val="0"/>
                    <w:snapToGrid w:val="0"/>
                    <w:jc w:val="center"/>
                    <w:rPr>
                      <w:snapToGrid w:val="0"/>
                      <w:color w:val="000000"/>
                      <w:kern w:val="0"/>
                    </w:rPr>
                  </w:pPr>
                  <w:r>
                    <w:rPr>
                      <w:snapToGrid w:val="0"/>
                      <w:color w:val="000000"/>
                      <w:kern w:val="0"/>
                    </w:rPr>
                    <w:t>符合</w:t>
                  </w:r>
                </w:p>
              </w:tc>
            </w:tr>
          </w:tbl>
          <w:p w14:paraId="40BCD1F1">
            <w:pPr>
              <w:autoSpaceDE w:val="0"/>
              <w:autoSpaceDN w:val="0"/>
              <w:spacing w:line="360" w:lineRule="auto"/>
              <w:ind w:firstLine="480" w:firstLineChars="200"/>
              <w:jc w:val="left"/>
              <w:rPr>
                <w:kern w:val="0"/>
                <w:sz w:val="24"/>
              </w:rPr>
            </w:pPr>
            <w:r>
              <w:rPr>
                <w:snapToGrid w:val="0"/>
                <w:color w:val="000000"/>
                <w:kern w:val="0"/>
                <w:sz w:val="24"/>
              </w:rPr>
              <w:t>综上所述，本项目建设符合《长江经济带发展负面清单指南（试行，2022年版）》要求。</w:t>
            </w:r>
          </w:p>
          <w:p w14:paraId="3947CCD6">
            <w:pPr>
              <w:spacing w:line="360" w:lineRule="auto"/>
              <w:rPr>
                <w:rFonts w:hint="eastAsia"/>
                <w:b/>
                <w:bCs/>
                <w:sz w:val="24"/>
                <w:szCs w:val="24"/>
              </w:rPr>
            </w:pPr>
            <w:r>
              <w:rPr>
                <w:rFonts w:hint="eastAsia"/>
                <w:b/>
                <w:bCs/>
                <w:sz w:val="24"/>
                <w:szCs w:val="24"/>
              </w:rPr>
              <w:t>1.2.1</w:t>
            </w:r>
            <w:r>
              <w:rPr>
                <w:b/>
                <w:bCs/>
                <w:sz w:val="24"/>
                <w:szCs w:val="24"/>
              </w:rPr>
              <w:t>5</w:t>
            </w:r>
            <w:r>
              <w:rPr>
                <w:rFonts w:hint="eastAsia"/>
                <w:b/>
                <w:bCs/>
                <w:sz w:val="24"/>
                <w:szCs w:val="24"/>
              </w:rPr>
              <w:t xml:space="preserve"> 与《</w:t>
            </w:r>
            <w:bookmarkStart w:id="41" w:name="OLE_LINK79"/>
            <w:r>
              <w:rPr>
                <w:rFonts w:hint="eastAsia"/>
                <w:b/>
                <w:bCs/>
                <w:sz w:val="24"/>
                <w:szCs w:val="24"/>
              </w:rPr>
              <w:t>会泽县国土空间总体规划（2021-2035年）</w:t>
            </w:r>
            <w:bookmarkEnd w:id="41"/>
            <w:r>
              <w:rPr>
                <w:rFonts w:hint="eastAsia"/>
                <w:b/>
                <w:bCs/>
                <w:sz w:val="24"/>
                <w:szCs w:val="24"/>
              </w:rPr>
              <w:t>》（节选）的符合性分析</w:t>
            </w:r>
          </w:p>
          <w:p w14:paraId="2B262B19">
            <w:pPr>
              <w:pStyle w:val="219"/>
              <w:spacing w:before="0" w:beforeLines="0"/>
              <w:rPr>
                <w:sz w:val="24"/>
                <w:szCs w:val="24"/>
              </w:rPr>
            </w:pPr>
            <w:r>
              <w:rPr>
                <w:rFonts w:hint="eastAsia"/>
                <w:sz w:val="24"/>
                <w:szCs w:val="24"/>
              </w:rPr>
              <w:t>表1.2.1</w:t>
            </w:r>
            <w:r>
              <w:rPr>
                <w:sz w:val="24"/>
                <w:szCs w:val="24"/>
              </w:rPr>
              <w:t>5</w:t>
            </w:r>
            <w:r>
              <w:rPr>
                <w:rFonts w:hint="eastAsia"/>
                <w:sz w:val="24"/>
                <w:szCs w:val="24"/>
              </w:rPr>
              <w:t>-1  与《</w:t>
            </w:r>
            <w:bookmarkStart w:id="42" w:name="OLE_LINK82"/>
            <w:r>
              <w:rPr>
                <w:rFonts w:hint="eastAsia"/>
                <w:sz w:val="24"/>
                <w:szCs w:val="24"/>
              </w:rPr>
              <w:t>会泽县国土空间总体规划（2021-2035年）》（节选）</w:t>
            </w:r>
            <w:bookmarkEnd w:id="42"/>
            <w:r>
              <w:rPr>
                <w:rFonts w:hint="eastAsia"/>
                <w:sz w:val="24"/>
                <w:szCs w:val="24"/>
              </w:rPr>
              <w:t>的符合性分析</w:t>
            </w:r>
          </w:p>
          <w:tbl>
            <w:tblPr>
              <w:tblStyle w:val="30"/>
              <w:tblW w:w="7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3827"/>
              <w:gridCol w:w="2407"/>
              <w:gridCol w:w="888"/>
            </w:tblGrid>
            <w:tr w14:paraId="2F82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78" w:type="dxa"/>
                  <w:vAlign w:val="center"/>
                </w:tcPr>
                <w:p w14:paraId="1B6FF310">
                  <w:pPr>
                    <w:pStyle w:val="14"/>
                    <w:ind w:firstLine="0"/>
                    <w:jc w:val="center"/>
                    <w:rPr>
                      <w:rFonts w:ascii="Times New Roman" w:hAnsi="Times New Roman" w:cs="Times New Roman"/>
                      <w:b/>
                      <w:bCs/>
                    </w:rPr>
                  </w:pPr>
                  <w:r>
                    <w:rPr>
                      <w:rFonts w:hint="eastAsia" w:ascii="Times New Roman" w:hAnsi="Times New Roman" w:cs="Times New Roman"/>
                      <w:b/>
                      <w:bCs/>
                    </w:rPr>
                    <w:t>序号</w:t>
                  </w:r>
                </w:p>
              </w:tc>
              <w:tc>
                <w:tcPr>
                  <w:tcW w:w="3827" w:type="dxa"/>
                  <w:vAlign w:val="center"/>
                </w:tcPr>
                <w:p w14:paraId="683F05D0">
                  <w:pPr>
                    <w:pStyle w:val="14"/>
                    <w:ind w:firstLine="0"/>
                    <w:jc w:val="center"/>
                    <w:rPr>
                      <w:rFonts w:ascii="Times New Roman" w:hAnsi="Times New Roman" w:cs="Times New Roman"/>
                      <w:b/>
                      <w:bCs/>
                    </w:rPr>
                  </w:pPr>
                  <w:r>
                    <w:rPr>
                      <w:rFonts w:hint="eastAsia" w:ascii="Times New Roman" w:hAnsi="Times New Roman" w:cs="Times New Roman"/>
                      <w:b/>
                      <w:bCs/>
                    </w:rPr>
                    <w:t>规划要求</w:t>
                  </w:r>
                </w:p>
              </w:tc>
              <w:tc>
                <w:tcPr>
                  <w:tcW w:w="2407" w:type="dxa"/>
                  <w:vAlign w:val="center"/>
                </w:tcPr>
                <w:p w14:paraId="7AFAD76C">
                  <w:pPr>
                    <w:pStyle w:val="14"/>
                    <w:ind w:firstLine="0"/>
                    <w:jc w:val="center"/>
                    <w:rPr>
                      <w:rFonts w:ascii="Times New Roman" w:hAnsi="Times New Roman" w:cs="Times New Roman"/>
                      <w:b/>
                      <w:bCs/>
                    </w:rPr>
                  </w:pPr>
                  <w:r>
                    <w:rPr>
                      <w:rFonts w:hint="eastAsia" w:ascii="Times New Roman" w:hAnsi="Times New Roman" w:cs="Times New Roman"/>
                      <w:b/>
                      <w:bCs/>
                    </w:rPr>
                    <w:t>本项目情况</w:t>
                  </w:r>
                </w:p>
              </w:tc>
              <w:tc>
                <w:tcPr>
                  <w:tcW w:w="888" w:type="dxa"/>
                  <w:vAlign w:val="center"/>
                </w:tcPr>
                <w:p w14:paraId="56D7F84B">
                  <w:pPr>
                    <w:pStyle w:val="14"/>
                    <w:ind w:firstLine="0"/>
                    <w:jc w:val="center"/>
                    <w:rPr>
                      <w:rFonts w:ascii="Times New Roman" w:hAnsi="Times New Roman" w:cs="Times New Roman"/>
                      <w:b/>
                      <w:bCs/>
                    </w:rPr>
                  </w:pPr>
                  <w:r>
                    <w:rPr>
                      <w:rFonts w:hint="eastAsia" w:ascii="Times New Roman" w:hAnsi="Times New Roman" w:cs="Times New Roman"/>
                      <w:b/>
                      <w:bCs/>
                    </w:rPr>
                    <w:t>符合性</w:t>
                  </w:r>
                </w:p>
              </w:tc>
            </w:tr>
            <w:tr w14:paraId="7EDC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Align w:val="center"/>
                </w:tcPr>
                <w:p w14:paraId="3EA30A8A">
                  <w:pPr>
                    <w:pStyle w:val="14"/>
                    <w:ind w:firstLine="0"/>
                    <w:jc w:val="center"/>
                    <w:rPr>
                      <w:rFonts w:ascii="Times New Roman" w:hAnsi="Times New Roman" w:cs="Times New Roman"/>
                    </w:rPr>
                  </w:pPr>
                  <w:r>
                    <w:rPr>
                      <w:rFonts w:hint="eastAsia" w:ascii="Times New Roman" w:hAnsi="Times New Roman" w:cs="Times New Roman"/>
                    </w:rPr>
                    <w:t>1</w:t>
                  </w:r>
                </w:p>
              </w:tc>
              <w:tc>
                <w:tcPr>
                  <w:tcW w:w="3827" w:type="dxa"/>
                  <w:vAlign w:val="center"/>
                </w:tcPr>
                <w:p w14:paraId="1E5A9D41">
                  <w:pPr>
                    <w:pStyle w:val="14"/>
                    <w:ind w:firstLine="0"/>
                    <w:rPr>
                      <w:rFonts w:ascii="Times New Roman" w:hAnsi="Times New Roman" w:cs="Times New Roman"/>
                    </w:rPr>
                  </w:pPr>
                  <w:r>
                    <w:rPr>
                      <w:rFonts w:hint="eastAsia" w:ascii="Times New Roman" w:hAnsi="Times New Roman" w:cs="Times New Roman"/>
                    </w:rPr>
                    <w:t>各类非农建设选址布局尽量不占或少占耕地，特别是永久基本农田。确需占用的，必须做到补充耕地数量相等、质量相当、水田面积不减少，严禁占优补劣、占水田补旱地。严格认定新增耕地数量，科学评定新增耕地质量，确保新增耕地数量与建设占用耕地数量相当。</w:t>
                  </w:r>
                </w:p>
              </w:tc>
              <w:tc>
                <w:tcPr>
                  <w:tcW w:w="2407" w:type="dxa"/>
                  <w:vAlign w:val="center"/>
                </w:tcPr>
                <w:p w14:paraId="65E79718">
                  <w:pPr>
                    <w:pStyle w:val="14"/>
                    <w:ind w:firstLine="0"/>
                    <w:jc w:val="center"/>
                    <w:rPr>
                      <w:rFonts w:ascii="Times New Roman" w:hAnsi="Times New Roman" w:cs="Times New Roman"/>
                    </w:rPr>
                  </w:pPr>
                  <w:r>
                    <w:rPr>
                      <w:rFonts w:hint="eastAsia" w:ascii="Times New Roman" w:hAnsi="Times New Roman" w:cs="Times New Roman"/>
                    </w:rPr>
                    <w:t>本项目占用园地和草地，不涉及耕地。</w:t>
                  </w:r>
                </w:p>
              </w:tc>
              <w:tc>
                <w:tcPr>
                  <w:tcW w:w="888" w:type="dxa"/>
                  <w:vAlign w:val="center"/>
                </w:tcPr>
                <w:p w14:paraId="3A3610BF">
                  <w:pPr>
                    <w:pStyle w:val="14"/>
                    <w:ind w:firstLine="0"/>
                    <w:jc w:val="center"/>
                    <w:rPr>
                      <w:rFonts w:ascii="Times New Roman" w:hAnsi="Times New Roman" w:cs="Times New Roman"/>
                    </w:rPr>
                  </w:pPr>
                  <w:r>
                    <w:rPr>
                      <w:rFonts w:hint="eastAsia" w:ascii="Times New Roman" w:hAnsi="Times New Roman" w:cs="Times New Roman"/>
                    </w:rPr>
                    <w:t>符合</w:t>
                  </w:r>
                </w:p>
              </w:tc>
            </w:tr>
            <w:tr w14:paraId="6787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Align w:val="center"/>
                </w:tcPr>
                <w:p w14:paraId="5F7C616B">
                  <w:pPr>
                    <w:pStyle w:val="14"/>
                    <w:ind w:firstLine="0"/>
                    <w:jc w:val="center"/>
                    <w:rPr>
                      <w:rFonts w:ascii="Times New Roman" w:hAnsi="Times New Roman" w:cs="Times New Roman"/>
                    </w:rPr>
                  </w:pPr>
                  <w:r>
                    <w:rPr>
                      <w:rFonts w:hint="eastAsia" w:ascii="Times New Roman" w:hAnsi="Times New Roman" w:cs="Times New Roman"/>
                    </w:rPr>
                    <w:t>2</w:t>
                  </w:r>
                </w:p>
              </w:tc>
              <w:tc>
                <w:tcPr>
                  <w:tcW w:w="3827" w:type="dxa"/>
                </w:tcPr>
                <w:p w14:paraId="75D5478F">
                  <w:pPr>
                    <w:pStyle w:val="14"/>
                    <w:ind w:firstLine="0"/>
                    <w:rPr>
                      <w:rFonts w:ascii="Times New Roman" w:hAnsi="Times New Roman" w:cs="Times New Roman"/>
                    </w:rPr>
                  </w:pPr>
                  <w:r>
                    <w:rPr>
                      <w:rFonts w:hint="eastAsia" w:ascii="Times New Roman" w:hAnsi="Times New Roman" w:cs="Times New Roman"/>
                    </w:rPr>
                    <w:t>生态保护红线内自然保护地核心保护区原则上禁止人为活动；自然保护地核心保护区外，禁止开发性、生产性建设活动，在符合法律法规的前提下，允许对</w:t>
                  </w:r>
                  <w:bookmarkStart w:id="43" w:name="OLE_LINK80"/>
                  <w:r>
                    <w:rPr>
                      <w:rFonts w:hint="eastAsia" w:ascii="Times New Roman" w:hAnsi="Times New Roman" w:cs="Times New Roman"/>
                    </w:rPr>
                    <w:t>生态功能</w:t>
                  </w:r>
                  <w:bookmarkEnd w:id="43"/>
                  <w:r>
                    <w:rPr>
                      <w:rFonts w:hint="eastAsia" w:ascii="Times New Roman" w:hAnsi="Times New Roman" w:cs="Times New Roman"/>
                    </w:rPr>
                    <w:t>不造成破坏的有限人为活动。有限人为活动涉及生态保护红线内的自然保护地、饮用水水源保护区等区域，应符合现行相关法律法规相关规定和要求，并依法依规按程序取得相应职能部门的意见。除允许的有限人为活动之外，符合国家明确的、确需占用生态保护红线的国家重大项目，按照规定办理用地审批。</w:t>
                  </w:r>
                </w:p>
              </w:tc>
              <w:tc>
                <w:tcPr>
                  <w:tcW w:w="2407" w:type="dxa"/>
                  <w:vAlign w:val="center"/>
                </w:tcPr>
                <w:p w14:paraId="772190A7">
                  <w:pPr>
                    <w:pStyle w:val="14"/>
                    <w:ind w:firstLine="0"/>
                    <w:jc w:val="center"/>
                    <w:rPr>
                      <w:rFonts w:ascii="Times New Roman" w:hAnsi="Times New Roman" w:cs="Times New Roman"/>
                    </w:rPr>
                  </w:pPr>
                  <w:r>
                    <w:t>本项目</w:t>
                  </w:r>
                  <w:r>
                    <w:rPr>
                      <w:rFonts w:hint="eastAsia"/>
                    </w:rPr>
                    <w:t>占地</w:t>
                  </w:r>
                  <w:r>
                    <w:t>不涉及</w:t>
                  </w:r>
                  <w:r>
                    <w:rPr>
                      <w:rFonts w:hint="eastAsia"/>
                    </w:rPr>
                    <w:t>生态保护红线</w:t>
                  </w:r>
                  <w:r>
                    <w:t>。</w:t>
                  </w:r>
                  <w:r>
                    <w:rPr>
                      <w:rFonts w:hint="eastAsia"/>
                    </w:rPr>
                    <w:t>集电线路无害化跨越“金沙江下游-小江流域水土流失控制生态保护红线”，不对生态功能造成破坏。</w:t>
                  </w:r>
                </w:p>
              </w:tc>
              <w:tc>
                <w:tcPr>
                  <w:tcW w:w="888" w:type="dxa"/>
                  <w:vAlign w:val="center"/>
                </w:tcPr>
                <w:p w14:paraId="50C23FE8">
                  <w:pPr>
                    <w:pStyle w:val="14"/>
                    <w:ind w:firstLine="0"/>
                    <w:jc w:val="center"/>
                    <w:rPr>
                      <w:rFonts w:ascii="Times New Roman" w:hAnsi="Times New Roman" w:cs="Times New Roman"/>
                    </w:rPr>
                  </w:pPr>
                  <w:r>
                    <w:rPr>
                      <w:rFonts w:hint="eastAsia" w:ascii="Times New Roman" w:hAnsi="Times New Roman" w:cs="Times New Roman"/>
                    </w:rPr>
                    <w:t>符合</w:t>
                  </w:r>
                </w:p>
              </w:tc>
            </w:tr>
            <w:tr w14:paraId="5906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Align w:val="center"/>
                </w:tcPr>
                <w:p w14:paraId="2637B362">
                  <w:pPr>
                    <w:pStyle w:val="14"/>
                    <w:ind w:firstLine="0"/>
                    <w:jc w:val="center"/>
                    <w:rPr>
                      <w:rFonts w:ascii="Times New Roman" w:hAnsi="Times New Roman" w:cs="Times New Roman"/>
                    </w:rPr>
                  </w:pPr>
                  <w:r>
                    <w:rPr>
                      <w:rFonts w:hint="eastAsia" w:ascii="Times New Roman" w:hAnsi="Times New Roman" w:cs="Times New Roman"/>
                    </w:rPr>
                    <w:t>3</w:t>
                  </w:r>
                </w:p>
              </w:tc>
              <w:tc>
                <w:tcPr>
                  <w:tcW w:w="3827" w:type="dxa"/>
                </w:tcPr>
                <w:p w14:paraId="1496A5A2">
                  <w:pPr>
                    <w:pStyle w:val="14"/>
                    <w:ind w:firstLine="0"/>
                    <w:rPr>
                      <w:rFonts w:ascii="Times New Roman" w:hAnsi="Times New Roman" w:cs="Times New Roman"/>
                    </w:rPr>
                  </w:pPr>
                  <w:r>
                    <w:rPr>
                      <w:rFonts w:hint="eastAsia" w:ascii="Times New Roman" w:hAnsi="Times New Roman" w:cs="Times New Roman"/>
                    </w:rPr>
                    <w:t>结合自然资源分布特征，以点、线结合的方式保护候鸟迁飞廊道。加强大桥念湖－长海子候鸟迁飞通道保护，推进沿途生态廊道建设、湿地生态系统保护修复，加强森林植被恢复，采取水生植物底播、控制湿地水位等措施，改善候鸟迁徙、栖息环境，保障候鸟迁飞安全。积极支撑构建连接昭通大山包—曲靖会泽—威宁草海—昆明寻甸等候鸟越冬地廊道与栖息地体系，加强区域协作与整体保护，提升会泽黑颈鹤国家级自然保护区作为西南地区候鸟迁徙通道上重要停歇点、繁殖地和越冬地的作用。</w:t>
                  </w:r>
                </w:p>
              </w:tc>
              <w:tc>
                <w:tcPr>
                  <w:tcW w:w="2407" w:type="dxa"/>
                  <w:vAlign w:val="center"/>
                </w:tcPr>
                <w:p w14:paraId="320440FD">
                  <w:pPr>
                    <w:pStyle w:val="14"/>
                    <w:ind w:firstLine="0"/>
                    <w:jc w:val="center"/>
                    <w:rPr>
                      <w:rFonts w:ascii="Times New Roman" w:hAnsi="Times New Roman" w:cs="Times New Roman"/>
                    </w:rPr>
                  </w:pPr>
                  <w:r>
                    <w:rPr>
                      <w:rFonts w:hint="eastAsia" w:ascii="Times New Roman" w:hAnsi="Times New Roman" w:cs="Times New Roman"/>
                    </w:rPr>
                    <w:t>本项目不涉及云南省候鸟迁徙通道。</w:t>
                  </w:r>
                </w:p>
              </w:tc>
              <w:tc>
                <w:tcPr>
                  <w:tcW w:w="888" w:type="dxa"/>
                  <w:vAlign w:val="center"/>
                </w:tcPr>
                <w:p w14:paraId="56B13983">
                  <w:pPr>
                    <w:pStyle w:val="14"/>
                    <w:ind w:firstLine="0"/>
                    <w:jc w:val="center"/>
                    <w:rPr>
                      <w:rFonts w:ascii="Times New Roman" w:hAnsi="Times New Roman" w:cs="Times New Roman"/>
                    </w:rPr>
                  </w:pPr>
                  <w:r>
                    <w:rPr>
                      <w:rFonts w:hint="eastAsia" w:ascii="Times New Roman" w:hAnsi="Times New Roman" w:cs="Times New Roman"/>
                    </w:rPr>
                    <w:t>符合</w:t>
                  </w:r>
                </w:p>
              </w:tc>
            </w:tr>
            <w:tr w14:paraId="05AF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Align w:val="center"/>
                </w:tcPr>
                <w:p w14:paraId="0F468851">
                  <w:pPr>
                    <w:pStyle w:val="14"/>
                    <w:ind w:firstLine="0"/>
                    <w:jc w:val="center"/>
                    <w:rPr>
                      <w:rFonts w:ascii="Times New Roman" w:hAnsi="Times New Roman" w:cs="Times New Roman"/>
                    </w:rPr>
                  </w:pPr>
                  <w:r>
                    <w:rPr>
                      <w:rFonts w:hint="eastAsia" w:ascii="Times New Roman" w:hAnsi="Times New Roman" w:cs="Times New Roman"/>
                    </w:rPr>
                    <w:t>4</w:t>
                  </w:r>
                </w:p>
              </w:tc>
              <w:tc>
                <w:tcPr>
                  <w:tcW w:w="3827" w:type="dxa"/>
                </w:tcPr>
                <w:p w14:paraId="5F592E05">
                  <w:pPr>
                    <w:pStyle w:val="14"/>
                    <w:ind w:firstLine="0"/>
                    <w:rPr>
                      <w:rFonts w:ascii="Times New Roman" w:hAnsi="Times New Roman" w:cs="Times New Roman"/>
                    </w:rPr>
                  </w:pPr>
                  <w:r>
                    <w:rPr>
                      <w:rFonts w:hint="eastAsia" w:ascii="Times New Roman" w:hAnsi="Times New Roman" w:cs="Times New Roman"/>
                    </w:rPr>
                    <w:t>以小江、牛栏江、以礼河、硝厂河等自然河湖水系及毛家村、金乐、跃进、苏斗河等水库为基础，拓展水源调蓄空间，增蓄雨洪资源，提高城乡生产生活生态用水保障。加快推进娜姑红旗、新街炉墩、马路新山、驾车芹菜等水库建设，补齐工程性缺水短板，保障生活、生产、生态用水需求。加强毛家村、跃进、金钟龙潭3个城市集中式饮用水供水水源地和金乐、长海子等25个农村</w:t>
                  </w:r>
                  <w:bookmarkStart w:id="44" w:name="OLE_LINK81"/>
                  <w:r>
                    <w:rPr>
                      <w:rFonts w:hint="eastAsia" w:ascii="Times New Roman" w:hAnsi="Times New Roman" w:cs="Times New Roman"/>
                    </w:rPr>
                    <w:t>集中式饮用水水源地</w:t>
                  </w:r>
                  <w:bookmarkEnd w:id="44"/>
                  <w:r>
                    <w:rPr>
                      <w:rFonts w:hint="eastAsia" w:ascii="Times New Roman" w:hAnsi="Times New Roman" w:cs="Times New Roman"/>
                    </w:rPr>
                    <w:t>保护，优化取水口、排污口布局，控制入河湖污染物总量，保障水源地供水安全。</w:t>
                  </w:r>
                </w:p>
              </w:tc>
              <w:tc>
                <w:tcPr>
                  <w:tcW w:w="2407" w:type="dxa"/>
                  <w:vAlign w:val="center"/>
                </w:tcPr>
                <w:p w14:paraId="6DF099F2">
                  <w:pPr>
                    <w:pStyle w:val="14"/>
                    <w:ind w:firstLine="0"/>
                    <w:jc w:val="center"/>
                    <w:rPr>
                      <w:rFonts w:ascii="Times New Roman" w:hAnsi="Times New Roman" w:cs="Times New Roman"/>
                    </w:rPr>
                  </w:pPr>
                  <w:r>
                    <w:rPr>
                      <w:rFonts w:hint="eastAsia" w:ascii="Times New Roman" w:hAnsi="Times New Roman" w:cs="Times New Roman"/>
                    </w:rPr>
                    <w:t>本项目不涉及集中式饮用水水源地。</w:t>
                  </w:r>
                </w:p>
              </w:tc>
              <w:tc>
                <w:tcPr>
                  <w:tcW w:w="888" w:type="dxa"/>
                  <w:vAlign w:val="center"/>
                </w:tcPr>
                <w:p w14:paraId="19214631">
                  <w:pPr>
                    <w:pStyle w:val="14"/>
                    <w:ind w:firstLine="0"/>
                    <w:jc w:val="center"/>
                    <w:rPr>
                      <w:rFonts w:ascii="Times New Roman" w:hAnsi="Times New Roman" w:cs="Times New Roman"/>
                    </w:rPr>
                  </w:pPr>
                  <w:r>
                    <w:rPr>
                      <w:rFonts w:hint="eastAsia" w:ascii="Times New Roman" w:hAnsi="Times New Roman" w:cs="Times New Roman"/>
                    </w:rPr>
                    <w:t>符合</w:t>
                  </w:r>
                </w:p>
              </w:tc>
            </w:tr>
            <w:tr w14:paraId="5404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Align w:val="center"/>
                </w:tcPr>
                <w:p w14:paraId="5421BE02">
                  <w:pPr>
                    <w:pStyle w:val="14"/>
                    <w:ind w:firstLine="0"/>
                    <w:jc w:val="center"/>
                    <w:rPr>
                      <w:rFonts w:ascii="Times New Roman" w:hAnsi="Times New Roman" w:cs="Times New Roman"/>
                    </w:rPr>
                  </w:pPr>
                  <w:r>
                    <w:rPr>
                      <w:rFonts w:ascii="Times New Roman" w:hAnsi="Times New Roman" w:cs="Times New Roman"/>
                    </w:rPr>
                    <w:t>5</w:t>
                  </w:r>
                </w:p>
              </w:tc>
              <w:tc>
                <w:tcPr>
                  <w:tcW w:w="3827" w:type="dxa"/>
                </w:tcPr>
                <w:p w14:paraId="29366F0B">
                  <w:pPr>
                    <w:pStyle w:val="14"/>
                    <w:ind w:firstLine="0"/>
                    <w:rPr>
                      <w:rFonts w:ascii="Times New Roman" w:hAnsi="Times New Roman" w:cs="Times New Roman"/>
                    </w:rPr>
                  </w:pPr>
                  <w:r>
                    <w:rPr>
                      <w:rFonts w:hint="eastAsia" w:ascii="Times New Roman" w:hAnsi="Times New Roman" w:cs="Times New Roman"/>
                    </w:rPr>
                    <w:t>保护以会泽黑颈鹤国家级自然保护区、金钟山森林公园为核心的生态功能和自然景观。保护以大海草山、牛栏江、雨碌大地缝、以礼大峡谷为主的自然景观完整性。由自然保护区、自然公园、自然景观共同塑造会泽高原草甸峡谷的自然景观特色。</w:t>
                  </w:r>
                </w:p>
              </w:tc>
              <w:tc>
                <w:tcPr>
                  <w:tcW w:w="2407" w:type="dxa"/>
                  <w:vAlign w:val="center"/>
                </w:tcPr>
                <w:p w14:paraId="3010538C">
                  <w:pPr>
                    <w:pStyle w:val="14"/>
                    <w:ind w:firstLine="0"/>
                    <w:jc w:val="center"/>
                    <w:rPr>
                      <w:rFonts w:ascii="Times New Roman" w:hAnsi="Times New Roman" w:cs="Times New Roman"/>
                    </w:rPr>
                  </w:pPr>
                  <w:r>
                    <w:rPr>
                      <w:rFonts w:hint="eastAsia" w:ascii="Times New Roman" w:hAnsi="Times New Roman" w:cs="Times New Roman"/>
                    </w:rPr>
                    <w:t>本项目不涉及自然保护地。</w:t>
                  </w:r>
                </w:p>
              </w:tc>
              <w:tc>
                <w:tcPr>
                  <w:tcW w:w="888" w:type="dxa"/>
                  <w:vAlign w:val="center"/>
                </w:tcPr>
                <w:p w14:paraId="0BEA7CFF">
                  <w:pPr>
                    <w:pStyle w:val="14"/>
                    <w:ind w:firstLine="0"/>
                    <w:jc w:val="center"/>
                    <w:rPr>
                      <w:rFonts w:ascii="Times New Roman" w:hAnsi="Times New Roman" w:cs="Times New Roman"/>
                    </w:rPr>
                  </w:pPr>
                  <w:r>
                    <w:rPr>
                      <w:rFonts w:hint="eastAsia" w:ascii="Times New Roman" w:hAnsi="Times New Roman" w:cs="Times New Roman"/>
                    </w:rPr>
                    <w:t>符合</w:t>
                  </w:r>
                </w:p>
              </w:tc>
            </w:tr>
            <w:tr w14:paraId="75DF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Align w:val="center"/>
                </w:tcPr>
                <w:p w14:paraId="2AFCBCD8">
                  <w:pPr>
                    <w:pStyle w:val="14"/>
                    <w:ind w:firstLine="0"/>
                    <w:jc w:val="center"/>
                    <w:rPr>
                      <w:rFonts w:ascii="Times New Roman" w:hAnsi="Times New Roman" w:cs="Times New Roman"/>
                    </w:rPr>
                  </w:pPr>
                  <w:r>
                    <w:rPr>
                      <w:rFonts w:ascii="Times New Roman" w:hAnsi="Times New Roman" w:cs="Times New Roman"/>
                    </w:rPr>
                    <w:t>6</w:t>
                  </w:r>
                </w:p>
              </w:tc>
              <w:tc>
                <w:tcPr>
                  <w:tcW w:w="3827" w:type="dxa"/>
                </w:tcPr>
                <w:p w14:paraId="52FC25FF">
                  <w:pPr>
                    <w:pStyle w:val="14"/>
                    <w:ind w:firstLine="0"/>
                    <w:rPr>
                      <w:rFonts w:ascii="Times New Roman" w:hAnsi="Times New Roman" w:cs="Times New Roman"/>
                    </w:rPr>
                  </w:pPr>
                  <w:r>
                    <w:rPr>
                      <w:rFonts w:hint="eastAsia" w:ascii="Times New Roman" w:hAnsi="Times New Roman" w:cs="Times New Roman"/>
                    </w:rPr>
                    <w:t>充分利用荒山、荒坡等未利用地，建设农光、林光、畜光互补光伏电站，支持建设以“自发自用”为主要方式的分布式光伏发电，鼓励建设建筑屋顶光伏发电，规划建设集中式光伏发电站50余座。</w:t>
                  </w:r>
                </w:p>
              </w:tc>
              <w:tc>
                <w:tcPr>
                  <w:tcW w:w="2407" w:type="dxa"/>
                  <w:vAlign w:val="center"/>
                </w:tcPr>
                <w:p w14:paraId="449999B6">
                  <w:pPr>
                    <w:pStyle w:val="14"/>
                    <w:ind w:firstLine="0"/>
                    <w:jc w:val="center"/>
                    <w:rPr>
                      <w:rFonts w:hint="eastAsia" w:ascii="Times New Roman" w:hAnsi="Times New Roman" w:cs="Times New Roman"/>
                    </w:rPr>
                  </w:pPr>
                  <w:r>
                    <w:rPr>
                      <w:rFonts w:hint="eastAsia" w:ascii="Times New Roman" w:hAnsi="Times New Roman" w:cs="Times New Roman"/>
                    </w:rPr>
                    <w:t>项目为分布式光伏发电项目。</w:t>
                  </w:r>
                </w:p>
              </w:tc>
              <w:tc>
                <w:tcPr>
                  <w:tcW w:w="888" w:type="dxa"/>
                  <w:vAlign w:val="center"/>
                </w:tcPr>
                <w:p w14:paraId="5BDDE8D8">
                  <w:pPr>
                    <w:pStyle w:val="14"/>
                    <w:ind w:firstLine="0"/>
                    <w:jc w:val="center"/>
                    <w:rPr>
                      <w:rFonts w:ascii="Times New Roman" w:hAnsi="Times New Roman" w:cs="Times New Roman"/>
                    </w:rPr>
                  </w:pPr>
                  <w:r>
                    <w:rPr>
                      <w:rFonts w:hint="eastAsia" w:ascii="Times New Roman" w:hAnsi="Times New Roman" w:cs="Times New Roman"/>
                    </w:rPr>
                    <w:t>符合</w:t>
                  </w:r>
                </w:p>
              </w:tc>
            </w:tr>
          </w:tbl>
          <w:p w14:paraId="6C6EA0E9">
            <w:pPr>
              <w:spacing w:line="360" w:lineRule="auto"/>
              <w:rPr>
                <w:b/>
                <w:bCs/>
                <w:sz w:val="24"/>
                <w:szCs w:val="24"/>
              </w:rPr>
            </w:pPr>
            <w:r>
              <w:rPr>
                <w:rFonts w:hint="eastAsia"/>
                <w:snapToGrid w:val="0"/>
                <w:color w:val="000000"/>
                <w:kern w:val="0"/>
                <w:sz w:val="24"/>
              </w:rPr>
              <w:t>综上，本项目建设与会泽县国土空间总体规划（2021-2035年）》（节选）相符。</w:t>
            </w:r>
          </w:p>
          <w:p w14:paraId="02DB2209">
            <w:pPr>
              <w:spacing w:line="360" w:lineRule="auto"/>
              <w:rPr>
                <w:rFonts w:hint="eastAsia"/>
                <w:b/>
                <w:bCs/>
                <w:sz w:val="24"/>
                <w:szCs w:val="24"/>
              </w:rPr>
            </w:pPr>
            <w:r>
              <w:rPr>
                <w:rFonts w:hint="eastAsia"/>
                <w:b/>
                <w:bCs/>
                <w:sz w:val="24"/>
                <w:szCs w:val="24"/>
              </w:rPr>
              <w:t>1.2.1</w:t>
            </w:r>
            <w:r>
              <w:rPr>
                <w:b/>
                <w:bCs/>
                <w:sz w:val="24"/>
                <w:szCs w:val="24"/>
              </w:rPr>
              <w:t>6</w:t>
            </w:r>
            <w:r>
              <w:rPr>
                <w:rFonts w:hint="eastAsia"/>
                <w:b/>
                <w:bCs/>
                <w:sz w:val="24"/>
                <w:szCs w:val="24"/>
              </w:rPr>
              <w:t xml:space="preserve"> 与《输变电建设项目环境保护技术要求》（</w:t>
            </w:r>
            <w:r>
              <w:rPr>
                <w:b/>
                <w:bCs/>
                <w:sz w:val="24"/>
                <w:szCs w:val="24"/>
              </w:rPr>
              <w:t>HJ 1113-20</w:t>
            </w:r>
            <w:r>
              <w:rPr>
                <w:rFonts w:hint="eastAsia"/>
                <w:b/>
                <w:bCs/>
                <w:sz w:val="24"/>
                <w:szCs w:val="24"/>
              </w:rPr>
              <w:t>20）的符合性分析</w:t>
            </w:r>
          </w:p>
          <w:p w14:paraId="04C2D2E5">
            <w:pPr>
              <w:autoSpaceDE w:val="0"/>
              <w:autoSpaceDN w:val="0"/>
              <w:adjustRightInd w:val="0"/>
              <w:snapToGrid w:val="0"/>
              <w:spacing w:line="360" w:lineRule="auto"/>
              <w:ind w:firstLine="480" w:firstLineChars="200"/>
              <w:rPr>
                <w:sz w:val="24"/>
              </w:rPr>
            </w:pPr>
            <w:r>
              <w:rPr>
                <w:rFonts w:hint="eastAsia"/>
                <w:sz w:val="24"/>
              </w:rPr>
              <w:t>本项目建设工程不含送出线路，本项目在设计、施工、运行阶段均提出了相应的环境保护措施要求，推动环境保护“三同时”制度的落实，项目与《输变电建设项目环境保护技术要求》</w:t>
            </w:r>
            <w:r>
              <w:rPr>
                <w:sz w:val="24"/>
              </w:rPr>
              <w:t>（HJ</w:t>
            </w:r>
            <w:r>
              <w:rPr>
                <w:rFonts w:hint="eastAsia"/>
                <w:sz w:val="24"/>
              </w:rPr>
              <w:t xml:space="preserve"> </w:t>
            </w:r>
            <w:r>
              <w:rPr>
                <w:sz w:val="24"/>
              </w:rPr>
              <w:t>1113-2020）</w:t>
            </w:r>
            <w:r>
              <w:rPr>
                <w:rFonts w:hint="eastAsia"/>
                <w:sz w:val="24"/>
              </w:rPr>
              <w:t>的相关规定符合性见下表。</w:t>
            </w:r>
          </w:p>
          <w:p w14:paraId="13CF3D0B">
            <w:pPr>
              <w:pStyle w:val="219"/>
              <w:spacing w:before="0" w:beforeLines="0"/>
              <w:rPr>
                <w:sz w:val="24"/>
                <w:szCs w:val="24"/>
              </w:rPr>
            </w:pPr>
            <w:r>
              <w:rPr>
                <w:sz w:val="24"/>
                <w:szCs w:val="24"/>
              </w:rPr>
              <w:t>表1</w:t>
            </w:r>
            <w:r>
              <w:rPr>
                <w:rFonts w:hint="eastAsia"/>
                <w:sz w:val="24"/>
                <w:szCs w:val="24"/>
              </w:rPr>
              <w:t>.2.1</w:t>
            </w:r>
            <w:r>
              <w:rPr>
                <w:sz w:val="24"/>
                <w:szCs w:val="24"/>
              </w:rPr>
              <w:t>6-</w:t>
            </w:r>
            <w:r>
              <w:rPr>
                <w:rFonts w:hint="eastAsia"/>
                <w:sz w:val="24"/>
                <w:szCs w:val="24"/>
              </w:rPr>
              <w:t xml:space="preserve">1  </w:t>
            </w:r>
            <w:r>
              <w:rPr>
                <w:sz w:val="24"/>
                <w:szCs w:val="24"/>
              </w:rPr>
              <w:t>与《输变电建设项目环境保护技术要求》的符合性分析</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046"/>
              <w:gridCol w:w="3004"/>
              <w:gridCol w:w="2469"/>
              <w:gridCol w:w="946"/>
            </w:tblGrid>
            <w:tr w14:paraId="60A6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Align w:val="center"/>
                </w:tcPr>
                <w:p w14:paraId="287DF35D">
                  <w:pPr>
                    <w:autoSpaceDE w:val="0"/>
                    <w:autoSpaceDN w:val="0"/>
                    <w:adjustRightInd w:val="0"/>
                    <w:snapToGrid w:val="0"/>
                    <w:jc w:val="center"/>
                    <w:rPr>
                      <w:b/>
                      <w:bCs/>
                    </w:rPr>
                  </w:pPr>
                  <w:r>
                    <w:rPr>
                      <w:rFonts w:hint="eastAsia"/>
                      <w:b/>
                      <w:bCs/>
                    </w:rPr>
                    <w:t>序号</w:t>
                  </w:r>
                </w:p>
              </w:tc>
              <w:tc>
                <w:tcPr>
                  <w:tcW w:w="654" w:type="pct"/>
                  <w:vAlign w:val="center"/>
                </w:tcPr>
                <w:p w14:paraId="193AA76C">
                  <w:pPr>
                    <w:autoSpaceDE w:val="0"/>
                    <w:autoSpaceDN w:val="0"/>
                    <w:adjustRightInd w:val="0"/>
                    <w:snapToGrid w:val="0"/>
                    <w:jc w:val="center"/>
                    <w:rPr>
                      <w:b/>
                      <w:bCs/>
                    </w:rPr>
                  </w:pPr>
                  <w:r>
                    <w:rPr>
                      <w:b/>
                      <w:bCs/>
                    </w:rPr>
                    <w:t>内容</w:t>
                  </w:r>
                </w:p>
              </w:tc>
              <w:tc>
                <w:tcPr>
                  <w:tcW w:w="1877" w:type="pct"/>
                  <w:vAlign w:val="center"/>
                </w:tcPr>
                <w:p w14:paraId="5AE97E24">
                  <w:pPr>
                    <w:autoSpaceDE w:val="0"/>
                    <w:autoSpaceDN w:val="0"/>
                    <w:adjustRightInd w:val="0"/>
                    <w:snapToGrid w:val="0"/>
                    <w:jc w:val="center"/>
                    <w:rPr>
                      <w:b/>
                      <w:bCs/>
                    </w:rPr>
                  </w:pPr>
                  <w:r>
                    <w:rPr>
                      <w:rFonts w:hint="eastAsia"/>
                      <w:b/>
                      <w:bCs/>
                    </w:rPr>
                    <w:t>相关</w:t>
                  </w:r>
                  <w:r>
                    <w:rPr>
                      <w:b/>
                      <w:bCs/>
                    </w:rPr>
                    <w:t>要求</w:t>
                  </w:r>
                </w:p>
              </w:tc>
              <w:tc>
                <w:tcPr>
                  <w:tcW w:w="1543" w:type="pct"/>
                  <w:vAlign w:val="center"/>
                </w:tcPr>
                <w:p w14:paraId="684AFD79">
                  <w:pPr>
                    <w:autoSpaceDE w:val="0"/>
                    <w:autoSpaceDN w:val="0"/>
                    <w:adjustRightInd w:val="0"/>
                    <w:snapToGrid w:val="0"/>
                    <w:jc w:val="center"/>
                    <w:rPr>
                      <w:rFonts w:hint="eastAsia"/>
                      <w:b/>
                      <w:bCs/>
                    </w:rPr>
                  </w:pPr>
                  <w:r>
                    <w:rPr>
                      <w:b/>
                      <w:bCs/>
                      <w:snapToGrid w:val="0"/>
                      <w:color w:val="000000"/>
                      <w:kern w:val="0"/>
                    </w:rPr>
                    <w:t>项目情况</w:t>
                  </w:r>
                </w:p>
              </w:tc>
              <w:tc>
                <w:tcPr>
                  <w:tcW w:w="591" w:type="pct"/>
                  <w:vAlign w:val="center"/>
                </w:tcPr>
                <w:p w14:paraId="1BDE033C">
                  <w:pPr>
                    <w:autoSpaceDE w:val="0"/>
                    <w:autoSpaceDN w:val="0"/>
                    <w:adjustRightInd w:val="0"/>
                    <w:snapToGrid w:val="0"/>
                    <w:jc w:val="center"/>
                    <w:rPr>
                      <w:b/>
                      <w:bCs/>
                    </w:rPr>
                  </w:pPr>
                  <w:r>
                    <w:rPr>
                      <w:rFonts w:hint="eastAsia"/>
                      <w:b/>
                      <w:bCs/>
                    </w:rPr>
                    <w:t>符合性</w:t>
                  </w:r>
                </w:p>
              </w:tc>
            </w:tr>
            <w:tr w14:paraId="1585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Merge w:val="restart"/>
                  <w:vAlign w:val="center"/>
                </w:tcPr>
                <w:p w14:paraId="279F815F">
                  <w:pPr>
                    <w:autoSpaceDE w:val="0"/>
                    <w:autoSpaceDN w:val="0"/>
                    <w:adjustRightInd w:val="0"/>
                    <w:snapToGrid w:val="0"/>
                    <w:jc w:val="center"/>
                  </w:pPr>
                  <w:r>
                    <w:rPr>
                      <w:rFonts w:hint="eastAsia"/>
                    </w:rPr>
                    <w:t>1</w:t>
                  </w:r>
                </w:p>
              </w:tc>
              <w:tc>
                <w:tcPr>
                  <w:tcW w:w="654" w:type="pct"/>
                  <w:vMerge w:val="restart"/>
                  <w:vAlign w:val="center"/>
                </w:tcPr>
                <w:p w14:paraId="100FAEAA">
                  <w:pPr>
                    <w:autoSpaceDE w:val="0"/>
                    <w:autoSpaceDN w:val="0"/>
                    <w:adjustRightInd w:val="0"/>
                    <w:snapToGrid w:val="0"/>
                    <w:jc w:val="center"/>
                  </w:pPr>
                  <w:r>
                    <w:rPr>
                      <w:rFonts w:hint="eastAsia"/>
                    </w:rPr>
                    <w:t>选址选线</w:t>
                  </w:r>
                </w:p>
              </w:tc>
              <w:tc>
                <w:tcPr>
                  <w:tcW w:w="1877" w:type="pct"/>
                  <w:vAlign w:val="center"/>
                </w:tcPr>
                <w:p w14:paraId="4F6DB61A">
                  <w:pPr>
                    <w:autoSpaceDE w:val="0"/>
                    <w:autoSpaceDN w:val="0"/>
                    <w:adjustRightInd w:val="0"/>
                    <w:snapToGrid w:val="0"/>
                  </w:pPr>
                  <w:r>
                    <w:rPr>
                      <w:rFonts w:hint="eastAsia"/>
                    </w:rPr>
                    <w:t>输变电建设项目选址选线应符合生态保护红线管控要求，避让自然保护区、饮用水水源保护区等环境敏感区。</w:t>
                  </w:r>
                </w:p>
              </w:tc>
              <w:tc>
                <w:tcPr>
                  <w:tcW w:w="1543" w:type="pct"/>
                  <w:vAlign w:val="center"/>
                </w:tcPr>
                <w:p w14:paraId="2DBB83B9">
                  <w:pPr>
                    <w:adjustRightInd w:val="0"/>
                    <w:snapToGrid w:val="0"/>
                  </w:pPr>
                  <w:r>
                    <w:rPr>
                      <w:rFonts w:hint="eastAsia"/>
                    </w:rPr>
                    <w:t>本项目送出输电线路位于以礼河三级电站厂界内，不涉及会泽县生态保护红线、饮用水水源保护区、自然保护区。同时项目已取得了会泽县自然资源局、水务局、林业和草原局、曲靖市生态环境局会泽分局同意选址建设的意见。</w:t>
                  </w:r>
                </w:p>
              </w:tc>
              <w:tc>
                <w:tcPr>
                  <w:tcW w:w="591" w:type="pct"/>
                  <w:vAlign w:val="center"/>
                </w:tcPr>
                <w:p w14:paraId="47ED4703">
                  <w:pPr>
                    <w:autoSpaceDE w:val="0"/>
                    <w:autoSpaceDN w:val="0"/>
                    <w:adjustRightInd w:val="0"/>
                    <w:snapToGrid w:val="0"/>
                    <w:jc w:val="center"/>
                  </w:pPr>
                  <w:r>
                    <w:rPr>
                      <w:rFonts w:hint="eastAsia"/>
                    </w:rPr>
                    <w:t>符合</w:t>
                  </w:r>
                </w:p>
              </w:tc>
            </w:tr>
            <w:tr w14:paraId="4EE0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Merge w:val="continue"/>
                  <w:vAlign w:val="center"/>
                </w:tcPr>
                <w:p w14:paraId="156D2509">
                  <w:pPr>
                    <w:autoSpaceDE w:val="0"/>
                    <w:autoSpaceDN w:val="0"/>
                    <w:adjustRightInd w:val="0"/>
                    <w:snapToGrid w:val="0"/>
                    <w:jc w:val="center"/>
                  </w:pPr>
                </w:p>
              </w:tc>
              <w:tc>
                <w:tcPr>
                  <w:tcW w:w="654" w:type="pct"/>
                  <w:vMerge w:val="continue"/>
                  <w:vAlign w:val="center"/>
                </w:tcPr>
                <w:p w14:paraId="7920F3F1">
                  <w:pPr>
                    <w:autoSpaceDE w:val="0"/>
                    <w:autoSpaceDN w:val="0"/>
                    <w:adjustRightInd w:val="0"/>
                    <w:snapToGrid w:val="0"/>
                    <w:jc w:val="center"/>
                  </w:pPr>
                </w:p>
              </w:tc>
              <w:tc>
                <w:tcPr>
                  <w:tcW w:w="1877" w:type="pct"/>
                  <w:vAlign w:val="center"/>
                </w:tcPr>
                <w:p w14:paraId="6F773617">
                  <w:pPr>
                    <w:autoSpaceDE w:val="0"/>
                    <w:autoSpaceDN w:val="0"/>
                    <w:adjustRightInd w:val="0"/>
                    <w:snapToGrid w:val="0"/>
                  </w:pPr>
                  <w:r>
                    <w:rPr>
                      <w:rFonts w:hint="eastAsia"/>
                    </w:rPr>
                    <w:t>变电工程在选址时应按终期规模综合考虑进出线走廊规划，避免进出线进入自然保护区、饮用水水源保护区等环境敏感区。</w:t>
                  </w:r>
                </w:p>
              </w:tc>
              <w:tc>
                <w:tcPr>
                  <w:tcW w:w="1543" w:type="pct"/>
                  <w:vAlign w:val="center"/>
                </w:tcPr>
                <w:p w14:paraId="1E6486EF">
                  <w:pPr>
                    <w:autoSpaceDE w:val="0"/>
                    <w:autoSpaceDN w:val="0"/>
                    <w:adjustRightInd w:val="0"/>
                    <w:snapToGrid w:val="0"/>
                  </w:pPr>
                  <w:r>
                    <w:rPr>
                      <w:rFonts w:hint="eastAsia"/>
                    </w:rPr>
                    <w:t>选址不涉及自然保护区、饮用水水源保护区等环境敏感区。</w:t>
                  </w:r>
                </w:p>
              </w:tc>
              <w:tc>
                <w:tcPr>
                  <w:tcW w:w="591" w:type="pct"/>
                  <w:vAlign w:val="center"/>
                </w:tcPr>
                <w:p w14:paraId="508AB025">
                  <w:pPr>
                    <w:autoSpaceDE w:val="0"/>
                    <w:autoSpaceDN w:val="0"/>
                    <w:adjustRightInd w:val="0"/>
                    <w:snapToGrid w:val="0"/>
                    <w:jc w:val="center"/>
                  </w:pPr>
                  <w:r>
                    <w:rPr>
                      <w:rFonts w:hint="eastAsia"/>
                    </w:rPr>
                    <w:t>符合</w:t>
                  </w:r>
                </w:p>
              </w:tc>
            </w:tr>
            <w:tr w14:paraId="7441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Merge w:val="continue"/>
                  <w:vAlign w:val="center"/>
                </w:tcPr>
                <w:p w14:paraId="6014D4F1">
                  <w:pPr>
                    <w:autoSpaceDE w:val="0"/>
                    <w:autoSpaceDN w:val="0"/>
                    <w:adjustRightInd w:val="0"/>
                    <w:snapToGrid w:val="0"/>
                    <w:jc w:val="center"/>
                  </w:pPr>
                </w:p>
              </w:tc>
              <w:tc>
                <w:tcPr>
                  <w:tcW w:w="654" w:type="pct"/>
                  <w:vMerge w:val="continue"/>
                  <w:vAlign w:val="center"/>
                </w:tcPr>
                <w:p w14:paraId="2BDB0ACA">
                  <w:pPr>
                    <w:autoSpaceDE w:val="0"/>
                    <w:autoSpaceDN w:val="0"/>
                    <w:adjustRightInd w:val="0"/>
                    <w:snapToGrid w:val="0"/>
                    <w:jc w:val="center"/>
                  </w:pPr>
                </w:p>
              </w:tc>
              <w:tc>
                <w:tcPr>
                  <w:tcW w:w="1877" w:type="pct"/>
                  <w:vAlign w:val="center"/>
                </w:tcPr>
                <w:p w14:paraId="01741B59">
                  <w:pPr>
                    <w:autoSpaceDE w:val="0"/>
                    <w:autoSpaceDN w:val="0"/>
                    <w:adjustRightInd w:val="0"/>
                    <w:snapToGrid w:val="0"/>
                  </w:pPr>
                  <w:r>
                    <w:rPr>
                      <w:rFonts w:hint="eastAsia"/>
                    </w:rPr>
                    <w:t>外变电工程及规划架空进出线选址选线时，应关注以居住、医疗卫生、文化教育、科研、行政办公等为主要功能的区域，采取综合措施，减少电磁和声环境影响。</w:t>
                  </w:r>
                </w:p>
              </w:tc>
              <w:tc>
                <w:tcPr>
                  <w:tcW w:w="1543" w:type="pct"/>
                  <w:vAlign w:val="center"/>
                </w:tcPr>
                <w:p w14:paraId="29736BE4">
                  <w:pPr>
                    <w:autoSpaceDE w:val="0"/>
                    <w:autoSpaceDN w:val="0"/>
                    <w:adjustRightInd w:val="0"/>
                    <w:snapToGrid w:val="0"/>
                  </w:pPr>
                  <w:r>
                    <w:rPr>
                      <w:rFonts w:hint="eastAsia"/>
                    </w:rPr>
                    <w:t>本项目送出输电线路位于以礼河三级电站厂界内，不涉及电磁环境敏感区。</w:t>
                  </w:r>
                </w:p>
              </w:tc>
              <w:tc>
                <w:tcPr>
                  <w:tcW w:w="591" w:type="pct"/>
                  <w:vAlign w:val="center"/>
                </w:tcPr>
                <w:p w14:paraId="51A96B46">
                  <w:pPr>
                    <w:autoSpaceDE w:val="0"/>
                    <w:autoSpaceDN w:val="0"/>
                    <w:adjustRightInd w:val="0"/>
                    <w:snapToGrid w:val="0"/>
                    <w:jc w:val="center"/>
                  </w:pPr>
                  <w:r>
                    <w:rPr>
                      <w:rFonts w:hint="eastAsia"/>
                    </w:rPr>
                    <w:t>符合</w:t>
                  </w:r>
                </w:p>
              </w:tc>
            </w:tr>
            <w:tr w14:paraId="3249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Align w:val="center"/>
                </w:tcPr>
                <w:p w14:paraId="5CBA0121">
                  <w:pPr>
                    <w:autoSpaceDE w:val="0"/>
                    <w:autoSpaceDN w:val="0"/>
                    <w:adjustRightInd w:val="0"/>
                    <w:snapToGrid w:val="0"/>
                    <w:jc w:val="center"/>
                  </w:pPr>
                  <w:r>
                    <w:rPr>
                      <w:rFonts w:hint="eastAsia"/>
                    </w:rPr>
                    <w:t>2</w:t>
                  </w:r>
                </w:p>
              </w:tc>
              <w:tc>
                <w:tcPr>
                  <w:tcW w:w="654" w:type="pct"/>
                  <w:vAlign w:val="center"/>
                </w:tcPr>
                <w:p w14:paraId="384758B7">
                  <w:pPr>
                    <w:autoSpaceDE w:val="0"/>
                    <w:autoSpaceDN w:val="0"/>
                    <w:adjustRightInd w:val="0"/>
                    <w:snapToGrid w:val="0"/>
                    <w:jc w:val="center"/>
                  </w:pPr>
                  <w:r>
                    <w:rPr>
                      <w:rFonts w:hint="eastAsia"/>
                    </w:rPr>
                    <w:t>设计——总体要求</w:t>
                  </w:r>
                </w:p>
              </w:tc>
              <w:tc>
                <w:tcPr>
                  <w:tcW w:w="1877" w:type="pct"/>
                  <w:vAlign w:val="center"/>
                </w:tcPr>
                <w:p w14:paraId="4AA73B1E">
                  <w:pPr>
                    <w:autoSpaceDE w:val="0"/>
                    <w:autoSpaceDN w:val="0"/>
                    <w:adjustRightInd w:val="0"/>
                    <w:snapToGrid w:val="0"/>
                  </w:pPr>
                  <w:r>
                    <w:rPr>
                      <w:rFonts w:hint="eastAsia"/>
                    </w:rPr>
                    <w:t>变电工程应设置足够容量的事故油池及其配套的拦截、防雨、防渗等措施和设施。一旦发生泄漏，应能及时进行拦截和处理，确保油及油水混合物全部收集、不外排。</w:t>
                  </w:r>
                </w:p>
              </w:tc>
              <w:tc>
                <w:tcPr>
                  <w:tcW w:w="1543" w:type="pct"/>
                  <w:vAlign w:val="center"/>
                </w:tcPr>
                <w:p w14:paraId="0CC5F5BD">
                  <w:pPr>
                    <w:autoSpaceDE w:val="0"/>
                    <w:autoSpaceDN w:val="0"/>
                    <w:adjustRightInd w:val="0"/>
                    <w:snapToGrid w:val="0"/>
                  </w:pPr>
                  <w:r>
                    <w:rPr>
                      <w:rFonts w:hint="eastAsia"/>
                    </w:rPr>
                    <w:t>项目箱变、主变下方设置集油坑、事故油池并提出了防渗要求。</w:t>
                  </w:r>
                </w:p>
              </w:tc>
              <w:tc>
                <w:tcPr>
                  <w:tcW w:w="591" w:type="pct"/>
                  <w:vAlign w:val="center"/>
                </w:tcPr>
                <w:p w14:paraId="6F3D4327">
                  <w:pPr>
                    <w:autoSpaceDE w:val="0"/>
                    <w:autoSpaceDN w:val="0"/>
                    <w:adjustRightInd w:val="0"/>
                    <w:snapToGrid w:val="0"/>
                    <w:jc w:val="center"/>
                  </w:pPr>
                  <w:r>
                    <w:rPr>
                      <w:rFonts w:hint="eastAsia"/>
                    </w:rPr>
                    <w:t>符合</w:t>
                  </w:r>
                </w:p>
              </w:tc>
            </w:tr>
            <w:tr w14:paraId="0871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Align w:val="center"/>
                </w:tcPr>
                <w:p w14:paraId="01F7B2EE">
                  <w:pPr>
                    <w:autoSpaceDE w:val="0"/>
                    <w:autoSpaceDN w:val="0"/>
                    <w:adjustRightInd w:val="0"/>
                    <w:snapToGrid w:val="0"/>
                    <w:jc w:val="center"/>
                  </w:pPr>
                  <w:r>
                    <w:rPr>
                      <w:rFonts w:hint="eastAsia"/>
                    </w:rPr>
                    <w:t>3</w:t>
                  </w:r>
                </w:p>
              </w:tc>
              <w:tc>
                <w:tcPr>
                  <w:tcW w:w="654" w:type="pct"/>
                  <w:vAlign w:val="center"/>
                </w:tcPr>
                <w:p w14:paraId="3E6D9806">
                  <w:pPr>
                    <w:autoSpaceDE w:val="0"/>
                    <w:autoSpaceDN w:val="0"/>
                    <w:adjustRightInd w:val="0"/>
                    <w:snapToGrid w:val="0"/>
                    <w:jc w:val="center"/>
                  </w:pPr>
                  <w:r>
                    <w:rPr>
                      <w:rFonts w:hint="eastAsia"/>
                    </w:rPr>
                    <w:t>设计——电磁环境保护</w:t>
                  </w:r>
                </w:p>
              </w:tc>
              <w:tc>
                <w:tcPr>
                  <w:tcW w:w="1877" w:type="pct"/>
                  <w:vAlign w:val="center"/>
                </w:tcPr>
                <w:p w14:paraId="53E9F935">
                  <w:pPr>
                    <w:autoSpaceDE w:val="0"/>
                    <w:autoSpaceDN w:val="0"/>
                    <w:adjustRightInd w:val="0"/>
                    <w:snapToGrid w:val="0"/>
                  </w:pPr>
                  <w:r>
                    <w:rPr>
                      <w:rFonts w:hint="eastAsia"/>
                    </w:rPr>
                    <w:t>工程设计应对产生的工频电场、工频磁场等电磁环境影响因子进行验算，采取相应防护措施，确保电磁环境影响满足国家标准要求。</w:t>
                  </w:r>
                </w:p>
              </w:tc>
              <w:tc>
                <w:tcPr>
                  <w:tcW w:w="1543" w:type="pct"/>
                  <w:vAlign w:val="center"/>
                </w:tcPr>
                <w:p w14:paraId="5F104EAA">
                  <w:pPr>
                    <w:autoSpaceDE w:val="0"/>
                    <w:autoSpaceDN w:val="0"/>
                    <w:adjustRightInd w:val="0"/>
                    <w:snapToGrid w:val="0"/>
                  </w:pPr>
                  <w:r>
                    <w:rPr>
                      <w:rFonts w:hint="eastAsia"/>
                    </w:rPr>
                    <w:t>经类比分析，项目产生的工频电场、工频磁场等电磁环境影响满足国家标准要求。</w:t>
                  </w:r>
                </w:p>
              </w:tc>
              <w:tc>
                <w:tcPr>
                  <w:tcW w:w="591" w:type="pct"/>
                  <w:vAlign w:val="center"/>
                </w:tcPr>
                <w:p w14:paraId="4D500E0C">
                  <w:pPr>
                    <w:autoSpaceDE w:val="0"/>
                    <w:autoSpaceDN w:val="0"/>
                    <w:adjustRightInd w:val="0"/>
                    <w:snapToGrid w:val="0"/>
                    <w:jc w:val="center"/>
                  </w:pPr>
                  <w:r>
                    <w:rPr>
                      <w:rFonts w:hint="eastAsia"/>
                    </w:rPr>
                    <w:t>符合</w:t>
                  </w:r>
                </w:p>
              </w:tc>
            </w:tr>
            <w:tr w14:paraId="516E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Merge w:val="restart"/>
                  <w:vAlign w:val="center"/>
                </w:tcPr>
                <w:p w14:paraId="0A2D56B6">
                  <w:pPr>
                    <w:autoSpaceDE w:val="0"/>
                    <w:autoSpaceDN w:val="0"/>
                    <w:adjustRightInd w:val="0"/>
                    <w:snapToGrid w:val="0"/>
                    <w:jc w:val="center"/>
                  </w:pPr>
                  <w:r>
                    <w:rPr>
                      <w:rFonts w:hint="eastAsia"/>
                    </w:rPr>
                    <w:t>4</w:t>
                  </w:r>
                </w:p>
              </w:tc>
              <w:tc>
                <w:tcPr>
                  <w:tcW w:w="654" w:type="pct"/>
                  <w:vMerge w:val="restart"/>
                  <w:vAlign w:val="center"/>
                </w:tcPr>
                <w:p w14:paraId="4D56CB92">
                  <w:pPr>
                    <w:autoSpaceDE w:val="0"/>
                    <w:autoSpaceDN w:val="0"/>
                    <w:adjustRightInd w:val="0"/>
                    <w:snapToGrid w:val="0"/>
                    <w:jc w:val="center"/>
                  </w:pPr>
                  <w:r>
                    <w:rPr>
                      <w:rFonts w:hint="eastAsia"/>
                    </w:rPr>
                    <w:t>设计——声环境保护</w:t>
                  </w:r>
                </w:p>
              </w:tc>
              <w:tc>
                <w:tcPr>
                  <w:tcW w:w="1877" w:type="pct"/>
                  <w:vAlign w:val="center"/>
                </w:tcPr>
                <w:p w14:paraId="49CEF24B">
                  <w:pPr>
                    <w:autoSpaceDE w:val="0"/>
                    <w:autoSpaceDN w:val="0"/>
                    <w:adjustRightInd w:val="0"/>
                    <w:snapToGrid w:val="0"/>
                  </w:pPr>
                  <w:r>
                    <w:rPr>
                      <w:rFonts w:hint="eastAsia"/>
                    </w:rPr>
                    <w:t>变电工程噪声控制设计应首先从噪声源强上进行控制，选择低噪声设备：对于声源上无法根治的噪声，应采用隔声、吸声、消声、防振、减振等降噪措施，确保厂界排放噪声和周围声环境敏感目标分别满足GB</w:t>
                  </w:r>
                  <w:r>
                    <w:t xml:space="preserve"> </w:t>
                  </w:r>
                  <w:r>
                    <w:rPr>
                      <w:rFonts w:hint="eastAsia"/>
                    </w:rPr>
                    <w:t>12348和GB</w:t>
                  </w:r>
                  <w:r>
                    <w:t xml:space="preserve"> </w:t>
                  </w:r>
                  <w:r>
                    <w:rPr>
                      <w:rFonts w:hint="eastAsia"/>
                    </w:rPr>
                    <w:t>3096要求。</w:t>
                  </w:r>
                </w:p>
              </w:tc>
              <w:tc>
                <w:tcPr>
                  <w:tcW w:w="1543" w:type="pct"/>
                  <w:vAlign w:val="center"/>
                </w:tcPr>
                <w:p w14:paraId="6E9AECC7">
                  <w:pPr>
                    <w:topLinePunct/>
                    <w:adjustRightInd w:val="0"/>
                    <w:snapToGrid w:val="0"/>
                  </w:pPr>
                  <w:r>
                    <w:rPr>
                      <w:rFonts w:hint="eastAsia"/>
                    </w:rPr>
                    <w:t>升压站主要产噪设备经采用隔声措施，经预测分析，厂界排放噪声满足GB</w:t>
                  </w:r>
                  <w:r>
                    <w:t xml:space="preserve"> </w:t>
                  </w:r>
                  <w:r>
                    <w:rPr>
                      <w:rFonts w:hint="eastAsia"/>
                    </w:rPr>
                    <w:t>12348标准要求，周围声环境保护目标满足GB</w:t>
                  </w:r>
                  <w:r>
                    <w:t xml:space="preserve"> </w:t>
                  </w:r>
                  <w:r>
                    <w:rPr>
                      <w:rFonts w:hint="eastAsia"/>
                    </w:rPr>
                    <w:t>3096要求。</w:t>
                  </w:r>
                </w:p>
              </w:tc>
              <w:tc>
                <w:tcPr>
                  <w:tcW w:w="591" w:type="pct"/>
                  <w:vAlign w:val="center"/>
                </w:tcPr>
                <w:p w14:paraId="47B892DC">
                  <w:pPr>
                    <w:autoSpaceDE w:val="0"/>
                    <w:autoSpaceDN w:val="0"/>
                    <w:adjustRightInd w:val="0"/>
                    <w:snapToGrid w:val="0"/>
                    <w:jc w:val="center"/>
                  </w:pPr>
                  <w:r>
                    <w:rPr>
                      <w:rFonts w:hint="eastAsia"/>
                    </w:rPr>
                    <w:t>符合</w:t>
                  </w:r>
                </w:p>
              </w:tc>
            </w:tr>
            <w:tr w14:paraId="0C70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Merge w:val="continue"/>
                  <w:vAlign w:val="center"/>
                </w:tcPr>
                <w:p w14:paraId="38813F81">
                  <w:pPr>
                    <w:autoSpaceDE w:val="0"/>
                    <w:autoSpaceDN w:val="0"/>
                    <w:adjustRightInd w:val="0"/>
                    <w:snapToGrid w:val="0"/>
                    <w:jc w:val="center"/>
                  </w:pPr>
                </w:p>
              </w:tc>
              <w:tc>
                <w:tcPr>
                  <w:tcW w:w="654" w:type="pct"/>
                  <w:vMerge w:val="continue"/>
                  <w:vAlign w:val="center"/>
                </w:tcPr>
                <w:p w14:paraId="1BC211D7">
                  <w:pPr>
                    <w:autoSpaceDE w:val="0"/>
                    <w:autoSpaceDN w:val="0"/>
                    <w:adjustRightInd w:val="0"/>
                    <w:snapToGrid w:val="0"/>
                    <w:jc w:val="center"/>
                  </w:pPr>
                </w:p>
              </w:tc>
              <w:tc>
                <w:tcPr>
                  <w:tcW w:w="1877" w:type="pct"/>
                  <w:vAlign w:val="center"/>
                </w:tcPr>
                <w:p w14:paraId="002C6FBD">
                  <w:pPr>
                    <w:autoSpaceDE w:val="0"/>
                    <w:autoSpaceDN w:val="0"/>
                    <w:adjustRightInd w:val="0"/>
                    <w:snapToGrid w:val="0"/>
                  </w:pPr>
                  <w:r>
                    <w:rPr>
                      <w:rFonts w:hint="eastAsia"/>
                    </w:rPr>
                    <w:t>户外变电工程在设计过程中应进行平面布置优化，将主变压器、换流变压器、高压电抗器等主要声源设备布置在站址中央区域或远离站外声环境敏感目标侧的区域。</w:t>
                  </w:r>
                </w:p>
              </w:tc>
              <w:tc>
                <w:tcPr>
                  <w:tcW w:w="1543" w:type="pct"/>
                  <w:vAlign w:val="center"/>
                </w:tcPr>
                <w:p w14:paraId="752CD4B7">
                  <w:pPr>
                    <w:autoSpaceDE w:val="0"/>
                    <w:autoSpaceDN w:val="0"/>
                    <w:adjustRightInd w:val="0"/>
                    <w:snapToGrid w:val="0"/>
                  </w:pPr>
                  <w:r>
                    <w:rPr>
                      <w:rFonts w:hint="eastAsia"/>
                    </w:rPr>
                    <w:t>项目升压站变压器、换流变压器、高压电抗器等主要声源设备布置在以礼河三级电站厂区东南侧中间区域，避免了对外部声环境保护目标的影响。</w:t>
                  </w:r>
                </w:p>
              </w:tc>
              <w:tc>
                <w:tcPr>
                  <w:tcW w:w="591" w:type="pct"/>
                  <w:vAlign w:val="center"/>
                </w:tcPr>
                <w:p w14:paraId="6A0E81DF">
                  <w:pPr>
                    <w:autoSpaceDE w:val="0"/>
                    <w:autoSpaceDN w:val="0"/>
                    <w:adjustRightInd w:val="0"/>
                    <w:snapToGrid w:val="0"/>
                    <w:jc w:val="center"/>
                  </w:pPr>
                  <w:r>
                    <w:rPr>
                      <w:rFonts w:hint="eastAsia"/>
                    </w:rPr>
                    <w:t>符合</w:t>
                  </w:r>
                </w:p>
              </w:tc>
            </w:tr>
            <w:tr w14:paraId="484E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Merge w:val="restart"/>
                  <w:vAlign w:val="center"/>
                </w:tcPr>
                <w:p w14:paraId="4723A53B">
                  <w:pPr>
                    <w:autoSpaceDE w:val="0"/>
                    <w:autoSpaceDN w:val="0"/>
                    <w:adjustRightInd w:val="0"/>
                    <w:snapToGrid w:val="0"/>
                    <w:jc w:val="center"/>
                  </w:pPr>
                  <w:r>
                    <w:rPr>
                      <w:rFonts w:hint="eastAsia"/>
                    </w:rPr>
                    <w:t>5</w:t>
                  </w:r>
                </w:p>
              </w:tc>
              <w:tc>
                <w:tcPr>
                  <w:tcW w:w="654" w:type="pct"/>
                  <w:vMerge w:val="restart"/>
                  <w:vAlign w:val="center"/>
                </w:tcPr>
                <w:p w14:paraId="376CE56D">
                  <w:pPr>
                    <w:autoSpaceDE w:val="0"/>
                    <w:autoSpaceDN w:val="0"/>
                    <w:adjustRightInd w:val="0"/>
                    <w:snapToGrid w:val="0"/>
                    <w:jc w:val="center"/>
                  </w:pPr>
                  <w:r>
                    <w:rPr>
                      <w:rFonts w:hint="eastAsia"/>
                    </w:rPr>
                    <w:t>设计——水环境保护</w:t>
                  </w:r>
                </w:p>
              </w:tc>
              <w:tc>
                <w:tcPr>
                  <w:tcW w:w="1877" w:type="pct"/>
                  <w:vAlign w:val="center"/>
                </w:tcPr>
                <w:p w14:paraId="2676FA6D">
                  <w:pPr>
                    <w:autoSpaceDE w:val="0"/>
                    <w:autoSpaceDN w:val="0"/>
                    <w:adjustRightInd w:val="0"/>
                    <w:snapToGrid w:val="0"/>
                  </w:pPr>
                  <w:r>
                    <w:rPr>
                      <w:rFonts w:hint="eastAsia"/>
                    </w:rPr>
                    <w:t>变电工程应采取节水措施，加强水的重复利用，减少废（污）水排放。雨水和生活污水应采取分流制。</w:t>
                  </w:r>
                </w:p>
              </w:tc>
              <w:tc>
                <w:tcPr>
                  <w:tcW w:w="1543" w:type="pct"/>
                  <w:vAlign w:val="center"/>
                </w:tcPr>
                <w:p w14:paraId="440F6DF6">
                  <w:pPr>
                    <w:autoSpaceDE w:val="0"/>
                    <w:autoSpaceDN w:val="0"/>
                    <w:adjustRightInd w:val="0"/>
                    <w:snapToGrid w:val="0"/>
                  </w:pPr>
                  <w:r>
                    <w:rPr>
                      <w:rFonts w:hint="eastAsia"/>
                    </w:rPr>
                    <w:t>在建项目升压站采取雨污分流制，雨水经雨水沟区收集引流至周边自然沟渠，渗入周边土壤；食堂废水经隔油池预处理后与其他生活污水一同排入化粪池内，经化粪池预处理后排入生活污水一体化处理设施，处理后的生活污水用作站区和附近光伏区绿植晴天用水，雨天暂存于中水回用池，不外排；光伏板清洗废水回用于光伏板下方草地植被浇洒。</w:t>
                  </w:r>
                </w:p>
              </w:tc>
              <w:tc>
                <w:tcPr>
                  <w:tcW w:w="591" w:type="pct"/>
                  <w:vAlign w:val="center"/>
                </w:tcPr>
                <w:p w14:paraId="67B9E8CD">
                  <w:pPr>
                    <w:autoSpaceDE w:val="0"/>
                    <w:autoSpaceDN w:val="0"/>
                    <w:adjustRightInd w:val="0"/>
                    <w:snapToGrid w:val="0"/>
                    <w:jc w:val="center"/>
                  </w:pPr>
                  <w:r>
                    <w:rPr>
                      <w:rFonts w:hint="eastAsia"/>
                    </w:rPr>
                    <w:t>符合</w:t>
                  </w:r>
                </w:p>
              </w:tc>
            </w:tr>
            <w:tr w14:paraId="4C74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Merge w:val="continue"/>
                  <w:vAlign w:val="center"/>
                </w:tcPr>
                <w:p w14:paraId="69538A3B">
                  <w:pPr>
                    <w:autoSpaceDE w:val="0"/>
                    <w:autoSpaceDN w:val="0"/>
                    <w:adjustRightInd w:val="0"/>
                    <w:snapToGrid w:val="0"/>
                    <w:jc w:val="center"/>
                  </w:pPr>
                </w:p>
              </w:tc>
              <w:tc>
                <w:tcPr>
                  <w:tcW w:w="654" w:type="pct"/>
                  <w:vMerge w:val="continue"/>
                  <w:vAlign w:val="center"/>
                </w:tcPr>
                <w:p w14:paraId="34AE2D0D">
                  <w:pPr>
                    <w:autoSpaceDE w:val="0"/>
                    <w:autoSpaceDN w:val="0"/>
                    <w:adjustRightInd w:val="0"/>
                    <w:snapToGrid w:val="0"/>
                    <w:jc w:val="center"/>
                  </w:pPr>
                </w:p>
              </w:tc>
              <w:tc>
                <w:tcPr>
                  <w:tcW w:w="1877" w:type="pct"/>
                  <w:vAlign w:val="center"/>
                </w:tcPr>
                <w:p w14:paraId="044C509A">
                  <w:pPr>
                    <w:autoSpaceDE w:val="0"/>
                    <w:autoSpaceDN w:val="0"/>
                    <w:adjustRightInd w:val="0"/>
                    <w:snapToGrid w:val="0"/>
                  </w:pPr>
                  <w:r>
                    <w:rPr>
                      <w:rFonts w:hint="eastAsia"/>
                    </w:rPr>
                    <w:t>变电工程站内产生的生活污水宜考虑处理后纳入城市污水管网：不具备纳入城市污水管网条件的变电工程，应根据站内生活污水产生情况设置生活污水处理装置（化粪池、地埋式污水处理装置、回用水池、蒸发池等），生活污水经处理后回收利用、定期清理或外排，外排时应严格执行相应的国家和地方水污染物排放标准相关要求。</w:t>
                  </w:r>
                </w:p>
              </w:tc>
              <w:tc>
                <w:tcPr>
                  <w:tcW w:w="1543" w:type="pct"/>
                  <w:vAlign w:val="center"/>
                </w:tcPr>
                <w:p w14:paraId="00C854C8">
                  <w:pPr>
                    <w:autoSpaceDE w:val="0"/>
                    <w:autoSpaceDN w:val="0"/>
                    <w:adjustRightInd w:val="0"/>
                    <w:snapToGrid w:val="0"/>
                  </w:pPr>
                  <w:r>
                    <w:rPr>
                      <w:rFonts w:hint="eastAsia"/>
                    </w:rPr>
                    <w:t>项目升压站方案的设计符合国家的相关标准和要求。在升压站内设置了雨污分流，设置化粪池、隔油池、中水回用池及污水处理设施，升压站污水不外排，符合相关标准后回用。</w:t>
                  </w:r>
                </w:p>
              </w:tc>
              <w:tc>
                <w:tcPr>
                  <w:tcW w:w="591" w:type="pct"/>
                  <w:vAlign w:val="center"/>
                </w:tcPr>
                <w:p w14:paraId="4925AFC9">
                  <w:pPr>
                    <w:autoSpaceDE w:val="0"/>
                    <w:autoSpaceDN w:val="0"/>
                    <w:adjustRightInd w:val="0"/>
                    <w:snapToGrid w:val="0"/>
                    <w:jc w:val="center"/>
                  </w:pPr>
                  <w:r>
                    <w:rPr>
                      <w:rFonts w:hint="eastAsia"/>
                    </w:rPr>
                    <w:t>符合</w:t>
                  </w:r>
                </w:p>
              </w:tc>
            </w:tr>
            <w:tr w14:paraId="2ACA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Merge w:val="restart"/>
                  <w:vAlign w:val="center"/>
                </w:tcPr>
                <w:p w14:paraId="0AE5882A">
                  <w:pPr>
                    <w:autoSpaceDE w:val="0"/>
                    <w:autoSpaceDN w:val="0"/>
                    <w:adjustRightInd w:val="0"/>
                    <w:snapToGrid w:val="0"/>
                    <w:jc w:val="center"/>
                  </w:pPr>
                  <w:r>
                    <w:rPr>
                      <w:rFonts w:hint="eastAsia"/>
                    </w:rPr>
                    <w:t>6</w:t>
                  </w:r>
                </w:p>
              </w:tc>
              <w:tc>
                <w:tcPr>
                  <w:tcW w:w="654" w:type="pct"/>
                  <w:vMerge w:val="restart"/>
                  <w:vAlign w:val="center"/>
                </w:tcPr>
                <w:p w14:paraId="1BA46997">
                  <w:pPr>
                    <w:autoSpaceDE w:val="0"/>
                    <w:autoSpaceDN w:val="0"/>
                    <w:adjustRightInd w:val="0"/>
                    <w:snapToGrid w:val="0"/>
                    <w:jc w:val="center"/>
                  </w:pPr>
                  <w:r>
                    <w:rPr>
                      <w:rFonts w:hint="eastAsia"/>
                    </w:rPr>
                    <w:t>施工——声环境保护</w:t>
                  </w:r>
                </w:p>
              </w:tc>
              <w:tc>
                <w:tcPr>
                  <w:tcW w:w="1877" w:type="pct"/>
                  <w:vAlign w:val="center"/>
                </w:tcPr>
                <w:p w14:paraId="31349959">
                  <w:pPr>
                    <w:autoSpaceDE w:val="0"/>
                    <w:autoSpaceDN w:val="0"/>
                    <w:adjustRightInd w:val="0"/>
                    <w:snapToGrid w:val="0"/>
                  </w:pPr>
                  <w:r>
                    <w:rPr>
                      <w:rFonts w:hint="eastAsia"/>
                    </w:rPr>
                    <w:t>变电工程施工过程中场界环境噪声排放应满足GB</w:t>
                  </w:r>
                  <w:r>
                    <w:t xml:space="preserve"> </w:t>
                  </w:r>
                  <w:r>
                    <w:rPr>
                      <w:rFonts w:hint="eastAsia"/>
                    </w:rPr>
                    <w:t>12523中的要求。</w:t>
                  </w:r>
                </w:p>
              </w:tc>
              <w:tc>
                <w:tcPr>
                  <w:tcW w:w="1543" w:type="pct"/>
                  <w:vAlign w:val="center"/>
                </w:tcPr>
                <w:p w14:paraId="24334E83">
                  <w:pPr>
                    <w:autoSpaceDE w:val="0"/>
                    <w:autoSpaceDN w:val="0"/>
                    <w:adjustRightInd w:val="0"/>
                    <w:snapToGrid w:val="0"/>
                  </w:pPr>
                  <w:r>
                    <w:rPr>
                      <w:rFonts w:hint="eastAsia"/>
                    </w:rPr>
                    <w:t>经预测分析，项目升压站场界环境噪声排放满足GB</w:t>
                  </w:r>
                  <w:r>
                    <w:t xml:space="preserve"> </w:t>
                  </w:r>
                  <w:r>
                    <w:rPr>
                      <w:rFonts w:hint="eastAsia"/>
                    </w:rPr>
                    <w:t>12523中的要求。</w:t>
                  </w:r>
                </w:p>
              </w:tc>
              <w:tc>
                <w:tcPr>
                  <w:tcW w:w="591" w:type="pct"/>
                  <w:vAlign w:val="center"/>
                </w:tcPr>
                <w:p w14:paraId="1E1FA793">
                  <w:pPr>
                    <w:autoSpaceDE w:val="0"/>
                    <w:autoSpaceDN w:val="0"/>
                    <w:adjustRightInd w:val="0"/>
                    <w:snapToGrid w:val="0"/>
                    <w:jc w:val="center"/>
                  </w:pPr>
                  <w:r>
                    <w:rPr>
                      <w:rFonts w:hint="eastAsia"/>
                    </w:rPr>
                    <w:t>符合</w:t>
                  </w:r>
                </w:p>
              </w:tc>
            </w:tr>
            <w:tr w14:paraId="558C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Merge w:val="continue"/>
                  <w:vAlign w:val="center"/>
                </w:tcPr>
                <w:p w14:paraId="3AC3F254">
                  <w:pPr>
                    <w:autoSpaceDE w:val="0"/>
                    <w:autoSpaceDN w:val="0"/>
                    <w:adjustRightInd w:val="0"/>
                    <w:snapToGrid w:val="0"/>
                    <w:jc w:val="center"/>
                  </w:pPr>
                </w:p>
              </w:tc>
              <w:tc>
                <w:tcPr>
                  <w:tcW w:w="654" w:type="pct"/>
                  <w:vMerge w:val="continue"/>
                  <w:vAlign w:val="center"/>
                </w:tcPr>
                <w:p w14:paraId="183F413E">
                  <w:pPr>
                    <w:autoSpaceDE w:val="0"/>
                    <w:autoSpaceDN w:val="0"/>
                    <w:adjustRightInd w:val="0"/>
                    <w:snapToGrid w:val="0"/>
                    <w:jc w:val="center"/>
                  </w:pPr>
                </w:p>
              </w:tc>
              <w:tc>
                <w:tcPr>
                  <w:tcW w:w="1877" w:type="pct"/>
                  <w:vAlign w:val="center"/>
                </w:tcPr>
                <w:p w14:paraId="46E16C19">
                  <w:pPr>
                    <w:autoSpaceDE w:val="0"/>
                    <w:autoSpaceDN w:val="0"/>
                    <w:adjustRightInd w:val="0"/>
                    <w:snapToGrid w:val="0"/>
                  </w:pPr>
                  <w:r>
                    <w:rPr>
                      <w:rFonts w:hint="eastAsia"/>
                    </w:rPr>
                    <w:t>在城市市区噪声敏感建筑物集中区域内，禁止夜间进行产生环境噪声污染的建筑施工作业，但抢修、抢险作业和因生产工艺上要求或者特殊需要必须连续作业的除外。夜间作业必须公告附近居民。</w:t>
                  </w:r>
                </w:p>
              </w:tc>
              <w:tc>
                <w:tcPr>
                  <w:tcW w:w="1543" w:type="pct"/>
                  <w:vAlign w:val="center"/>
                </w:tcPr>
                <w:p w14:paraId="214274EC">
                  <w:pPr>
                    <w:autoSpaceDE w:val="0"/>
                    <w:autoSpaceDN w:val="0"/>
                    <w:adjustRightInd w:val="0"/>
                    <w:snapToGrid w:val="0"/>
                  </w:pPr>
                  <w:r>
                    <w:rPr>
                      <w:rFonts w:hint="eastAsia"/>
                    </w:rPr>
                    <w:t>项目升压站方案的设计符合国家的相关标准要求，且对施工噪声提出了治理措施，符合相关标准要求。</w:t>
                  </w:r>
                </w:p>
              </w:tc>
              <w:tc>
                <w:tcPr>
                  <w:tcW w:w="591" w:type="pct"/>
                  <w:vAlign w:val="center"/>
                </w:tcPr>
                <w:p w14:paraId="33B487D0">
                  <w:pPr>
                    <w:autoSpaceDE w:val="0"/>
                    <w:autoSpaceDN w:val="0"/>
                    <w:adjustRightInd w:val="0"/>
                    <w:snapToGrid w:val="0"/>
                    <w:jc w:val="center"/>
                  </w:pPr>
                  <w:r>
                    <w:rPr>
                      <w:rFonts w:hint="eastAsia"/>
                    </w:rPr>
                    <w:t>符合</w:t>
                  </w:r>
                </w:p>
              </w:tc>
            </w:tr>
            <w:tr w14:paraId="3A06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Merge w:val="restart"/>
                  <w:vAlign w:val="center"/>
                </w:tcPr>
                <w:p w14:paraId="72143347">
                  <w:pPr>
                    <w:autoSpaceDE w:val="0"/>
                    <w:autoSpaceDN w:val="0"/>
                    <w:adjustRightInd w:val="0"/>
                    <w:snapToGrid w:val="0"/>
                    <w:jc w:val="center"/>
                  </w:pPr>
                  <w:r>
                    <w:rPr>
                      <w:rFonts w:hint="eastAsia"/>
                    </w:rPr>
                    <w:t>7</w:t>
                  </w:r>
                </w:p>
              </w:tc>
              <w:tc>
                <w:tcPr>
                  <w:tcW w:w="654" w:type="pct"/>
                  <w:vMerge w:val="restart"/>
                  <w:vAlign w:val="center"/>
                </w:tcPr>
                <w:p w14:paraId="3CED8CE4">
                  <w:pPr>
                    <w:autoSpaceDE w:val="0"/>
                    <w:autoSpaceDN w:val="0"/>
                    <w:adjustRightInd w:val="0"/>
                    <w:snapToGrid w:val="0"/>
                    <w:jc w:val="center"/>
                  </w:pPr>
                  <w:r>
                    <w:rPr>
                      <w:rFonts w:hint="eastAsia"/>
                    </w:rPr>
                    <w:t>施工——生态环境保护</w:t>
                  </w:r>
                </w:p>
              </w:tc>
              <w:tc>
                <w:tcPr>
                  <w:tcW w:w="1877" w:type="pct"/>
                  <w:vAlign w:val="center"/>
                </w:tcPr>
                <w:p w14:paraId="29D80102">
                  <w:pPr>
                    <w:autoSpaceDE w:val="0"/>
                    <w:autoSpaceDN w:val="0"/>
                    <w:adjustRightInd w:val="0"/>
                    <w:snapToGrid w:val="0"/>
                  </w:pPr>
                  <w:r>
                    <w:rPr>
                      <w:rFonts w:hint="eastAsia"/>
                    </w:rPr>
                    <w:t>施工现场使用带油料的机械器具，应采取措施防止油料跑、冒、滴、漏，防止对土壤和水体造成污染。</w:t>
                  </w:r>
                </w:p>
              </w:tc>
              <w:tc>
                <w:tcPr>
                  <w:tcW w:w="1543" w:type="pct"/>
                  <w:vAlign w:val="center"/>
                </w:tcPr>
                <w:p w14:paraId="717431EF">
                  <w:pPr>
                    <w:autoSpaceDE w:val="0"/>
                    <w:autoSpaceDN w:val="0"/>
                    <w:adjustRightInd w:val="0"/>
                    <w:snapToGrid w:val="0"/>
                  </w:pPr>
                  <w:r>
                    <w:rPr>
                      <w:rFonts w:hint="eastAsia"/>
                    </w:rPr>
                    <w:t>本环评要求施工单位加强对施工现场使用带油的机械器具的检修和维护，采取措施防止跑、冒、滴、漏油。同时要求对升压站重要区域和箱变采取分区防渗，重点防渗。</w:t>
                  </w:r>
                </w:p>
              </w:tc>
              <w:tc>
                <w:tcPr>
                  <w:tcW w:w="591" w:type="pct"/>
                  <w:vAlign w:val="center"/>
                </w:tcPr>
                <w:p w14:paraId="75BD128C">
                  <w:pPr>
                    <w:autoSpaceDE w:val="0"/>
                    <w:autoSpaceDN w:val="0"/>
                    <w:adjustRightInd w:val="0"/>
                    <w:snapToGrid w:val="0"/>
                    <w:jc w:val="center"/>
                  </w:pPr>
                  <w:r>
                    <w:rPr>
                      <w:rFonts w:hint="eastAsia"/>
                    </w:rPr>
                    <w:t>符合</w:t>
                  </w:r>
                </w:p>
              </w:tc>
            </w:tr>
            <w:tr w14:paraId="3F32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Merge w:val="continue"/>
                  <w:vAlign w:val="center"/>
                </w:tcPr>
                <w:p w14:paraId="3FAE4C66">
                  <w:pPr>
                    <w:autoSpaceDE w:val="0"/>
                    <w:autoSpaceDN w:val="0"/>
                    <w:adjustRightInd w:val="0"/>
                    <w:snapToGrid w:val="0"/>
                    <w:jc w:val="center"/>
                  </w:pPr>
                </w:p>
              </w:tc>
              <w:tc>
                <w:tcPr>
                  <w:tcW w:w="654" w:type="pct"/>
                  <w:vMerge w:val="continue"/>
                  <w:vAlign w:val="center"/>
                </w:tcPr>
                <w:p w14:paraId="619518D8">
                  <w:pPr>
                    <w:autoSpaceDE w:val="0"/>
                    <w:autoSpaceDN w:val="0"/>
                    <w:adjustRightInd w:val="0"/>
                    <w:snapToGrid w:val="0"/>
                    <w:jc w:val="center"/>
                  </w:pPr>
                </w:p>
              </w:tc>
              <w:tc>
                <w:tcPr>
                  <w:tcW w:w="1877" w:type="pct"/>
                  <w:vAlign w:val="center"/>
                </w:tcPr>
                <w:p w14:paraId="511C446E">
                  <w:pPr>
                    <w:autoSpaceDE w:val="0"/>
                    <w:autoSpaceDN w:val="0"/>
                    <w:adjustRightInd w:val="0"/>
                    <w:snapToGrid w:val="0"/>
                  </w:pPr>
                  <w:r>
                    <w:rPr>
                      <w:rFonts w:hint="eastAsia"/>
                    </w:rPr>
                    <w:t>施工结束后，应及时清理施工现场，因地制宜进行土地功能恢复</w:t>
                  </w:r>
                </w:p>
              </w:tc>
              <w:tc>
                <w:tcPr>
                  <w:tcW w:w="1543" w:type="pct"/>
                  <w:vAlign w:val="center"/>
                </w:tcPr>
                <w:p w14:paraId="2E665BF9">
                  <w:pPr>
                    <w:autoSpaceDE w:val="0"/>
                    <w:autoSpaceDN w:val="0"/>
                    <w:adjustRightInd w:val="0"/>
                    <w:snapToGrid w:val="0"/>
                  </w:pPr>
                  <w:r>
                    <w:rPr>
                      <w:rFonts w:hint="eastAsia"/>
                    </w:rPr>
                    <w:t>项目施工结束后，采取本土植物恢复施工场地，因地制宜进行土地功能恢复。</w:t>
                  </w:r>
                </w:p>
              </w:tc>
              <w:tc>
                <w:tcPr>
                  <w:tcW w:w="591" w:type="pct"/>
                  <w:vAlign w:val="center"/>
                </w:tcPr>
                <w:p w14:paraId="159392A1">
                  <w:pPr>
                    <w:autoSpaceDE w:val="0"/>
                    <w:autoSpaceDN w:val="0"/>
                    <w:adjustRightInd w:val="0"/>
                    <w:snapToGrid w:val="0"/>
                    <w:jc w:val="center"/>
                  </w:pPr>
                  <w:r>
                    <w:rPr>
                      <w:rFonts w:hint="eastAsia"/>
                    </w:rPr>
                    <w:t>符合</w:t>
                  </w:r>
                </w:p>
              </w:tc>
            </w:tr>
            <w:tr w14:paraId="7AE0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Align w:val="center"/>
                </w:tcPr>
                <w:p w14:paraId="3782E777">
                  <w:pPr>
                    <w:autoSpaceDE w:val="0"/>
                    <w:autoSpaceDN w:val="0"/>
                    <w:adjustRightInd w:val="0"/>
                    <w:snapToGrid w:val="0"/>
                    <w:jc w:val="center"/>
                  </w:pPr>
                  <w:r>
                    <w:rPr>
                      <w:rFonts w:hint="eastAsia"/>
                    </w:rPr>
                    <w:t>8</w:t>
                  </w:r>
                </w:p>
              </w:tc>
              <w:tc>
                <w:tcPr>
                  <w:tcW w:w="654" w:type="pct"/>
                  <w:vAlign w:val="center"/>
                </w:tcPr>
                <w:p w14:paraId="24864653">
                  <w:pPr>
                    <w:autoSpaceDE w:val="0"/>
                    <w:autoSpaceDN w:val="0"/>
                    <w:adjustRightInd w:val="0"/>
                    <w:snapToGrid w:val="0"/>
                    <w:jc w:val="center"/>
                  </w:pPr>
                  <w:r>
                    <w:rPr>
                      <w:rFonts w:hint="eastAsia"/>
                    </w:rPr>
                    <w:t>施工——水环境保护</w:t>
                  </w:r>
                </w:p>
              </w:tc>
              <w:tc>
                <w:tcPr>
                  <w:tcW w:w="1877" w:type="pct"/>
                  <w:vAlign w:val="center"/>
                </w:tcPr>
                <w:p w14:paraId="76C81F25">
                  <w:pPr>
                    <w:autoSpaceDE w:val="0"/>
                    <w:autoSpaceDN w:val="0"/>
                    <w:adjustRightInd w:val="0"/>
                    <w:snapToGrid w:val="0"/>
                  </w:pPr>
                  <w:r>
                    <w:rPr>
                      <w:rFonts w:hint="eastAsia"/>
                    </w:rPr>
                    <w:t>施工期间禁止向水体排放、倾倒垃圾、弃土、弃渣，禁止排放未经处理的钻浆等废弃物。</w:t>
                  </w:r>
                </w:p>
              </w:tc>
              <w:tc>
                <w:tcPr>
                  <w:tcW w:w="1543" w:type="pct"/>
                  <w:vAlign w:val="center"/>
                </w:tcPr>
                <w:p w14:paraId="427E6290">
                  <w:pPr>
                    <w:autoSpaceDE w:val="0"/>
                    <w:autoSpaceDN w:val="0"/>
                    <w:adjustRightInd w:val="0"/>
                    <w:snapToGrid w:val="0"/>
                  </w:pPr>
                  <w:r>
                    <w:rPr>
                      <w:rFonts w:hint="eastAsia"/>
                    </w:rPr>
                    <w:t>项目施工期间场地内土石方基本可以保持平衡，不产生弃土。施工过程中会产生少量建筑垃圾，建筑垃圾分类收集，如木材、钢材等可回收部分，集中收集后，出售给废品回收商；不可回收部分集中收集后，按照当地管理部门要求处置。项目光伏电池板安装过程中因操作不当等，会产生造成光伏电池板损坏，废光伏电池板产生量较少，集中收集后，委托光伏电池板生产厂家回收处置。施工期生活垃圾分类收集，如纸壳、塑料等可回收部分，集中收集后出售给回收商；不可回收部分集中收集于垃圾收集桶内，定期清运至周边村庄生活垃圾收集点。项目施工期间，不向水体排放、倾倒垃圾、弃土、弃渣。</w:t>
                  </w:r>
                </w:p>
                <w:p w14:paraId="25B0373D">
                  <w:pPr>
                    <w:autoSpaceDE w:val="0"/>
                    <w:autoSpaceDN w:val="0"/>
                    <w:adjustRightInd w:val="0"/>
                    <w:snapToGrid w:val="0"/>
                  </w:pPr>
                  <w:r>
                    <w:rPr>
                      <w:rFonts w:hint="eastAsia"/>
                    </w:rPr>
                    <w:t>项目施工期固体废物处置率100%，禁止向水体排放、倾倒垃圾、弃土、弃渣，禁止排放未经处理的钻浆等废弃物。</w:t>
                  </w:r>
                </w:p>
              </w:tc>
              <w:tc>
                <w:tcPr>
                  <w:tcW w:w="591" w:type="pct"/>
                  <w:vAlign w:val="center"/>
                </w:tcPr>
                <w:p w14:paraId="5FAC5F60">
                  <w:pPr>
                    <w:autoSpaceDE w:val="0"/>
                    <w:autoSpaceDN w:val="0"/>
                    <w:adjustRightInd w:val="0"/>
                    <w:snapToGrid w:val="0"/>
                    <w:jc w:val="center"/>
                  </w:pPr>
                  <w:r>
                    <w:rPr>
                      <w:rFonts w:hint="eastAsia"/>
                    </w:rPr>
                    <w:t>符合</w:t>
                  </w:r>
                </w:p>
              </w:tc>
            </w:tr>
            <w:tr w14:paraId="4F14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Align w:val="center"/>
                </w:tcPr>
                <w:p w14:paraId="2EE48A42">
                  <w:pPr>
                    <w:autoSpaceDE w:val="0"/>
                    <w:autoSpaceDN w:val="0"/>
                    <w:adjustRightInd w:val="0"/>
                    <w:snapToGrid w:val="0"/>
                    <w:jc w:val="center"/>
                  </w:pPr>
                  <w:r>
                    <w:rPr>
                      <w:rFonts w:hint="eastAsia"/>
                    </w:rPr>
                    <w:t>9</w:t>
                  </w:r>
                </w:p>
              </w:tc>
              <w:tc>
                <w:tcPr>
                  <w:tcW w:w="654" w:type="pct"/>
                  <w:vAlign w:val="center"/>
                </w:tcPr>
                <w:p w14:paraId="0B65C65A">
                  <w:pPr>
                    <w:autoSpaceDE w:val="0"/>
                    <w:autoSpaceDN w:val="0"/>
                    <w:adjustRightInd w:val="0"/>
                    <w:snapToGrid w:val="0"/>
                    <w:jc w:val="center"/>
                  </w:pPr>
                  <w:r>
                    <w:rPr>
                      <w:rFonts w:hint="eastAsia"/>
                    </w:rPr>
                    <w:t>施工——大气环境保护</w:t>
                  </w:r>
                </w:p>
              </w:tc>
              <w:tc>
                <w:tcPr>
                  <w:tcW w:w="1877" w:type="pct"/>
                  <w:vAlign w:val="center"/>
                </w:tcPr>
                <w:p w14:paraId="0A813194">
                  <w:pPr>
                    <w:autoSpaceDE w:val="0"/>
                    <w:autoSpaceDN w:val="0"/>
                    <w:adjustRightInd w:val="0"/>
                    <w:snapToGrid w:val="0"/>
                  </w:pPr>
                  <w:r>
                    <w:rPr>
                      <w:rFonts w:hint="eastAsia"/>
                    </w:rPr>
                    <w:t>施工过程中，应当加强对施工现场和物料运输的管理，在施工工地设置硬质围挡，保持道路清洁，管控料堆和渣土堆放，防治扬尘污染。</w:t>
                  </w:r>
                </w:p>
                <w:p w14:paraId="25A2C069">
                  <w:pPr>
                    <w:autoSpaceDE w:val="0"/>
                    <w:autoSpaceDN w:val="0"/>
                    <w:adjustRightInd w:val="0"/>
                    <w:snapToGrid w:val="0"/>
                  </w:pPr>
                  <w:r>
                    <w:rPr>
                      <w:rFonts w:hint="eastAsia"/>
                    </w:rPr>
                    <w:t>施工过程中，对易起尘的临时堆土、运输过程中的土石方等应采用密闭式防尘布（网）进行苫盖，施工面集中且有条件的地方宜采取洒水降尘等有效措施，减少易造成大气污染的施工作业。</w:t>
                  </w:r>
                </w:p>
                <w:p w14:paraId="2AD91A6A">
                  <w:pPr>
                    <w:autoSpaceDE w:val="0"/>
                    <w:autoSpaceDN w:val="0"/>
                  </w:pPr>
                  <w:r>
                    <w:rPr>
                      <w:rFonts w:hint="eastAsia"/>
                    </w:rPr>
                    <w:t>施工过程中，建设单位应当对裸露地面进行覆盖：暂时不能开工的建设用地超过三个月的，应当进行绿化、铺装或者遮盖。施工现场禁止将包装物、可燃垃圾等固体废弃物就地焚烧。</w:t>
                  </w:r>
                </w:p>
              </w:tc>
              <w:tc>
                <w:tcPr>
                  <w:tcW w:w="1543" w:type="pct"/>
                  <w:vAlign w:val="center"/>
                </w:tcPr>
                <w:p w14:paraId="4C4DA8C6">
                  <w:pPr>
                    <w:autoSpaceDE w:val="0"/>
                    <w:autoSpaceDN w:val="0"/>
                    <w:adjustRightInd w:val="0"/>
                    <w:snapToGrid w:val="0"/>
                  </w:pPr>
                  <w:r>
                    <w:rPr>
                      <w:rFonts w:hint="eastAsia"/>
                    </w:rPr>
                    <w:t>项目施工时，对粉尘物料采取篷布覆盖，在施工现场进行洒水降尘，以减少工程对大气环境的影响。</w:t>
                  </w:r>
                </w:p>
              </w:tc>
              <w:tc>
                <w:tcPr>
                  <w:tcW w:w="591" w:type="pct"/>
                  <w:vAlign w:val="center"/>
                </w:tcPr>
                <w:p w14:paraId="39BB0F6B">
                  <w:pPr>
                    <w:autoSpaceDE w:val="0"/>
                    <w:autoSpaceDN w:val="0"/>
                    <w:adjustRightInd w:val="0"/>
                    <w:snapToGrid w:val="0"/>
                    <w:jc w:val="center"/>
                  </w:pPr>
                  <w:r>
                    <w:rPr>
                      <w:rFonts w:hint="eastAsia"/>
                    </w:rPr>
                    <w:t>符合</w:t>
                  </w:r>
                </w:p>
              </w:tc>
            </w:tr>
            <w:tr w14:paraId="13EA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Align w:val="center"/>
                </w:tcPr>
                <w:p w14:paraId="6C1A13B2">
                  <w:pPr>
                    <w:autoSpaceDE w:val="0"/>
                    <w:autoSpaceDN w:val="0"/>
                    <w:adjustRightInd w:val="0"/>
                    <w:snapToGrid w:val="0"/>
                    <w:jc w:val="center"/>
                  </w:pPr>
                  <w:r>
                    <w:rPr>
                      <w:rFonts w:hint="eastAsia"/>
                    </w:rPr>
                    <w:t>10</w:t>
                  </w:r>
                </w:p>
              </w:tc>
              <w:tc>
                <w:tcPr>
                  <w:tcW w:w="654" w:type="pct"/>
                  <w:vAlign w:val="center"/>
                </w:tcPr>
                <w:p w14:paraId="6FF9AD31">
                  <w:pPr>
                    <w:autoSpaceDE w:val="0"/>
                    <w:autoSpaceDN w:val="0"/>
                    <w:adjustRightInd w:val="0"/>
                    <w:snapToGrid w:val="0"/>
                    <w:jc w:val="center"/>
                  </w:pPr>
                  <w:r>
                    <w:rPr>
                      <w:rFonts w:hint="eastAsia"/>
                    </w:rPr>
                    <w:t>施工——固体废弃物处置</w:t>
                  </w:r>
                </w:p>
              </w:tc>
              <w:tc>
                <w:tcPr>
                  <w:tcW w:w="1877" w:type="pct"/>
                  <w:vAlign w:val="center"/>
                </w:tcPr>
                <w:p w14:paraId="3432A89A">
                  <w:pPr>
                    <w:autoSpaceDE w:val="0"/>
                    <w:autoSpaceDN w:val="0"/>
                    <w:adjustRightInd w:val="0"/>
                    <w:snapToGrid w:val="0"/>
                  </w:pPr>
                  <w:r>
                    <w:rPr>
                      <w:rFonts w:hint="eastAsia"/>
                    </w:rPr>
                    <w:t>施工过程中产生的土石方、建筑垃圾、生活垃圾应分类集中收集，并按国家和地方有关规定定期进行清运处置，施工完成后及时做好迹地清理工作。</w:t>
                  </w:r>
                </w:p>
              </w:tc>
              <w:tc>
                <w:tcPr>
                  <w:tcW w:w="1543" w:type="pct"/>
                  <w:vAlign w:val="center"/>
                </w:tcPr>
                <w:p w14:paraId="50A5E988">
                  <w:pPr>
                    <w:autoSpaceDE w:val="0"/>
                    <w:autoSpaceDN w:val="0"/>
                    <w:adjustRightInd w:val="0"/>
                    <w:snapToGrid w:val="0"/>
                  </w:pPr>
                  <w:r>
                    <w:rPr>
                      <w:rFonts w:hint="eastAsia"/>
                    </w:rPr>
                    <w:t>项目土石方根据水土保持报告，已经妥善处置，达到动态平衡，建筑垃圾、生活垃圾进行分类集中收集，并按国家和地方有关规定定期进行清运处置，施工完成后及时做好迹地清理工作。</w:t>
                  </w:r>
                </w:p>
              </w:tc>
              <w:tc>
                <w:tcPr>
                  <w:tcW w:w="591" w:type="pct"/>
                  <w:vAlign w:val="center"/>
                </w:tcPr>
                <w:p w14:paraId="1523C1D9">
                  <w:pPr>
                    <w:autoSpaceDE w:val="0"/>
                    <w:autoSpaceDN w:val="0"/>
                    <w:adjustRightInd w:val="0"/>
                    <w:snapToGrid w:val="0"/>
                    <w:jc w:val="center"/>
                  </w:pPr>
                  <w:r>
                    <w:rPr>
                      <w:rFonts w:hint="eastAsia"/>
                    </w:rPr>
                    <w:t>符合</w:t>
                  </w:r>
                </w:p>
              </w:tc>
            </w:tr>
            <w:tr w14:paraId="1A5B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4" w:type="pct"/>
                  <w:vAlign w:val="center"/>
                </w:tcPr>
                <w:p w14:paraId="27655394">
                  <w:pPr>
                    <w:autoSpaceDE w:val="0"/>
                    <w:autoSpaceDN w:val="0"/>
                    <w:adjustRightInd w:val="0"/>
                    <w:snapToGrid w:val="0"/>
                    <w:jc w:val="center"/>
                  </w:pPr>
                  <w:r>
                    <w:rPr>
                      <w:rFonts w:hint="eastAsia"/>
                    </w:rPr>
                    <w:t>11</w:t>
                  </w:r>
                </w:p>
              </w:tc>
              <w:tc>
                <w:tcPr>
                  <w:tcW w:w="654" w:type="pct"/>
                  <w:vAlign w:val="center"/>
                </w:tcPr>
                <w:p w14:paraId="1F0A904F">
                  <w:pPr>
                    <w:autoSpaceDE w:val="0"/>
                    <w:autoSpaceDN w:val="0"/>
                    <w:adjustRightInd w:val="0"/>
                    <w:snapToGrid w:val="0"/>
                    <w:jc w:val="center"/>
                  </w:pPr>
                  <w:r>
                    <w:rPr>
                      <w:rFonts w:hint="eastAsia"/>
                    </w:rPr>
                    <w:t>运行</w:t>
                  </w:r>
                </w:p>
              </w:tc>
              <w:tc>
                <w:tcPr>
                  <w:tcW w:w="1877" w:type="pct"/>
                  <w:vAlign w:val="center"/>
                </w:tcPr>
                <w:p w14:paraId="6909AB8F">
                  <w:pPr>
                    <w:autoSpaceDE w:val="0"/>
                    <w:autoSpaceDN w:val="0"/>
                    <w:adjustRightInd w:val="0"/>
                    <w:snapToGrid w:val="0"/>
                  </w:pPr>
                  <w:r>
                    <w:rPr>
                      <w:rFonts w:hint="eastAsia"/>
                    </w:rPr>
                    <w:t>变电工程运行过程中产生的变压器变压油、高抗油等矿物油应进行回收处理。废矿物油和废铅酸蓄电池作为危险废物应交由有资质的单位回收处理，严禁随意丢弃。不能立即回收处理的应暂存在危险废物贮存间或暂存区。</w:t>
                  </w:r>
                </w:p>
              </w:tc>
              <w:tc>
                <w:tcPr>
                  <w:tcW w:w="1543" w:type="pct"/>
                  <w:vAlign w:val="center"/>
                </w:tcPr>
                <w:p w14:paraId="22351CA6">
                  <w:pPr>
                    <w:autoSpaceDE w:val="0"/>
                    <w:autoSpaceDN w:val="0"/>
                    <w:adjustRightInd w:val="0"/>
                    <w:snapToGrid w:val="0"/>
                    <w:rPr>
                      <w:b/>
                      <w:bCs/>
                    </w:rPr>
                  </w:pPr>
                  <w:r>
                    <w:rPr>
                      <w:rFonts w:hint="eastAsia"/>
                    </w:rPr>
                    <w:t>项目已设计在升压站设置危废贮存间，变压器废矿物油收集后暂存于危废贮存间，废蓄电池更换后暂存于危废贮存间，暂存后及时交由有资质单位清运回收处置。</w:t>
                  </w:r>
                </w:p>
              </w:tc>
              <w:tc>
                <w:tcPr>
                  <w:tcW w:w="591" w:type="pct"/>
                  <w:vAlign w:val="center"/>
                </w:tcPr>
                <w:p w14:paraId="6F754E68">
                  <w:pPr>
                    <w:autoSpaceDE w:val="0"/>
                    <w:autoSpaceDN w:val="0"/>
                    <w:adjustRightInd w:val="0"/>
                    <w:snapToGrid w:val="0"/>
                    <w:jc w:val="center"/>
                  </w:pPr>
                  <w:r>
                    <w:rPr>
                      <w:rFonts w:hint="eastAsia"/>
                    </w:rPr>
                    <w:t>符合</w:t>
                  </w:r>
                </w:p>
              </w:tc>
            </w:tr>
          </w:tbl>
          <w:p w14:paraId="1135A9A1">
            <w:pPr>
              <w:autoSpaceDE w:val="0"/>
              <w:autoSpaceDN w:val="0"/>
              <w:spacing w:line="360" w:lineRule="auto"/>
              <w:ind w:firstLine="480" w:firstLineChars="200"/>
              <w:jc w:val="left"/>
              <w:rPr>
                <w:snapToGrid w:val="0"/>
                <w:color w:val="000000"/>
                <w:kern w:val="0"/>
                <w:sz w:val="24"/>
              </w:rPr>
            </w:pPr>
            <w:r>
              <w:rPr>
                <w:rFonts w:hint="eastAsia"/>
                <w:snapToGrid w:val="0"/>
                <w:color w:val="000000"/>
                <w:kern w:val="0"/>
                <w:sz w:val="24"/>
              </w:rPr>
              <w:t>综上，本项目建设与《输变电建设项目环境保护技术要求》相符。</w:t>
            </w:r>
          </w:p>
          <w:p w14:paraId="6C87109D">
            <w:pPr>
              <w:rPr>
                <w:rFonts w:hint="eastAsia"/>
              </w:rPr>
            </w:pPr>
          </w:p>
        </w:tc>
      </w:tr>
      <w:bookmarkEnd w:id="34"/>
    </w:tbl>
    <w:p w14:paraId="5390EFC9">
      <w:pPr>
        <w:spacing w:line="360" w:lineRule="auto"/>
        <w:outlineLvl w:val="0"/>
        <w:rPr>
          <w:rFonts w:eastAsia="黑体"/>
          <w:sz w:val="30"/>
        </w:rPr>
        <w:sectPr>
          <w:footerReference r:id="rId7" w:type="default"/>
          <w:pgSz w:w="11905" w:h="16838"/>
          <w:pgMar w:top="1531" w:right="1417" w:bottom="1531" w:left="1417" w:header="851" w:footer="1077" w:gutter="0"/>
          <w:pgBorders>
            <w:top w:val="none" w:sz="0" w:space="0"/>
            <w:left w:val="none" w:sz="0" w:space="0"/>
            <w:bottom w:val="none" w:sz="0" w:space="0"/>
            <w:right w:val="none" w:sz="0" w:space="0"/>
          </w:pgBorders>
          <w:pgNumType w:start="1"/>
          <w:cols w:space="720" w:num="1"/>
          <w:docGrid w:linePitch="312" w:charSpace="0"/>
        </w:sectPr>
      </w:pPr>
    </w:p>
    <w:p w14:paraId="5101665E">
      <w:pPr>
        <w:pStyle w:val="26"/>
        <w:spacing w:before="0" w:beforeAutospacing="0" w:after="0" w:afterAutospacing="0" w:line="360" w:lineRule="auto"/>
        <w:jc w:val="center"/>
        <w:outlineLvl w:val="0"/>
        <w:rPr>
          <w:rFonts w:hint="eastAsia" w:ascii="黑体" w:hAnsi="黑体" w:eastAsia="黑体"/>
          <w:snapToGrid w:val="0"/>
          <w:sz w:val="30"/>
          <w:szCs w:val="30"/>
        </w:rPr>
      </w:pPr>
      <w:bookmarkStart w:id="45" w:name="_Toc9355"/>
      <w:bookmarkStart w:id="46" w:name="_Toc116995610"/>
      <w:bookmarkStart w:id="47" w:name="_Toc122040712"/>
      <w:bookmarkStart w:id="48" w:name="_Toc28990"/>
      <w:bookmarkStart w:id="49" w:name="_Toc15385"/>
      <w:bookmarkStart w:id="50" w:name="_Toc233036176"/>
      <w:bookmarkStart w:id="51" w:name="_Toc231571696"/>
      <w:r>
        <w:rPr>
          <w:rFonts w:hint="eastAsia" w:ascii="黑体" w:hAnsi="黑体" w:eastAsia="黑体"/>
          <w:snapToGrid w:val="0"/>
          <w:sz w:val="30"/>
          <w:szCs w:val="30"/>
        </w:rPr>
        <w:t>二、建设内容</w:t>
      </w:r>
      <w:bookmarkEnd w:id="45"/>
      <w:bookmarkEnd w:id="46"/>
      <w:bookmarkEnd w:id="47"/>
      <w:bookmarkEnd w:id="48"/>
      <w:bookmarkEnd w:id="49"/>
      <w:bookmarkEnd w:id="50"/>
      <w:bookmarkEnd w:id="51"/>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8562"/>
      </w:tblGrid>
      <w:tr w14:paraId="3DCE32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354" w:type="pct"/>
            <w:noWrap/>
            <w:vAlign w:val="center"/>
          </w:tcPr>
          <w:p w14:paraId="2E225B7E">
            <w:pPr>
              <w:adjustRightInd w:val="0"/>
              <w:snapToGrid w:val="0"/>
              <w:jc w:val="center"/>
              <w:rPr>
                <w:kern w:val="0"/>
                <w:sz w:val="24"/>
              </w:rPr>
            </w:pPr>
            <w:r>
              <w:rPr>
                <w:kern w:val="0"/>
                <w:sz w:val="24"/>
              </w:rPr>
              <w:t>地理位置</w:t>
            </w:r>
          </w:p>
        </w:tc>
        <w:tc>
          <w:tcPr>
            <w:tcW w:w="4646" w:type="pct"/>
            <w:noWrap/>
          </w:tcPr>
          <w:p w14:paraId="4FB28DDD">
            <w:pPr>
              <w:autoSpaceDE w:val="0"/>
              <w:autoSpaceDN w:val="0"/>
              <w:adjustRightInd w:val="0"/>
              <w:snapToGrid w:val="0"/>
              <w:spacing w:before="120" w:beforeLines="50" w:line="360" w:lineRule="auto"/>
              <w:rPr>
                <w:b/>
                <w:bCs/>
                <w:kern w:val="0"/>
                <w:sz w:val="24"/>
              </w:rPr>
            </w:pPr>
            <w:r>
              <w:rPr>
                <w:b/>
                <w:bCs/>
                <w:kern w:val="0"/>
                <w:sz w:val="24"/>
              </w:rPr>
              <w:t>2.1 地理位置</w:t>
            </w:r>
          </w:p>
          <w:p w14:paraId="7BF15078">
            <w:pPr>
              <w:pStyle w:val="11"/>
              <w:adjustRightInd w:val="0"/>
              <w:spacing w:before="0" w:after="0" w:line="360" w:lineRule="auto"/>
              <w:ind w:right="0" w:firstLine="480" w:firstLineChars="200"/>
              <w:rPr>
                <w:sz w:val="24"/>
              </w:rPr>
            </w:pPr>
            <w:r>
              <w:rPr>
                <w:sz w:val="24"/>
                <w:szCs w:val="24"/>
              </w:rPr>
              <w:t>绿坪村光伏发电项目位于云南省曲靖市会泽县，场址位于娜姑镇大闸村、石门坎村、红泥村、绿坪村、盐水村、牛泥塘村、发基卡村和干海子村附近的坡地上，场址坐标范围为东经103°04'32.696"</w:t>
            </w:r>
            <w:bookmarkStart w:id="52" w:name="OLE_LINK102"/>
            <w:r>
              <w:rPr>
                <w:rFonts w:hint="eastAsia"/>
                <w:sz w:val="24"/>
                <w:szCs w:val="24"/>
              </w:rPr>
              <w:t>～</w:t>
            </w:r>
            <w:bookmarkEnd w:id="52"/>
            <w:r>
              <w:rPr>
                <w:sz w:val="24"/>
                <w:szCs w:val="24"/>
              </w:rPr>
              <w:t>103°10'05.665"、北纬</w:t>
            </w:r>
            <w:bookmarkStart w:id="53" w:name="OLE_LINK16"/>
            <w:r>
              <w:rPr>
                <w:sz w:val="24"/>
                <w:szCs w:val="24"/>
              </w:rPr>
              <w:t>26°25'14.524"</w:t>
            </w:r>
            <w:r>
              <w:rPr>
                <w:rFonts w:hint="eastAsia"/>
                <w:sz w:val="24"/>
                <w:szCs w:val="24"/>
              </w:rPr>
              <w:t>～</w:t>
            </w:r>
            <w:r>
              <w:rPr>
                <w:sz w:val="24"/>
                <w:szCs w:val="24"/>
              </w:rPr>
              <w:t>26°31'31.143</w:t>
            </w:r>
            <w:bookmarkEnd w:id="53"/>
            <w:r>
              <w:rPr>
                <w:sz w:val="24"/>
                <w:szCs w:val="24"/>
              </w:rPr>
              <w:t>"，海拔高程在</w:t>
            </w:r>
            <w:r>
              <w:rPr>
                <w:rFonts w:eastAsia="Times New Roman"/>
                <w:sz w:val="24"/>
                <w:szCs w:val="24"/>
              </w:rPr>
              <w:t>1460m</w:t>
            </w:r>
            <w:r>
              <w:rPr>
                <w:sz w:val="24"/>
                <w:szCs w:val="24"/>
              </w:rPr>
              <w:t>～</w:t>
            </w:r>
            <w:r>
              <w:rPr>
                <w:rFonts w:eastAsia="Times New Roman"/>
                <w:sz w:val="24"/>
                <w:szCs w:val="24"/>
              </w:rPr>
              <w:t>2230m</w:t>
            </w:r>
            <w:r>
              <w:rPr>
                <w:sz w:val="24"/>
                <w:szCs w:val="24"/>
              </w:rPr>
              <w:t>之间。项目新建一座</w:t>
            </w:r>
            <w:r>
              <w:rPr>
                <w:rFonts w:eastAsia="Times New Roman"/>
                <w:sz w:val="24"/>
                <w:szCs w:val="24"/>
              </w:rPr>
              <w:t>110</w:t>
            </w:r>
            <w:r>
              <w:rPr>
                <w:sz w:val="24"/>
                <w:szCs w:val="24"/>
              </w:rPr>
              <w:t>kV升压站，站址位于</w:t>
            </w:r>
            <w:bookmarkStart w:id="54" w:name="OLE_LINK103"/>
            <w:r>
              <w:rPr>
                <w:sz w:val="24"/>
                <w:szCs w:val="24"/>
              </w:rPr>
              <w:t>以礼河</w:t>
            </w:r>
            <w:bookmarkEnd w:id="54"/>
            <w:r>
              <w:rPr>
                <w:sz w:val="24"/>
                <w:szCs w:val="24"/>
              </w:rPr>
              <w:t>三级水电站</w:t>
            </w:r>
            <w:r>
              <w:rPr>
                <w:rFonts w:hint="eastAsia"/>
                <w:sz w:val="24"/>
                <w:szCs w:val="24"/>
              </w:rPr>
              <w:t>西侧预留用地内</w:t>
            </w:r>
            <w:r>
              <w:rPr>
                <w:sz w:val="24"/>
                <w:szCs w:val="24"/>
              </w:rPr>
              <w:t>，坐标103°06'01"，26°29'58"，海拔高程</w:t>
            </w:r>
            <w:r>
              <w:rPr>
                <w:rFonts w:eastAsia="Times New Roman"/>
                <w:sz w:val="24"/>
                <w:szCs w:val="24"/>
              </w:rPr>
              <w:t>1552.9m</w:t>
            </w:r>
            <w:r>
              <w:rPr>
                <w:sz w:val="24"/>
                <w:szCs w:val="24"/>
              </w:rPr>
              <w:t>。</w:t>
            </w:r>
            <w:r>
              <w:rPr>
                <w:sz w:val="24"/>
              </w:rPr>
              <w:t>场址地理位置</w:t>
            </w:r>
            <w:r>
              <w:rPr>
                <w:rFonts w:hint="eastAsia"/>
                <w:sz w:val="24"/>
              </w:rPr>
              <w:t>如图2</w:t>
            </w:r>
            <w:r>
              <w:rPr>
                <w:sz w:val="24"/>
              </w:rPr>
              <w:t>.1-1</w:t>
            </w:r>
            <w:r>
              <w:rPr>
                <w:rFonts w:hint="eastAsia"/>
                <w:sz w:val="24"/>
              </w:rPr>
              <w:t>所示</w:t>
            </w:r>
            <w:r>
              <w:rPr>
                <w:sz w:val="24"/>
              </w:rPr>
              <w:t>。</w:t>
            </w:r>
          </w:p>
          <w:p w14:paraId="64233F90">
            <w:pPr>
              <w:pStyle w:val="11"/>
              <w:adjustRightInd w:val="0"/>
              <w:spacing w:before="0" w:after="0" w:line="240" w:lineRule="auto"/>
              <w:ind w:right="0"/>
              <w:jc w:val="center"/>
              <w:rPr>
                <w:sz w:val="24"/>
              </w:rPr>
            </w:pPr>
            <w:r>
              <w:rPr>
                <w:lang w:val="en-US" w:eastAsia="zh-CN"/>
              </w:rPr>
              <mc:AlternateContent>
                <mc:Choice Requires="wps">
                  <w:drawing>
                    <wp:anchor distT="0" distB="0" distL="114300" distR="114300" simplePos="0" relativeHeight="251659264" behindDoc="0" locked="0" layoutInCell="1" allowOverlap="1">
                      <wp:simplePos x="0" y="0"/>
                      <wp:positionH relativeFrom="column">
                        <wp:posOffset>704850</wp:posOffset>
                      </wp:positionH>
                      <wp:positionV relativeFrom="paragraph">
                        <wp:posOffset>1898015</wp:posOffset>
                      </wp:positionV>
                      <wp:extent cx="140970" cy="375920"/>
                      <wp:effectExtent l="38100" t="0" r="30480" b="0"/>
                      <wp:wrapNone/>
                      <wp:docPr id="61" name="椭圆 61"/>
                      <wp:cNvGraphicFramePr/>
                      <a:graphic xmlns:a="http://schemas.openxmlformats.org/drawingml/2006/main">
                        <a:graphicData uri="http://schemas.microsoft.com/office/word/2010/wordprocessingShape">
                          <wps:wsp>
                            <wps:cNvSpPr/>
                            <wps:spPr>
                              <a:xfrm rot="20400000">
                                <a:off x="0" y="0"/>
                                <a:ext cx="140970" cy="375920"/>
                              </a:xfrm>
                              <a:prstGeom prst="ellipse">
                                <a:avLst/>
                              </a:prstGeom>
                              <a:solidFill>
                                <a:srgbClr val="00B0F0">
                                  <a:alpha val="20000"/>
                                </a:srgbClr>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5.5pt;margin-top:149.45pt;height:29.6pt;width:11.1pt;rotation:-1310720f;z-index:251659264;v-text-anchor:middle;mso-width-relative:page;mso-height-relative:page;" fillcolor="#00B0F0" filled="t" stroked="t" coordsize="21600,21600" o:gfxdata="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Eutnp7X&#10;AAAACwEAAA8AAAAAAAAAAQAgAAAAIgAAAGRycy9kb3ducmV2LnhtbFBLAQIUABQAAAAIAIdO4kCQ&#10;cDtAkwIAADYFAAAOAAAAAAAAAAEAIAAAACYBAABkcnMvZTJvRG9jLnhtbFBLBQYAAAAABgAGAFkB&#10;AAArBgAAAAA=&#10;">
                      <v:fill on="t" opacity="13107f" focussize="0,0"/>
                      <v:stroke weight="1pt" color="#FF0000" miterlimit="8" joinstyle="miter"/>
                      <v:imagedata o:title=""/>
                      <o:lock v:ext="edit" aspectratio="f"/>
                    </v:shape>
                  </w:pict>
                </mc:Fallback>
              </mc:AlternateContent>
            </w:r>
            <w:r>
              <w:rPr>
                <w:lang w:val="en-US" w:eastAsia="zh-CN"/>
              </w:rPr>
              <mc:AlternateContent>
                <mc:Choice Requires="wps">
                  <w:drawing>
                    <wp:anchor distT="0" distB="0" distL="114300" distR="114300" simplePos="0" relativeHeight="251660288" behindDoc="0" locked="0" layoutInCell="1" allowOverlap="1">
                      <wp:simplePos x="0" y="0"/>
                      <wp:positionH relativeFrom="column">
                        <wp:posOffset>889635</wp:posOffset>
                      </wp:positionH>
                      <wp:positionV relativeFrom="paragraph">
                        <wp:posOffset>1377315</wp:posOffset>
                      </wp:positionV>
                      <wp:extent cx="954405" cy="316230"/>
                      <wp:effectExtent l="152400" t="0" r="0" b="464820"/>
                      <wp:wrapNone/>
                      <wp:docPr id="58" name="矩形标注 58"/>
                      <wp:cNvGraphicFramePr/>
                      <a:graphic xmlns:a="http://schemas.openxmlformats.org/drawingml/2006/main">
                        <a:graphicData uri="http://schemas.microsoft.com/office/word/2010/wordprocessingShape">
                          <wps:wsp>
                            <wps:cNvSpPr/>
                            <wps:spPr>
                              <a:xfrm>
                                <a:off x="0" y="0"/>
                                <a:ext cx="954405" cy="316230"/>
                              </a:xfrm>
                              <a:prstGeom prst="wedgeRectCallout">
                                <a:avLst>
                                  <a:gd name="adj1" fmla="val -61007"/>
                                  <a:gd name="adj2" fmla="val 179718"/>
                                </a:avLst>
                              </a:prstGeom>
                              <a:solidFill>
                                <a:sysClr val="window" lastClr="FFFFFF"/>
                              </a:solidFill>
                              <a:ln w="9525" cap="flat" cmpd="sng" algn="ctr">
                                <a:solidFill>
                                  <a:sysClr val="windowText" lastClr="000000"/>
                                </a:solidFill>
                                <a:prstDash val="solid"/>
                                <a:miter lim="800000"/>
                              </a:ln>
                              <a:effectLst/>
                            </wps:spPr>
                            <wps:txbx>
                              <w:txbxContent>
                                <w:p w14:paraId="117E969B">
                                  <w:pPr>
                                    <w:rPr>
                                      <w:rFonts w:ascii="黑体" w:hAnsi="黑体" w:eastAsia="黑体" w:cs="黑体"/>
                                    </w:rPr>
                                  </w:pPr>
                                  <w:r>
                                    <w:rPr>
                                      <w:rFonts w:hint="eastAsia" w:ascii="黑体" w:hAnsi="黑体" w:eastAsia="黑体" w:cs="黑体"/>
                                    </w:rPr>
                                    <w:t>项目位置</w:t>
                                  </w:r>
                                </w:p>
                              </w:txbxContent>
                            </wps:txbx>
                            <wps:bodyPr rot="0" spcFirstLastPara="0" vertOverflow="overflow" horzOverflow="overflow" vert="horz" wrap="square" lIns="18000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70.05pt;margin-top:108.45pt;height:24.9pt;width:75.15pt;z-index:251660288;v-text-anchor:middle;mso-width-relative:page;mso-height-relative:page;" fillcolor="#FFFFFF" filled="t" stroked="t" coordsize="21600,21600" o:gfxdata="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FNFMdDZAAAACwEA&#10;AA8AAAAAAAAAAQAgAAAAIgAAAGRycy9kb3ducmV2LnhtbFBLAQIUABQAAAAIAIdO4kAbScKnxAIA&#10;AJcFAAAOAAAAAAAAAAEAIAAAACgBAABkcnMvZTJvRG9jLnhtbFBLBQYAAAAABgAGAFkBAABeBgAA&#10;AAA=&#10;" adj="-2378,49619">
                      <v:fill on="t" focussize="0,0"/>
                      <v:stroke color="#000000" miterlimit="8" joinstyle="miter"/>
                      <v:imagedata o:title=""/>
                      <o:lock v:ext="edit" aspectratio="f"/>
                      <v:textbox inset="5mm,1.27mm,2.54mm,1.27mm">
                        <w:txbxContent>
                          <w:p w14:paraId="117E969B">
                            <w:pPr>
                              <w:rPr>
                                <w:rFonts w:ascii="黑体" w:hAnsi="黑体" w:eastAsia="黑体" w:cs="黑体"/>
                              </w:rPr>
                            </w:pPr>
                            <w:r>
                              <w:rPr>
                                <w:rFonts w:hint="eastAsia" w:ascii="黑体" w:hAnsi="黑体" w:eastAsia="黑体" w:cs="黑体"/>
                              </w:rPr>
                              <w:t>项目位置</w:t>
                            </w:r>
                          </w:p>
                        </w:txbxContent>
                      </v:textbox>
                    </v:shape>
                  </w:pict>
                </mc:Fallback>
              </mc:AlternateContent>
            </w:r>
            <w:r>
              <w:rPr>
                <w:lang w:val="en-US" w:eastAsia="zh-CN"/>
              </w:rPr>
              <w:drawing>
                <wp:inline distT="0" distB="0" distL="0" distR="0">
                  <wp:extent cx="5046345" cy="3571240"/>
                  <wp:effectExtent l="0" t="0" r="0" b="0"/>
                  <wp:docPr id="3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046345" cy="3571240"/>
                          </a:xfrm>
                          <a:prstGeom prst="rect">
                            <a:avLst/>
                          </a:prstGeom>
                          <a:noFill/>
                          <a:ln>
                            <a:noFill/>
                          </a:ln>
                        </pic:spPr>
                      </pic:pic>
                    </a:graphicData>
                  </a:graphic>
                </wp:inline>
              </w:drawing>
            </w:r>
          </w:p>
          <w:p w14:paraId="0C6ACC40">
            <w:pPr>
              <w:adjustRightInd w:val="0"/>
              <w:snapToGrid w:val="0"/>
              <w:spacing w:line="360" w:lineRule="auto"/>
              <w:jc w:val="center"/>
              <w:rPr>
                <w:rFonts w:hint="eastAsia"/>
              </w:rPr>
            </w:pPr>
            <w:r>
              <w:rPr>
                <w:rFonts w:hint="eastAsia"/>
                <w:b/>
                <w:bCs/>
                <w:sz w:val="24"/>
                <w:szCs w:val="24"/>
              </w:rPr>
              <w:t>图2</w:t>
            </w:r>
            <w:r>
              <w:rPr>
                <w:b/>
                <w:bCs/>
                <w:sz w:val="24"/>
                <w:szCs w:val="24"/>
              </w:rPr>
              <w:t xml:space="preserve">.1-1  </w:t>
            </w:r>
            <w:r>
              <w:rPr>
                <w:rFonts w:hint="eastAsia"/>
                <w:b/>
                <w:bCs/>
                <w:sz w:val="24"/>
                <w:szCs w:val="24"/>
              </w:rPr>
              <w:t>项目区地理位置图</w:t>
            </w:r>
          </w:p>
        </w:tc>
      </w:tr>
      <w:tr w14:paraId="6169B5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354" w:type="pct"/>
            <w:noWrap/>
            <w:vAlign w:val="center"/>
          </w:tcPr>
          <w:p w14:paraId="4541ED56">
            <w:pPr>
              <w:adjustRightInd w:val="0"/>
              <w:snapToGrid w:val="0"/>
              <w:jc w:val="center"/>
              <w:rPr>
                <w:kern w:val="0"/>
                <w:sz w:val="24"/>
              </w:rPr>
            </w:pPr>
            <w:r>
              <w:rPr>
                <w:kern w:val="0"/>
                <w:sz w:val="24"/>
              </w:rPr>
              <w:t>项目组成及规模</w:t>
            </w:r>
          </w:p>
        </w:tc>
        <w:tc>
          <w:tcPr>
            <w:tcW w:w="4646" w:type="pct"/>
            <w:noWrap/>
          </w:tcPr>
          <w:p w14:paraId="2B87E343">
            <w:pPr>
              <w:autoSpaceDE w:val="0"/>
              <w:autoSpaceDN w:val="0"/>
              <w:adjustRightInd w:val="0"/>
              <w:snapToGrid w:val="0"/>
              <w:spacing w:line="360" w:lineRule="auto"/>
              <w:rPr>
                <w:b/>
                <w:bCs/>
                <w:kern w:val="0"/>
                <w:sz w:val="24"/>
              </w:rPr>
            </w:pPr>
            <w:r>
              <w:rPr>
                <w:b/>
                <w:bCs/>
                <w:kern w:val="0"/>
                <w:sz w:val="24"/>
              </w:rPr>
              <w:t>2.2</w:t>
            </w:r>
            <w:r>
              <w:rPr>
                <w:rFonts w:hint="eastAsia"/>
                <w:b/>
                <w:bCs/>
                <w:kern w:val="0"/>
                <w:sz w:val="24"/>
              </w:rPr>
              <w:t xml:space="preserve"> </w:t>
            </w:r>
            <w:r>
              <w:rPr>
                <w:b/>
                <w:bCs/>
                <w:kern w:val="0"/>
                <w:sz w:val="24"/>
              </w:rPr>
              <w:t>项目组成及规模</w:t>
            </w:r>
          </w:p>
          <w:p w14:paraId="6578B5B2">
            <w:pPr>
              <w:adjustRightInd w:val="0"/>
              <w:snapToGrid w:val="0"/>
              <w:spacing w:line="360" w:lineRule="auto"/>
              <w:rPr>
                <w:b/>
                <w:bCs/>
                <w:sz w:val="24"/>
                <w:szCs w:val="24"/>
              </w:rPr>
            </w:pPr>
            <w:r>
              <w:rPr>
                <w:rFonts w:hint="eastAsia"/>
                <w:b/>
                <w:bCs/>
                <w:sz w:val="24"/>
                <w:szCs w:val="24"/>
              </w:rPr>
              <w:t>2.2.1 项目规模</w:t>
            </w:r>
          </w:p>
          <w:p w14:paraId="23ADEBC4">
            <w:pPr>
              <w:pStyle w:val="4"/>
              <w:ind w:firstLine="480"/>
            </w:pPr>
            <w:r>
              <w:t>项目名称：</w:t>
            </w:r>
            <w:r>
              <w:rPr>
                <w:szCs w:val="24"/>
              </w:rPr>
              <w:t>绿坪村光伏发电项目</w:t>
            </w:r>
          </w:p>
          <w:p w14:paraId="7CF1064F">
            <w:pPr>
              <w:pStyle w:val="4"/>
              <w:ind w:firstLine="480"/>
            </w:pPr>
            <w:r>
              <w:t>项目性质：</w:t>
            </w:r>
            <w:r>
              <w:rPr>
                <w:rFonts w:hint="eastAsia"/>
                <w:lang w:val="en-US"/>
              </w:rPr>
              <w:t>新</w:t>
            </w:r>
            <w:r>
              <w:t>建</w:t>
            </w:r>
          </w:p>
          <w:p w14:paraId="5785D136">
            <w:pPr>
              <w:pStyle w:val="4"/>
              <w:ind w:firstLine="480"/>
            </w:pPr>
            <w:r>
              <w:t>建设地点：</w:t>
            </w:r>
            <w:r>
              <w:rPr>
                <w:szCs w:val="24"/>
              </w:rPr>
              <w:t>云南省曲靖市会泽县</w:t>
            </w:r>
          </w:p>
          <w:p w14:paraId="74759755">
            <w:pPr>
              <w:pStyle w:val="4"/>
              <w:ind w:firstLine="480"/>
            </w:pPr>
            <w:r>
              <w:t>总投资：</w:t>
            </w:r>
            <w:r>
              <w:rPr>
                <w:rFonts w:eastAsia="Times New Roman"/>
                <w:szCs w:val="24"/>
              </w:rPr>
              <w:t>22948.18</w:t>
            </w:r>
            <w:r>
              <w:t>万元</w:t>
            </w:r>
          </w:p>
          <w:p w14:paraId="7569793D">
            <w:pPr>
              <w:pStyle w:val="4"/>
              <w:ind w:firstLine="480"/>
            </w:pPr>
            <w:r>
              <w:t>建设工期：预计</w:t>
            </w:r>
            <w:r>
              <w:rPr>
                <w:rFonts w:hint="eastAsia"/>
                <w:lang w:val="en-US"/>
              </w:rPr>
              <w:t>6</w:t>
            </w:r>
            <w:r>
              <w:t>个月</w:t>
            </w:r>
          </w:p>
          <w:p w14:paraId="4CC95A2E">
            <w:pPr>
              <w:spacing w:line="360" w:lineRule="auto"/>
              <w:ind w:firstLine="480" w:firstLineChars="200"/>
              <w:rPr>
                <w:rFonts w:hint="eastAsia"/>
                <w:sz w:val="24"/>
                <w:szCs w:val="24"/>
              </w:rPr>
            </w:pPr>
            <w:r>
              <w:rPr>
                <w:rFonts w:hint="eastAsia"/>
                <w:sz w:val="24"/>
                <w:szCs w:val="24"/>
              </w:rPr>
              <w:t>建设内容及规模：本项目额定容量50MW，安装容量61.71984MWp，容配比1.23，安装85722块720Wp单晶硅光伏组件，配置逆变器157台，箱式变压器</w:t>
            </w:r>
            <w:r>
              <w:rPr>
                <w:sz w:val="24"/>
                <w:szCs w:val="24"/>
              </w:rPr>
              <w:t>21</w:t>
            </w:r>
            <w:r>
              <w:rPr>
                <w:rFonts w:hint="eastAsia"/>
                <w:sz w:val="24"/>
                <w:szCs w:val="24"/>
              </w:rPr>
              <w:t>台，项目建设包含进场道路、场内检修道路、集电线路等设施。</w:t>
            </w:r>
          </w:p>
          <w:p w14:paraId="6249F6AB">
            <w:pPr>
              <w:spacing w:line="360" w:lineRule="auto"/>
              <w:ind w:firstLine="480" w:firstLineChars="200"/>
              <w:rPr>
                <w:sz w:val="24"/>
                <w:szCs w:val="24"/>
              </w:rPr>
            </w:pPr>
            <w:r>
              <w:rPr>
                <w:rFonts w:hint="eastAsia"/>
                <w:sz w:val="24"/>
                <w:szCs w:val="24"/>
              </w:rPr>
              <w:t>工程主要技术指标见下表2.2.1-1。</w:t>
            </w:r>
          </w:p>
          <w:p w14:paraId="6CC7A41F">
            <w:pPr>
              <w:adjustRightInd w:val="0"/>
              <w:snapToGrid w:val="0"/>
              <w:spacing w:line="360" w:lineRule="auto"/>
              <w:jc w:val="center"/>
              <w:rPr>
                <w:b/>
                <w:bCs/>
                <w:sz w:val="24"/>
                <w:szCs w:val="24"/>
              </w:rPr>
            </w:pPr>
            <w:r>
              <w:rPr>
                <w:b/>
                <w:bCs/>
                <w:sz w:val="24"/>
                <w:szCs w:val="24"/>
              </w:rPr>
              <w:t>表2</w:t>
            </w:r>
            <w:r>
              <w:rPr>
                <w:rFonts w:hint="eastAsia"/>
                <w:b/>
                <w:bCs/>
                <w:sz w:val="24"/>
                <w:szCs w:val="24"/>
              </w:rPr>
              <w:t>.2.1</w:t>
            </w:r>
            <w:r>
              <w:rPr>
                <w:b/>
                <w:bCs/>
                <w:sz w:val="24"/>
                <w:szCs w:val="24"/>
              </w:rPr>
              <w:t>-</w:t>
            </w:r>
            <w:r>
              <w:rPr>
                <w:rFonts w:hint="eastAsia"/>
                <w:b/>
                <w:bCs/>
                <w:sz w:val="24"/>
                <w:szCs w:val="24"/>
              </w:rPr>
              <w:t xml:space="preserve">1  </w:t>
            </w:r>
            <w:r>
              <w:rPr>
                <w:b/>
                <w:bCs/>
                <w:sz w:val="24"/>
                <w:szCs w:val="24"/>
              </w:rPr>
              <w:t>工程主要技术指标</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82"/>
              <w:gridCol w:w="3228"/>
              <w:gridCol w:w="1520"/>
              <w:gridCol w:w="3206"/>
            </w:tblGrid>
            <w:tr w14:paraId="63EF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32CEF34D">
                  <w:pPr>
                    <w:widowControl/>
                    <w:autoSpaceDE w:val="0"/>
                    <w:autoSpaceDN w:val="0"/>
                    <w:jc w:val="center"/>
                    <w:textAlignment w:val="baseline"/>
                    <w:rPr>
                      <w:rFonts w:ascii="宋体" w:hAnsi="宋体" w:cs="宋体"/>
                      <w:b/>
                      <w:bCs/>
                    </w:rPr>
                  </w:pPr>
                  <w:r>
                    <w:rPr>
                      <w:rFonts w:ascii="宋体" w:hAnsi="宋体" w:cs="宋体"/>
                      <w:b/>
                      <w:bCs/>
                    </w:rPr>
                    <w:t>序号</w:t>
                  </w:r>
                </w:p>
              </w:tc>
              <w:tc>
                <w:tcPr>
                  <w:tcW w:w="2033" w:type="pct"/>
                  <w:vAlign w:val="center"/>
                </w:tcPr>
                <w:p w14:paraId="33B6999A">
                  <w:pPr>
                    <w:widowControl/>
                    <w:autoSpaceDE w:val="0"/>
                    <w:autoSpaceDN w:val="0"/>
                    <w:jc w:val="center"/>
                    <w:textAlignment w:val="baseline"/>
                    <w:rPr>
                      <w:rFonts w:hint="eastAsia" w:ascii="宋体" w:hAnsi="宋体" w:cs="宋体"/>
                      <w:b/>
                      <w:bCs/>
                    </w:rPr>
                  </w:pPr>
                  <w:r>
                    <w:rPr>
                      <w:rFonts w:ascii="宋体" w:hAnsi="宋体" w:cs="宋体"/>
                      <w:b/>
                      <w:bCs/>
                    </w:rPr>
                    <w:t>项目</w:t>
                  </w:r>
                  <w:r>
                    <w:rPr>
                      <w:rFonts w:hint="eastAsia" w:ascii="宋体" w:hAnsi="宋体" w:cs="宋体"/>
                      <w:b/>
                      <w:bCs/>
                    </w:rPr>
                    <w:t>名称</w:t>
                  </w:r>
                </w:p>
              </w:tc>
              <w:tc>
                <w:tcPr>
                  <w:tcW w:w="1008" w:type="pct"/>
                  <w:vAlign w:val="center"/>
                </w:tcPr>
                <w:p w14:paraId="517014C6">
                  <w:pPr>
                    <w:widowControl/>
                    <w:autoSpaceDE w:val="0"/>
                    <w:autoSpaceDN w:val="0"/>
                    <w:jc w:val="center"/>
                    <w:textAlignment w:val="baseline"/>
                    <w:rPr>
                      <w:rFonts w:ascii="宋体" w:hAnsi="宋体" w:cs="宋体"/>
                      <w:b/>
                      <w:bCs/>
                    </w:rPr>
                  </w:pPr>
                  <w:r>
                    <w:rPr>
                      <w:rFonts w:ascii="宋体" w:hAnsi="宋体" w:cs="宋体"/>
                      <w:b/>
                      <w:bCs/>
                    </w:rPr>
                    <w:t>单位</w:t>
                  </w:r>
                </w:p>
              </w:tc>
              <w:tc>
                <w:tcPr>
                  <w:tcW w:w="1633" w:type="pct"/>
                  <w:vAlign w:val="center"/>
                </w:tcPr>
                <w:p w14:paraId="5FED264F">
                  <w:pPr>
                    <w:widowControl/>
                    <w:autoSpaceDE w:val="0"/>
                    <w:autoSpaceDN w:val="0"/>
                    <w:jc w:val="center"/>
                    <w:textAlignment w:val="baseline"/>
                    <w:rPr>
                      <w:rFonts w:ascii="宋体" w:hAnsi="宋体" w:cs="宋体"/>
                      <w:b/>
                      <w:bCs/>
                    </w:rPr>
                  </w:pPr>
                  <w:r>
                    <w:rPr>
                      <w:rFonts w:ascii="宋体" w:hAnsi="宋体" w:cs="宋体"/>
                      <w:b/>
                      <w:bCs/>
                    </w:rPr>
                    <w:t>数量</w:t>
                  </w:r>
                </w:p>
              </w:tc>
            </w:tr>
            <w:tr w14:paraId="6714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00" w:type="pct"/>
                  <w:gridSpan w:val="4"/>
                  <w:vAlign w:val="center"/>
                </w:tcPr>
                <w:p w14:paraId="76E9AA5F">
                  <w:pPr>
                    <w:widowControl/>
                    <w:autoSpaceDE w:val="0"/>
                    <w:autoSpaceDN w:val="0"/>
                    <w:jc w:val="center"/>
                    <w:textAlignment w:val="baseline"/>
                    <w:rPr>
                      <w:rFonts w:ascii="宋体" w:hAnsi="宋体" w:cs="宋体"/>
                    </w:rPr>
                  </w:pPr>
                  <w:bookmarkStart w:id="55" w:name="OLE_LINK21"/>
                  <w:r>
                    <w:rPr>
                      <w:rFonts w:hint="eastAsia" w:ascii="宋体" w:hAnsi="宋体" w:cs="宋体"/>
                    </w:rPr>
                    <w:t>光伏发电工程站址概况</w:t>
                  </w:r>
                  <w:bookmarkEnd w:id="55"/>
                </w:p>
              </w:tc>
            </w:tr>
            <w:tr w14:paraId="4F51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3CD85FF8">
                  <w:pPr>
                    <w:widowControl/>
                    <w:autoSpaceDE w:val="0"/>
                    <w:autoSpaceDN w:val="0"/>
                    <w:jc w:val="center"/>
                    <w:textAlignment w:val="baseline"/>
                  </w:pPr>
                  <w:r>
                    <w:t>1</w:t>
                  </w:r>
                </w:p>
              </w:tc>
              <w:tc>
                <w:tcPr>
                  <w:tcW w:w="2033" w:type="pct"/>
                  <w:vAlign w:val="center"/>
                </w:tcPr>
                <w:p w14:paraId="444B4804">
                  <w:pPr>
                    <w:widowControl/>
                    <w:autoSpaceDE w:val="0"/>
                    <w:autoSpaceDN w:val="0"/>
                    <w:jc w:val="center"/>
                    <w:textAlignment w:val="baseline"/>
                  </w:pPr>
                  <w:r>
                    <w:t>额定容量</w:t>
                  </w:r>
                </w:p>
              </w:tc>
              <w:tc>
                <w:tcPr>
                  <w:tcW w:w="1008" w:type="pct"/>
                  <w:vAlign w:val="center"/>
                </w:tcPr>
                <w:p w14:paraId="593AA126">
                  <w:pPr>
                    <w:widowControl/>
                    <w:autoSpaceDE w:val="0"/>
                    <w:autoSpaceDN w:val="0"/>
                    <w:jc w:val="center"/>
                    <w:textAlignment w:val="baseline"/>
                  </w:pPr>
                  <w:r>
                    <w:t>MW</w:t>
                  </w:r>
                </w:p>
              </w:tc>
              <w:tc>
                <w:tcPr>
                  <w:tcW w:w="1633" w:type="pct"/>
                  <w:vAlign w:val="center"/>
                </w:tcPr>
                <w:p w14:paraId="4DB82F97">
                  <w:pPr>
                    <w:widowControl/>
                    <w:autoSpaceDE w:val="0"/>
                    <w:autoSpaceDN w:val="0"/>
                    <w:jc w:val="center"/>
                    <w:textAlignment w:val="baseline"/>
                  </w:pPr>
                  <w:r>
                    <w:t>50</w:t>
                  </w:r>
                </w:p>
              </w:tc>
            </w:tr>
            <w:tr w14:paraId="461F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0E53AF51">
                  <w:pPr>
                    <w:widowControl/>
                    <w:autoSpaceDE w:val="0"/>
                    <w:autoSpaceDN w:val="0"/>
                    <w:jc w:val="center"/>
                    <w:textAlignment w:val="baseline"/>
                  </w:pPr>
                  <w:r>
                    <w:t>2</w:t>
                  </w:r>
                </w:p>
              </w:tc>
              <w:tc>
                <w:tcPr>
                  <w:tcW w:w="2033" w:type="pct"/>
                  <w:vAlign w:val="center"/>
                </w:tcPr>
                <w:p w14:paraId="6E461780">
                  <w:pPr>
                    <w:widowControl/>
                    <w:autoSpaceDE w:val="0"/>
                    <w:autoSpaceDN w:val="0"/>
                    <w:jc w:val="center"/>
                    <w:textAlignment w:val="baseline"/>
                  </w:pPr>
                  <w:r>
                    <w:t>安装容量</w:t>
                  </w:r>
                </w:p>
              </w:tc>
              <w:tc>
                <w:tcPr>
                  <w:tcW w:w="1008" w:type="pct"/>
                  <w:vAlign w:val="center"/>
                </w:tcPr>
                <w:p w14:paraId="365533E2">
                  <w:pPr>
                    <w:widowControl/>
                    <w:autoSpaceDE w:val="0"/>
                    <w:autoSpaceDN w:val="0"/>
                    <w:jc w:val="center"/>
                    <w:textAlignment w:val="baseline"/>
                  </w:pPr>
                  <w:r>
                    <w:t>MWp</w:t>
                  </w:r>
                </w:p>
              </w:tc>
              <w:tc>
                <w:tcPr>
                  <w:tcW w:w="1633" w:type="pct"/>
                  <w:vAlign w:val="center"/>
                </w:tcPr>
                <w:p w14:paraId="00C901C5">
                  <w:pPr>
                    <w:widowControl/>
                    <w:autoSpaceDE w:val="0"/>
                    <w:autoSpaceDN w:val="0"/>
                    <w:jc w:val="center"/>
                    <w:textAlignment w:val="baseline"/>
                  </w:pPr>
                  <w:r>
                    <w:t>61.71984</w:t>
                  </w:r>
                </w:p>
              </w:tc>
            </w:tr>
            <w:tr w14:paraId="36C0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099EB02D">
                  <w:pPr>
                    <w:widowControl/>
                    <w:autoSpaceDE w:val="0"/>
                    <w:autoSpaceDN w:val="0"/>
                    <w:jc w:val="center"/>
                    <w:textAlignment w:val="baseline"/>
                  </w:pPr>
                  <w:r>
                    <w:t>3</w:t>
                  </w:r>
                </w:p>
              </w:tc>
              <w:tc>
                <w:tcPr>
                  <w:tcW w:w="2033" w:type="pct"/>
                  <w:vAlign w:val="center"/>
                </w:tcPr>
                <w:p w14:paraId="09A03845">
                  <w:pPr>
                    <w:widowControl/>
                    <w:autoSpaceDE w:val="0"/>
                    <w:autoSpaceDN w:val="0"/>
                    <w:jc w:val="center"/>
                    <w:textAlignment w:val="baseline"/>
                  </w:pPr>
                  <w:r>
                    <w:t>总用地面积</w:t>
                  </w:r>
                </w:p>
              </w:tc>
              <w:tc>
                <w:tcPr>
                  <w:tcW w:w="1008" w:type="pct"/>
                  <w:vAlign w:val="center"/>
                </w:tcPr>
                <w:p w14:paraId="043E07B5">
                  <w:pPr>
                    <w:widowControl/>
                    <w:autoSpaceDE w:val="0"/>
                    <w:autoSpaceDN w:val="0"/>
                    <w:jc w:val="center"/>
                    <w:textAlignment w:val="baseline"/>
                  </w:pPr>
                  <w:r>
                    <w:t>公顷</w:t>
                  </w:r>
                </w:p>
              </w:tc>
              <w:tc>
                <w:tcPr>
                  <w:tcW w:w="1633" w:type="pct"/>
                  <w:vAlign w:val="center"/>
                </w:tcPr>
                <w:p w14:paraId="765FC82A">
                  <w:pPr>
                    <w:widowControl/>
                    <w:autoSpaceDE w:val="0"/>
                    <w:autoSpaceDN w:val="0"/>
                    <w:jc w:val="center"/>
                    <w:textAlignment w:val="baseline"/>
                  </w:pPr>
                  <w:r>
                    <w:t>86.97</w:t>
                  </w:r>
                </w:p>
              </w:tc>
            </w:tr>
            <w:tr w14:paraId="04C4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6AE2AEF4">
                  <w:pPr>
                    <w:widowControl/>
                    <w:autoSpaceDE w:val="0"/>
                    <w:autoSpaceDN w:val="0"/>
                    <w:jc w:val="center"/>
                    <w:textAlignment w:val="baseline"/>
                  </w:pPr>
                  <w:r>
                    <w:t>4</w:t>
                  </w:r>
                </w:p>
              </w:tc>
              <w:tc>
                <w:tcPr>
                  <w:tcW w:w="2033" w:type="pct"/>
                  <w:vAlign w:val="center"/>
                </w:tcPr>
                <w:p w14:paraId="64762013">
                  <w:pPr>
                    <w:widowControl/>
                    <w:autoSpaceDE w:val="0"/>
                    <w:autoSpaceDN w:val="0"/>
                    <w:jc w:val="center"/>
                    <w:textAlignment w:val="baseline"/>
                  </w:pPr>
                  <w:r>
                    <w:t>升压站用地面积</w:t>
                  </w:r>
                </w:p>
              </w:tc>
              <w:tc>
                <w:tcPr>
                  <w:tcW w:w="1008" w:type="pct"/>
                  <w:vAlign w:val="center"/>
                </w:tcPr>
                <w:p w14:paraId="7E844C27">
                  <w:pPr>
                    <w:widowControl/>
                    <w:autoSpaceDE w:val="0"/>
                    <w:autoSpaceDN w:val="0"/>
                    <w:jc w:val="center"/>
                    <w:textAlignment w:val="baseline"/>
                  </w:pPr>
                  <w:r>
                    <w:t>m</w:t>
                  </w:r>
                  <w:r>
                    <w:rPr>
                      <w:vertAlign w:val="superscript"/>
                    </w:rPr>
                    <w:t>2</w:t>
                  </w:r>
                </w:p>
              </w:tc>
              <w:tc>
                <w:tcPr>
                  <w:tcW w:w="1633" w:type="pct"/>
                  <w:vAlign w:val="center"/>
                </w:tcPr>
                <w:p w14:paraId="60D1F33A">
                  <w:pPr>
                    <w:widowControl/>
                    <w:autoSpaceDE w:val="0"/>
                    <w:autoSpaceDN w:val="0"/>
                    <w:jc w:val="center"/>
                    <w:textAlignment w:val="baseline"/>
                  </w:pPr>
                  <w:r>
                    <w:t>4350</w:t>
                  </w:r>
                </w:p>
              </w:tc>
            </w:tr>
            <w:tr w14:paraId="53DF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21C25A97">
                  <w:pPr>
                    <w:widowControl/>
                    <w:autoSpaceDE w:val="0"/>
                    <w:autoSpaceDN w:val="0"/>
                    <w:jc w:val="center"/>
                    <w:textAlignment w:val="baseline"/>
                  </w:pPr>
                  <w:r>
                    <w:t>5</w:t>
                  </w:r>
                </w:p>
              </w:tc>
              <w:tc>
                <w:tcPr>
                  <w:tcW w:w="2033" w:type="pct"/>
                  <w:vAlign w:val="center"/>
                </w:tcPr>
                <w:p w14:paraId="5223D8DC">
                  <w:pPr>
                    <w:widowControl/>
                    <w:autoSpaceDE w:val="0"/>
                    <w:autoSpaceDN w:val="0"/>
                    <w:jc w:val="center"/>
                    <w:textAlignment w:val="baseline"/>
                  </w:pPr>
                  <w:r>
                    <w:t>场址地理坐标范围</w:t>
                  </w:r>
                </w:p>
              </w:tc>
              <w:tc>
                <w:tcPr>
                  <w:tcW w:w="1008" w:type="pct"/>
                  <w:vAlign w:val="center"/>
                </w:tcPr>
                <w:p w14:paraId="256C335B">
                  <w:pPr>
                    <w:widowControl/>
                    <w:autoSpaceDE w:val="0"/>
                    <w:autoSpaceDN w:val="0"/>
                    <w:jc w:val="center"/>
                    <w:textAlignment w:val="baseline"/>
                  </w:pPr>
                  <w:r>
                    <w:rPr>
                      <w:rFonts w:hint="eastAsia"/>
                    </w:rPr>
                    <w:t>/</w:t>
                  </w:r>
                </w:p>
              </w:tc>
              <w:tc>
                <w:tcPr>
                  <w:tcW w:w="1633" w:type="pct"/>
                  <w:vAlign w:val="center"/>
                </w:tcPr>
                <w:p w14:paraId="40275F2B">
                  <w:pPr>
                    <w:widowControl/>
                    <w:autoSpaceDE w:val="0"/>
                    <w:autoSpaceDN w:val="0"/>
                    <w:jc w:val="center"/>
                    <w:textAlignment w:val="baseline"/>
                    <w:rPr>
                      <w:rFonts w:hint="eastAsia"/>
                    </w:rPr>
                  </w:pPr>
                  <w:r>
                    <w:t>东经</w:t>
                  </w:r>
                  <w:r>
                    <w:rPr>
                      <w:rFonts w:hint="eastAsia"/>
                    </w:rPr>
                    <w:t>103°04'32.696"~103°10'05.665"</w:t>
                  </w:r>
                  <w:r>
                    <w:t>、北纬</w:t>
                  </w:r>
                  <w:r>
                    <w:rPr>
                      <w:rFonts w:hint="eastAsia"/>
                    </w:rPr>
                    <w:t>26°25'14.524"~26°31'31.143</w:t>
                  </w:r>
                  <w:r>
                    <w:t>"</w:t>
                  </w:r>
                </w:p>
              </w:tc>
            </w:tr>
            <w:tr w14:paraId="2D0D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13D77872">
                  <w:pPr>
                    <w:widowControl/>
                    <w:autoSpaceDE w:val="0"/>
                    <w:autoSpaceDN w:val="0"/>
                    <w:jc w:val="center"/>
                    <w:textAlignment w:val="baseline"/>
                  </w:pPr>
                  <w:r>
                    <w:t>6</w:t>
                  </w:r>
                </w:p>
              </w:tc>
              <w:tc>
                <w:tcPr>
                  <w:tcW w:w="2033" w:type="pct"/>
                  <w:vAlign w:val="center"/>
                </w:tcPr>
                <w:p w14:paraId="560B6BA2">
                  <w:pPr>
                    <w:widowControl/>
                    <w:autoSpaceDE w:val="0"/>
                    <w:autoSpaceDN w:val="0"/>
                    <w:jc w:val="center"/>
                    <w:textAlignment w:val="baseline"/>
                  </w:pPr>
                  <w:r>
                    <w:t>场址高程</w:t>
                  </w:r>
                </w:p>
              </w:tc>
              <w:tc>
                <w:tcPr>
                  <w:tcW w:w="1008" w:type="pct"/>
                  <w:vAlign w:val="center"/>
                </w:tcPr>
                <w:p w14:paraId="485FDF4D">
                  <w:pPr>
                    <w:widowControl/>
                    <w:autoSpaceDE w:val="0"/>
                    <w:autoSpaceDN w:val="0"/>
                    <w:jc w:val="center"/>
                    <w:textAlignment w:val="baseline"/>
                  </w:pPr>
                </w:p>
              </w:tc>
              <w:tc>
                <w:tcPr>
                  <w:tcW w:w="1633" w:type="pct"/>
                  <w:vAlign w:val="center"/>
                </w:tcPr>
                <w:p w14:paraId="356E9448">
                  <w:pPr>
                    <w:widowControl/>
                    <w:autoSpaceDE w:val="0"/>
                    <w:autoSpaceDN w:val="0"/>
                    <w:jc w:val="center"/>
                    <w:textAlignment w:val="baseline"/>
                  </w:pPr>
                  <w:r>
                    <w:t>1460m～2230m</w:t>
                  </w:r>
                </w:p>
              </w:tc>
            </w:tr>
            <w:tr w14:paraId="19C3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07CD1F4B">
                  <w:pPr>
                    <w:widowControl/>
                    <w:autoSpaceDE w:val="0"/>
                    <w:autoSpaceDN w:val="0"/>
                    <w:jc w:val="center"/>
                    <w:textAlignment w:val="baseline"/>
                  </w:pPr>
                  <w:r>
                    <w:t>7</w:t>
                  </w:r>
                </w:p>
              </w:tc>
              <w:tc>
                <w:tcPr>
                  <w:tcW w:w="2033" w:type="pct"/>
                  <w:vAlign w:val="center"/>
                </w:tcPr>
                <w:p w14:paraId="1D0F3DD3">
                  <w:pPr>
                    <w:widowControl/>
                    <w:autoSpaceDE w:val="0"/>
                    <w:autoSpaceDN w:val="0"/>
                    <w:jc w:val="center"/>
                    <w:textAlignment w:val="baseline"/>
                  </w:pPr>
                  <w:r>
                    <w:t>代表年太阳总辐射量</w:t>
                  </w:r>
                </w:p>
              </w:tc>
              <w:tc>
                <w:tcPr>
                  <w:tcW w:w="1008" w:type="pct"/>
                  <w:vAlign w:val="center"/>
                </w:tcPr>
                <w:p w14:paraId="24162FBF">
                  <w:pPr>
                    <w:widowControl/>
                    <w:autoSpaceDE w:val="0"/>
                    <w:autoSpaceDN w:val="0"/>
                    <w:jc w:val="center"/>
                    <w:textAlignment w:val="baseline"/>
                  </w:pPr>
                  <w:r>
                    <w:t>MJ/m</w:t>
                  </w:r>
                  <w:r>
                    <w:rPr>
                      <w:vertAlign w:val="superscript"/>
                    </w:rPr>
                    <w:t>2</w:t>
                  </w:r>
                </w:p>
              </w:tc>
              <w:tc>
                <w:tcPr>
                  <w:tcW w:w="1633" w:type="pct"/>
                  <w:vAlign w:val="center"/>
                </w:tcPr>
                <w:p w14:paraId="67A58997">
                  <w:pPr>
                    <w:widowControl/>
                    <w:autoSpaceDE w:val="0"/>
                    <w:autoSpaceDN w:val="0"/>
                    <w:jc w:val="center"/>
                    <w:textAlignment w:val="baseline"/>
                  </w:pPr>
                  <w:r>
                    <w:t>5910.8</w:t>
                  </w:r>
                </w:p>
              </w:tc>
            </w:tr>
            <w:tr w14:paraId="1233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378F275E">
                  <w:pPr>
                    <w:widowControl/>
                    <w:autoSpaceDE w:val="0"/>
                    <w:autoSpaceDN w:val="0"/>
                    <w:jc w:val="center"/>
                    <w:textAlignment w:val="baseline"/>
                  </w:pPr>
                  <w:r>
                    <w:t>8</w:t>
                  </w:r>
                </w:p>
              </w:tc>
              <w:tc>
                <w:tcPr>
                  <w:tcW w:w="2033" w:type="pct"/>
                  <w:vAlign w:val="center"/>
                </w:tcPr>
                <w:p w14:paraId="16DE888C">
                  <w:pPr>
                    <w:widowControl/>
                    <w:autoSpaceDE w:val="0"/>
                    <w:autoSpaceDN w:val="0"/>
                    <w:jc w:val="center"/>
                    <w:textAlignment w:val="baseline"/>
                  </w:pPr>
                  <w:r>
                    <w:t>系统综合效率（含背面增益）</w:t>
                  </w:r>
                </w:p>
              </w:tc>
              <w:tc>
                <w:tcPr>
                  <w:tcW w:w="1008" w:type="pct"/>
                  <w:vAlign w:val="center"/>
                </w:tcPr>
                <w:p w14:paraId="1173236E">
                  <w:pPr>
                    <w:widowControl/>
                    <w:autoSpaceDE w:val="0"/>
                    <w:autoSpaceDN w:val="0"/>
                    <w:jc w:val="center"/>
                    <w:textAlignment w:val="baseline"/>
                  </w:pPr>
                  <w:r>
                    <w:t>%</w:t>
                  </w:r>
                </w:p>
              </w:tc>
              <w:tc>
                <w:tcPr>
                  <w:tcW w:w="1633" w:type="pct"/>
                  <w:vAlign w:val="center"/>
                </w:tcPr>
                <w:p w14:paraId="3EFD63BD">
                  <w:pPr>
                    <w:widowControl/>
                    <w:autoSpaceDE w:val="0"/>
                    <w:autoSpaceDN w:val="0"/>
                    <w:jc w:val="center"/>
                    <w:textAlignment w:val="baseline"/>
                  </w:pPr>
                  <w:r>
                    <w:t>82.40</w:t>
                  </w:r>
                </w:p>
              </w:tc>
            </w:tr>
            <w:tr w14:paraId="673D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00" w:type="pct"/>
                  <w:gridSpan w:val="4"/>
                  <w:vAlign w:val="center"/>
                </w:tcPr>
                <w:p w14:paraId="3BB1EB74">
                  <w:pPr>
                    <w:widowControl/>
                    <w:autoSpaceDE w:val="0"/>
                    <w:autoSpaceDN w:val="0"/>
                    <w:jc w:val="center"/>
                    <w:textAlignment w:val="baseline"/>
                    <w:rPr>
                      <w:rFonts w:ascii="宋体" w:hAnsi="宋体" w:cs="宋体"/>
                    </w:rPr>
                  </w:pPr>
                  <w:r>
                    <w:rPr>
                      <w:rFonts w:hint="eastAsia" w:ascii="宋体" w:hAnsi="宋体" w:cs="宋体"/>
                    </w:rPr>
                    <w:t>二、</w:t>
                  </w:r>
                  <w:r>
                    <w:rPr>
                      <w:rFonts w:ascii="宋体" w:hAnsi="宋体" w:cs="宋体"/>
                    </w:rPr>
                    <w:t>光伏组件</w:t>
                  </w:r>
                </w:p>
              </w:tc>
            </w:tr>
            <w:tr w14:paraId="641D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2E924D58">
                  <w:pPr>
                    <w:pStyle w:val="208"/>
                    <w:widowControl/>
                    <w:numPr>
                      <w:ilvl w:val="0"/>
                      <w:numId w:val="3"/>
                    </w:numPr>
                    <w:autoSpaceDE w:val="0"/>
                    <w:autoSpaceDN w:val="0"/>
                    <w:jc w:val="center"/>
                    <w:textAlignment w:val="baseline"/>
                    <w:rPr>
                      <w:sz w:val="21"/>
                      <w:szCs w:val="21"/>
                    </w:rPr>
                  </w:pPr>
                </w:p>
              </w:tc>
              <w:tc>
                <w:tcPr>
                  <w:tcW w:w="2033" w:type="pct"/>
                  <w:vAlign w:val="center"/>
                </w:tcPr>
                <w:p w14:paraId="7B8E598A">
                  <w:pPr>
                    <w:widowControl/>
                    <w:autoSpaceDE w:val="0"/>
                    <w:autoSpaceDN w:val="0"/>
                    <w:jc w:val="center"/>
                    <w:textAlignment w:val="baseline"/>
                    <w:rPr>
                      <w:rFonts w:ascii="宋体" w:hAnsi="宋体" w:cs="宋体"/>
                    </w:rPr>
                  </w:pPr>
                  <w:r>
                    <w:rPr>
                      <w:rFonts w:ascii="宋体" w:hAnsi="宋体" w:cs="宋体"/>
                    </w:rPr>
                    <w:t>峰值功率</w:t>
                  </w:r>
                </w:p>
              </w:tc>
              <w:tc>
                <w:tcPr>
                  <w:tcW w:w="1008" w:type="pct"/>
                  <w:vAlign w:val="center"/>
                </w:tcPr>
                <w:p w14:paraId="4EF5C774">
                  <w:pPr>
                    <w:pStyle w:val="208"/>
                    <w:widowControl/>
                    <w:autoSpaceDE w:val="0"/>
                    <w:autoSpaceDN w:val="0"/>
                    <w:jc w:val="center"/>
                    <w:textAlignment w:val="baseline"/>
                    <w:rPr>
                      <w:sz w:val="21"/>
                      <w:szCs w:val="21"/>
                    </w:rPr>
                  </w:pPr>
                  <w:r>
                    <w:rPr>
                      <w:sz w:val="21"/>
                      <w:szCs w:val="21"/>
                    </w:rPr>
                    <w:t>Wp</w:t>
                  </w:r>
                </w:p>
              </w:tc>
              <w:tc>
                <w:tcPr>
                  <w:tcW w:w="1633" w:type="pct"/>
                  <w:vAlign w:val="center"/>
                </w:tcPr>
                <w:p w14:paraId="50976017">
                  <w:pPr>
                    <w:pStyle w:val="208"/>
                    <w:widowControl/>
                    <w:autoSpaceDE w:val="0"/>
                    <w:autoSpaceDN w:val="0"/>
                    <w:jc w:val="center"/>
                    <w:textAlignment w:val="baseline"/>
                    <w:rPr>
                      <w:sz w:val="21"/>
                      <w:szCs w:val="21"/>
                    </w:rPr>
                  </w:pPr>
                  <w:r>
                    <w:rPr>
                      <w:sz w:val="21"/>
                      <w:szCs w:val="21"/>
                    </w:rPr>
                    <w:t>720</w:t>
                  </w:r>
                </w:p>
              </w:tc>
            </w:tr>
            <w:tr w14:paraId="07192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54FE40B5">
                  <w:pPr>
                    <w:pStyle w:val="208"/>
                    <w:widowControl/>
                    <w:numPr>
                      <w:ilvl w:val="0"/>
                      <w:numId w:val="3"/>
                    </w:numPr>
                    <w:autoSpaceDE w:val="0"/>
                    <w:autoSpaceDN w:val="0"/>
                    <w:jc w:val="center"/>
                    <w:textAlignment w:val="baseline"/>
                    <w:rPr>
                      <w:sz w:val="21"/>
                      <w:szCs w:val="21"/>
                    </w:rPr>
                  </w:pPr>
                </w:p>
              </w:tc>
              <w:tc>
                <w:tcPr>
                  <w:tcW w:w="2033" w:type="pct"/>
                  <w:vAlign w:val="center"/>
                </w:tcPr>
                <w:p w14:paraId="168B55B3">
                  <w:pPr>
                    <w:widowControl/>
                    <w:autoSpaceDE w:val="0"/>
                    <w:autoSpaceDN w:val="0"/>
                    <w:jc w:val="center"/>
                    <w:textAlignment w:val="baseline"/>
                    <w:rPr>
                      <w:rFonts w:ascii="宋体" w:hAnsi="宋体" w:cs="宋体"/>
                    </w:rPr>
                  </w:pPr>
                  <w:r>
                    <w:rPr>
                      <w:rFonts w:ascii="宋体" w:hAnsi="宋体" w:cs="宋体"/>
                    </w:rPr>
                    <w:t>组件长</w:t>
                  </w:r>
                </w:p>
              </w:tc>
              <w:tc>
                <w:tcPr>
                  <w:tcW w:w="1008" w:type="pct"/>
                  <w:vAlign w:val="center"/>
                </w:tcPr>
                <w:p w14:paraId="729444B2">
                  <w:pPr>
                    <w:pStyle w:val="208"/>
                    <w:widowControl/>
                    <w:autoSpaceDE w:val="0"/>
                    <w:autoSpaceDN w:val="0"/>
                    <w:jc w:val="center"/>
                    <w:textAlignment w:val="baseline"/>
                    <w:rPr>
                      <w:sz w:val="21"/>
                      <w:szCs w:val="21"/>
                    </w:rPr>
                  </w:pPr>
                  <w:r>
                    <w:rPr>
                      <w:sz w:val="21"/>
                      <w:szCs w:val="21"/>
                    </w:rPr>
                    <w:t>mm</w:t>
                  </w:r>
                </w:p>
              </w:tc>
              <w:tc>
                <w:tcPr>
                  <w:tcW w:w="1633" w:type="pct"/>
                  <w:vAlign w:val="center"/>
                </w:tcPr>
                <w:p w14:paraId="0FA86191">
                  <w:pPr>
                    <w:pStyle w:val="208"/>
                    <w:widowControl/>
                    <w:autoSpaceDE w:val="0"/>
                    <w:autoSpaceDN w:val="0"/>
                    <w:jc w:val="center"/>
                    <w:textAlignment w:val="baseline"/>
                    <w:rPr>
                      <w:sz w:val="21"/>
                      <w:szCs w:val="21"/>
                    </w:rPr>
                  </w:pPr>
                  <w:r>
                    <w:rPr>
                      <w:sz w:val="21"/>
                      <w:szCs w:val="21"/>
                    </w:rPr>
                    <w:t>2384</w:t>
                  </w:r>
                </w:p>
              </w:tc>
            </w:tr>
            <w:tr w14:paraId="040A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7B66EFFD">
                  <w:pPr>
                    <w:pStyle w:val="208"/>
                    <w:widowControl/>
                    <w:numPr>
                      <w:ilvl w:val="0"/>
                      <w:numId w:val="3"/>
                    </w:numPr>
                    <w:autoSpaceDE w:val="0"/>
                    <w:autoSpaceDN w:val="0"/>
                    <w:jc w:val="center"/>
                    <w:textAlignment w:val="baseline"/>
                    <w:rPr>
                      <w:sz w:val="21"/>
                      <w:szCs w:val="21"/>
                    </w:rPr>
                  </w:pPr>
                </w:p>
              </w:tc>
              <w:tc>
                <w:tcPr>
                  <w:tcW w:w="2033" w:type="pct"/>
                  <w:vAlign w:val="center"/>
                </w:tcPr>
                <w:p w14:paraId="16981C0E">
                  <w:pPr>
                    <w:widowControl/>
                    <w:autoSpaceDE w:val="0"/>
                    <w:autoSpaceDN w:val="0"/>
                    <w:jc w:val="center"/>
                    <w:textAlignment w:val="baseline"/>
                    <w:rPr>
                      <w:rFonts w:ascii="宋体" w:hAnsi="宋体" w:cs="宋体"/>
                    </w:rPr>
                  </w:pPr>
                  <w:r>
                    <w:rPr>
                      <w:rFonts w:ascii="宋体" w:hAnsi="宋体" w:cs="宋体"/>
                    </w:rPr>
                    <w:t>组件宽</w:t>
                  </w:r>
                </w:p>
              </w:tc>
              <w:tc>
                <w:tcPr>
                  <w:tcW w:w="1008" w:type="pct"/>
                  <w:vAlign w:val="center"/>
                </w:tcPr>
                <w:p w14:paraId="144EBC40">
                  <w:pPr>
                    <w:pStyle w:val="208"/>
                    <w:widowControl/>
                    <w:autoSpaceDE w:val="0"/>
                    <w:autoSpaceDN w:val="0"/>
                    <w:jc w:val="center"/>
                    <w:textAlignment w:val="baseline"/>
                    <w:rPr>
                      <w:sz w:val="21"/>
                      <w:szCs w:val="21"/>
                    </w:rPr>
                  </w:pPr>
                  <w:r>
                    <w:rPr>
                      <w:sz w:val="21"/>
                      <w:szCs w:val="21"/>
                    </w:rPr>
                    <w:t>mm</w:t>
                  </w:r>
                </w:p>
              </w:tc>
              <w:tc>
                <w:tcPr>
                  <w:tcW w:w="1633" w:type="pct"/>
                  <w:vAlign w:val="center"/>
                </w:tcPr>
                <w:p w14:paraId="20309629">
                  <w:pPr>
                    <w:pStyle w:val="208"/>
                    <w:widowControl/>
                    <w:autoSpaceDE w:val="0"/>
                    <w:autoSpaceDN w:val="0"/>
                    <w:jc w:val="center"/>
                    <w:textAlignment w:val="baseline"/>
                    <w:rPr>
                      <w:sz w:val="21"/>
                      <w:szCs w:val="21"/>
                    </w:rPr>
                  </w:pPr>
                  <w:r>
                    <w:rPr>
                      <w:sz w:val="21"/>
                      <w:szCs w:val="21"/>
                    </w:rPr>
                    <w:t>1303</w:t>
                  </w:r>
                </w:p>
              </w:tc>
            </w:tr>
            <w:tr w14:paraId="62C8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3D24097D">
                  <w:pPr>
                    <w:pStyle w:val="208"/>
                    <w:widowControl/>
                    <w:numPr>
                      <w:ilvl w:val="0"/>
                      <w:numId w:val="3"/>
                    </w:numPr>
                    <w:autoSpaceDE w:val="0"/>
                    <w:autoSpaceDN w:val="0"/>
                    <w:jc w:val="center"/>
                    <w:textAlignment w:val="baseline"/>
                    <w:rPr>
                      <w:sz w:val="21"/>
                      <w:szCs w:val="21"/>
                    </w:rPr>
                  </w:pPr>
                </w:p>
              </w:tc>
              <w:tc>
                <w:tcPr>
                  <w:tcW w:w="2033" w:type="pct"/>
                  <w:vAlign w:val="center"/>
                </w:tcPr>
                <w:p w14:paraId="3F1D812E">
                  <w:pPr>
                    <w:widowControl/>
                    <w:autoSpaceDE w:val="0"/>
                    <w:autoSpaceDN w:val="0"/>
                    <w:jc w:val="center"/>
                    <w:textAlignment w:val="baseline"/>
                    <w:rPr>
                      <w:rFonts w:ascii="宋体" w:hAnsi="宋体" w:cs="宋体"/>
                    </w:rPr>
                  </w:pPr>
                  <w:r>
                    <w:rPr>
                      <w:rFonts w:ascii="宋体" w:hAnsi="宋体" w:cs="宋体"/>
                    </w:rPr>
                    <w:t>组件高</w:t>
                  </w:r>
                </w:p>
              </w:tc>
              <w:tc>
                <w:tcPr>
                  <w:tcW w:w="1008" w:type="pct"/>
                  <w:vAlign w:val="center"/>
                </w:tcPr>
                <w:p w14:paraId="18D7EB2B">
                  <w:pPr>
                    <w:pStyle w:val="208"/>
                    <w:widowControl/>
                    <w:autoSpaceDE w:val="0"/>
                    <w:autoSpaceDN w:val="0"/>
                    <w:jc w:val="center"/>
                    <w:textAlignment w:val="baseline"/>
                    <w:rPr>
                      <w:sz w:val="21"/>
                      <w:szCs w:val="21"/>
                    </w:rPr>
                  </w:pPr>
                  <w:r>
                    <w:rPr>
                      <w:sz w:val="21"/>
                      <w:szCs w:val="21"/>
                    </w:rPr>
                    <w:t>mm</w:t>
                  </w:r>
                </w:p>
              </w:tc>
              <w:tc>
                <w:tcPr>
                  <w:tcW w:w="1633" w:type="pct"/>
                  <w:vAlign w:val="center"/>
                </w:tcPr>
                <w:p w14:paraId="2D992A12">
                  <w:pPr>
                    <w:pStyle w:val="208"/>
                    <w:widowControl/>
                    <w:autoSpaceDE w:val="0"/>
                    <w:autoSpaceDN w:val="0"/>
                    <w:jc w:val="center"/>
                    <w:textAlignment w:val="baseline"/>
                    <w:rPr>
                      <w:sz w:val="21"/>
                      <w:szCs w:val="21"/>
                    </w:rPr>
                  </w:pPr>
                  <w:r>
                    <w:rPr>
                      <w:sz w:val="21"/>
                      <w:szCs w:val="21"/>
                    </w:rPr>
                    <w:t>33</w:t>
                  </w:r>
                </w:p>
              </w:tc>
            </w:tr>
            <w:tr w14:paraId="200C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318CF45B">
                  <w:pPr>
                    <w:pStyle w:val="208"/>
                    <w:widowControl/>
                    <w:numPr>
                      <w:ilvl w:val="0"/>
                      <w:numId w:val="3"/>
                    </w:numPr>
                    <w:autoSpaceDE w:val="0"/>
                    <w:autoSpaceDN w:val="0"/>
                    <w:jc w:val="center"/>
                    <w:textAlignment w:val="baseline"/>
                    <w:rPr>
                      <w:sz w:val="21"/>
                      <w:szCs w:val="21"/>
                    </w:rPr>
                  </w:pPr>
                </w:p>
              </w:tc>
              <w:tc>
                <w:tcPr>
                  <w:tcW w:w="2033" w:type="pct"/>
                  <w:vAlign w:val="center"/>
                </w:tcPr>
                <w:p w14:paraId="66D5E0B0">
                  <w:pPr>
                    <w:widowControl/>
                    <w:autoSpaceDE w:val="0"/>
                    <w:autoSpaceDN w:val="0"/>
                    <w:jc w:val="center"/>
                    <w:textAlignment w:val="baseline"/>
                    <w:rPr>
                      <w:rFonts w:ascii="宋体" w:hAnsi="宋体" w:cs="宋体"/>
                    </w:rPr>
                  </w:pPr>
                  <w:r>
                    <w:rPr>
                      <w:rFonts w:ascii="宋体" w:hAnsi="宋体" w:cs="宋体"/>
                    </w:rPr>
                    <w:t>光伏组件的开路电压</w:t>
                  </w:r>
                </w:p>
              </w:tc>
              <w:tc>
                <w:tcPr>
                  <w:tcW w:w="1008" w:type="pct"/>
                  <w:vAlign w:val="center"/>
                </w:tcPr>
                <w:p w14:paraId="652CBCEF">
                  <w:pPr>
                    <w:pStyle w:val="208"/>
                    <w:widowControl/>
                    <w:autoSpaceDE w:val="0"/>
                    <w:autoSpaceDN w:val="0"/>
                    <w:jc w:val="center"/>
                    <w:textAlignment w:val="baseline"/>
                    <w:rPr>
                      <w:sz w:val="21"/>
                      <w:szCs w:val="21"/>
                    </w:rPr>
                  </w:pPr>
                  <w:r>
                    <w:rPr>
                      <w:sz w:val="21"/>
                      <w:szCs w:val="21"/>
                    </w:rPr>
                    <w:t>V</w:t>
                  </w:r>
                </w:p>
              </w:tc>
              <w:tc>
                <w:tcPr>
                  <w:tcW w:w="1633" w:type="pct"/>
                  <w:vAlign w:val="center"/>
                </w:tcPr>
                <w:p w14:paraId="79085176">
                  <w:pPr>
                    <w:pStyle w:val="208"/>
                    <w:widowControl/>
                    <w:autoSpaceDE w:val="0"/>
                    <w:autoSpaceDN w:val="0"/>
                    <w:jc w:val="center"/>
                    <w:textAlignment w:val="baseline"/>
                    <w:rPr>
                      <w:sz w:val="21"/>
                      <w:szCs w:val="21"/>
                    </w:rPr>
                  </w:pPr>
                  <w:r>
                    <w:rPr>
                      <w:sz w:val="21"/>
                      <w:szCs w:val="21"/>
                    </w:rPr>
                    <w:t>49.40</w:t>
                  </w:r>
                </w:p>
              </w:tc>
            </w:tr>
            <w:tr w14:paraId="0CC2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27F50EC6">
                  <w:pPr>
                    <w:pStyle w:val="208"/>
                    <w:widowControl/>
                    <w:numPr>
                      <w:ilvl w:val="0"/>
                      <w:numId w:val="3"/>
                    </w:numPr>
                    <w:autoSpaceDE w:val="0"/>
                    <w:autoSpaceDN w:val="0"/>
                    <w:jc w:val="center"/>
                    <w:textAlignment w:val="baseline"/>
                    <w:rPr>
                      <w:sz w:val="21"/>
                      <w:szCs w:val="21"/>
                    </w:rPr>
                  </w:pPr>
                </w:p>
              </w:tc>
              <w:tc>
                <w:tcPr>
                  <w:tcW w:w="2033" w:type="pct"/>
                  <w:vAlign w:val="center"/>
                </w:tcPr>
                <w:p w14:paraId="084C1057">
                  <w:pPr>
                    <w:widowControl/>
                    <w:autoSpaceDE w:val="0"/>
                    <w:autoSpaceDN w:val="0"/>
                    <w:jc w:val="center"/>
                    <w:textAlignment w:val="baseline"/>
                    <w:rPr>
                      <w:rFonts w:ascii="宋体" w:hAnsi="宋体" w:cs="宋体"/>
                    </w:rPr>
                  </w:pPr>
                  <w:r>
                    <w:rPr>
                      <w:rFonts w:ascii="宋体" w:hAnsi="宋体" w:cs="宋体"/>
                    </w:rPr>
                    <w:t>光伏组件的工作电压</w:t>
                  </w:r>
                </w:p>
              </w:tc>
              <w:tc>
                <w:tcPr>
                  <w:tcW w:w="1008" w:type="pct"/>
                  <w:vAlign w:val="center"/>
                </w:tcPr>
                <w:p w14:paraId="40D29ADD">
                  <w:pPr>
                    <w:pStyle w:val="208"/>
                    <w:widowControl/>
                    <w:autoSpaceDE w:val="0"/>
                    <w:autoSpaceDN w:val="0"/>
                    <w:jc w:val="center"/>
                    <w:textAlignment w:val="baseline"/>
                    <w:rPr>
                      <w:sz w:val="21"/>
                      <w:szCs w:val="21"/>
                    </w:rPr>
                  </w:pPr>
                  <w:r>
                    <w:rPr>
                      <w:sz w:val="21"/>
                      <w:szCs w:val="21"/>
                    </w:rPr>
                    <w:t>V</w:t>
                  </w:r>
                </w:p>
              </w:tc>
              <w:tc>
                <w:tcPr>
                  <w:tcW w:w="1633" w:type="pct"/>
                  <w:vAlign w:val="center"/>
                </w:tcPr>
                <w:p w14:paraId="07E0C44F">
                  <w:pPr>
                    <w:pStyle w:val="208"/>
                    <w:widowControl/>
                    <w:autoSpaceDE w:val="0"/>
                    <w:autoSpaceDN w:val="0"/>
                    <w:jc w:val="center"/>
                    <w:textAlignment w:val="baseline"/>
                    <w:rPr>
                      <w:sz w:val="21"/>
                      <w:szCs w:val="21"/>
                    </w:rPr>
                  </w:pPr>
                  <w:r>
                    <w:rPr>
                      <w:sz w:val="21"/>
                      <w:szCs w:val="21"/>
                    </w:rPr>
                    <w:t>41.30</w:t>
                  </w:r>
                </w:p>
              </w:tc>
            </w:tr>
            <w:tr w14:paraId="5F2D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37DF73D5">
                  <w:pPr>
                    <w:pStyle w:val="208"/>
                    <w:widowControl/>
                    <w:numPr>
                      <w:ilvl w:val="0"/>
                      <w:numId w:val="3"/>
                    </w:numPr>
                    <w:autoSpaceDE w:val="0"/>
                    <w:autoSpaceDN w:val="0"/>
                    <w:jc w:val="center"/>
                    <w:textAlignment w:val="baseline"/>
                    <w:rPr>
                      <w:sz w:val="21"/>
                      <w:szCs w:val="21"/>
                    </w:rPr>
                  </w:pPr>
                </w:p>
              </w:tc>
              <w:tc>
                <w:tcPr>
                  <w:tcW w:w="2033" w:type="pct"/>
                  <w:vAlign w:val="center"/>
                </w:tcPr>
                <w:p w14:paraId="4E55D1BE">
                  <w:pPr>
                    <w:widowControl/>
                    <w:autoSpaceDE w:val="0"/>
                    <w:autoSpaceDN w:val="0"/>
                    <w:jc w:val="center"/>
                    <w:textAlignment w:val="baseline"/>
                    <w:rPr>
                      <w:rFonts w:ascii="宋体" w:hAnsi="宋体" w:cs="宋体"/>
                    </w:rPr>
                  </w:pPr>
                  <w:r>
                    <w:rPr>
                      <w:rFonts w:ascii="宋体" w:hAnsi="宋体" w:cs="宋体"/>
                    </w:rPr>
                    <w:t>光伏组件的开路电压温度系数</w:t>
                  </w:r>
                </w:p>
              </w:tc>
              <w:tc>
                <w:tcPr>
                  <w:tcW w:w="1008" w:type="pct"/>
                  <w:vAlign w:val="center"/>
                </w:tcPr>
                <w:p w14:paraId="0EFE4A67">
                  <w:pPr>
                    <w:pStyle w:val="208"/>
                    <w:widowControl/>
                    <w:autoSpaceDE w:val="0"/>
                    <w:autoSpaceDN w:val="0"/>
                    <w:jc w:val="center"/>
                    <w:textAlignment w:val="baseline"/>
                    <w:rPr>
                      <w:sz w:val="21"/>
                      <w:szCs w:val="21"/>
                    </w:rPr>
                  </w:pPr>
                  <w:r>
                    <w:rPr>
                      <w:sz w:val="21"/>
                      <w:szCs w:val="21"/>
                    </w:rPr>
                    <w:t>%/℃</w:t>
                  </w:r>
                </w:p>
              </w:tc>
              <w:tc>
                <w:tcPr>
                  <w:tcW w:w="1633" w:type="pct"/>
                  <w:vAlign w:val="center"/>
                </w:tcPr>
                <w:p w14:paraId="1338259F">
                  <w:pPr>
                    <w:pStyle w:val="208"/>
                    <w:widowControl/>
                    <w:autoSpaceDE w:val="0"/>
                    <w:autoSpaceDN w:val="0"/>
                    <w:jc w:val="center"/>
                    <w:textAlignment w:val="baseline"/>
                    <w:rPr>
                      <w:sz w:val="21"/>
                      <w:szCs w:val="21"/>
                    </w:rPr>
                  </w:pPr>
                  <w:r>
                    <w:rPr>
                      <w:sz w:val="21"/>
                      <w:szCs w:val="21"/>
                    </w:rPr>
                    <w:t>-0.24</w:t>
                  </w:r>
                </w:p>
              </w:tc>
            </w:tr>
            <w:tr w14:paraId="1C5A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7914332E">
                  <w:pPr>
                    <w:pStyle w:val="208"/>
                    <w:widowControl/>
                    <w:numPr>
                      <w:ilvl w:val="0"/>
                      <w:numId w:val="3"/>
                    </w:numPr>
                    <w:autoSpaceDE w:val="0"/>
                    <w:autoSpaceDN w:val="0"/>
                    <w:jc w:val="center"/>
                    <w:textAlignment w:val="baseline"/>
                    <w:rPr>
                      <w:sz w:val="21"/>
                      <w:szCs w:val="21"/>
                    </w:rPr>
                  </w:pPr>
                </w:p>
              </w:tc>
              <w:tc>
                <w:tcPr>
                  <w:tcW w:w="2033" w:type="pct"/>
                  <w:vAlign w:val="center"/>
                </w:tcPr>
                <w:p w14:paraId="0906B233">
                  <w:pPr>
                    <w:widowControl/>
                    <w:autoSpaceDE w:val="0"/>
                    <w:autoSpaceDN w:val="0"/>
                    <w:jc w:val="center"/>
                    <w:textAlignment w:val="baseline"/>
                    <w:rPr>
                      <w:rFonts w:ascii="宋体" w:hAnsi="宋体" w:cs="宋体"/>
                    </w:rPr>
                  </w:pPr>
                  <w:r>
                    <w:rPr>
                      <w:rFonts w:ascii="宋体" w:hAnsi="宋体" w:cs="宋体"/>
                    </w:rPr>
                    <w:t>光伏组件的工作电压温度系数</w:t>
                  </w:r>
                </w:p>
              </w:tc>
              <w:tc>
                <w:tcPr>
                  <w:tcW w:w="1008" w:type="pct"/>
                  <w:vAlign w:val="center"/>
                </w:tcPr>
                <w:p w14:paraId="1FFF6281">
                  <w:pPr>
                    <w:pStyle w:val="208"/>
                    <w:widowControl/>
                    <w:autoSpaceDE w:val="0"/>
                    <w:autoSpaceDN w:val="0"/>
                    <w:jc w:val="center"/>
                    <w:textAlignment w:val="baseline"/>
                    <w:rPr>
                      <w:sz w:val="21"/>
                      <w:szCs w:val="21"/>
                    </w:rPr>
                  </w:pPr>
                  <w:r>
                    <w:rPr>
                      <w:sz w:val="21"/>
                      <w:szCs w:val="21"/>
                    </w:rPr>
                    <w:t>%/℃</w:t>
                  </w:r>
                </w:p>
              </w:tc>
              <w:tc>
                <w:tcPr>
                  <w:tcW w:w="1633" w:type="pct"/>
                  <w:vAlign w:val="center"/>
                </w:tcPr>
                <w:p w14:paraId="5A687CAF">
                  <w:pPr>
                    <w:pStyle w:val="208"/>
                    <w:widowControl/>
                    <w:autoSpaceDE w:val="0"/>
                    <w:autoSpaceDN w:val="0"/>
                    <w:jc w:val="center"/>
                    <w:textAlignment w:val="baseline"/>
                    <w:rPr>
                      <w:sz w:val="21"/>
                      <w:szCs w:val="21"/>
                    </w:rPr>
                  </w:pPr>
                  <w:r>
                    <w:rPr>
                      <w:sz w:val="21"/>
                      <w:szCs w:val="21"/>
                    </w:rPr>
                    <w:t>-0.29</w:t>
                  </w:r>
                </w:p>
              </w:tc>
            </w:tr>
            <w:tr w14:paraId="175F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68698B1E">
                  <w:pPr>
                    <w:pStyle w:val="208"/>
                    <w:widowControl/>
                    <w:numPr>
                      <w:ilvl w:val="0"/>
                      <w:numId w:val="3"/>
                    </w:numPr>
                    <w:autoSpaceDE w:val="0"/>
                    <w:autoSpaceDN w:val="0"/>
                    <w:jc w:val="center"/>
                    <w:textAlignment w:val="baseline"/>
                    <w:rPr>
                      <w:sz w:val="21"/>
                      <w:szCs w:val="21"/>
                    </w:rPr>
                  </w:pPr>
                </w:p>
              </w:tc>
              <w:tc>
                <w:tcPr>
                  <w:tcW w:w="2033" w:type="pct"/>
                  <w:vAlign w:val="center"/>
                </w:tcPr>
                <w:p w14:paraId="52C9CA98">
                  <w:pPr>
                    <w:widowControl/>
                    <w:autoSpaceDE w:val="0"/>
                    <w:autoSpaceDN w:val="0"/>
                    <w:jc w:val="center"/>
                    <w:textAlignment w:val="baseline"/>
                    <w:rPr>
                      <w:rFonts w:ascii="宋体" w:hAnsi="宋体" w:cs="宋体"/>
                    </w:rPr>
                  </w:pPr>
                  <w:r>
                    <w:rPr>
                      <w:rFonts w:ascii="宋体" w:hAnsi="宋体" w:cs="宋体"/>
                    </w:rPr>
                    <w:t>组件重量</w:t>
                  </w:r>
                </w:p>
              </w:tc>
              <w:tc>
                <w:tcPr>
                  <w:tcW w:w="1008" w:type="pct"/>
                  <w:vAlign w:val="center"/>
                </w:tcPr>
                <w:p w14:paraId="0EC3E7EA">
                  <w:pPr>
                    <w:pStyle w:val="208"/>
                    <w:widowControl/>
                    <w:autoSpaceDE w:val="0"/>
                    <w:autoSpaceDN w:val="0"/>
                    <w:jc w:val="center"/>
                    <w:textAlignment w:val="baseline"/>
                    <w:rPr>
                      <w:sz w:val="21"/>
                      <w:szCs w:val="21"/>
                    </w:rPr>
                  </w:pPr>
                  <w:r>
                    <w:rPr>
                      <w:sz w:val="21"/>
                      <w:szCs w:val="21"/>
                    </w:rPr>
                    <w:t>kg</w:t>
                  </w:r>
                </w:p>
              </w:tc>
              <w:tc>
                <w:tcPr>
                  <w:tcW w:w="1633" w:type="pct"/>
                  <w:vAlign w:val="center"/>
                </w:tcPr>
                <w:p w14:paraId="2E103A20">
                  <w:pPr>
                    <w:pStyle w:val="208"/>
                    <w:widowControl/>
                    <w:autoSpaceDE w:val="0"/>
                    <w:autoSpaceDN w:val="0"/>
                    <w:jc w:val="center"/>
                    <w:textAlignment w:val="baseline"/>
                    <w:rPr>
                      <w:sz w:val="21"/>
                      <w:szCs w:val="21"/>
                    </w:rPr>
                  </w:pPr>
                  <w:r>
                    <w:rPr>
                      <w:sz w:val="21"/>
                      <w:szCs w:val="21"/>
                    </w:rPr>
                    <w:t>38.3</w:t>
                  </w:r>
                </w:p>
              </w:tc>
            </w:tr>
            <w:tr w14:paraId="5ACC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7666F43B">
                  <w:pPr>
                    <w:pStyle w:val="208"/>
                    <w:widowControl/>
                    <w:numPr>
                      <w:ilvl w:val="0"/>
                      <w:numId w:val="3"/>
                    </w:numPr>
                    <w:autoSpaceDE w:val="0"/>
                    <w:autoSpaceDN w:val="0"/>
                    <w:jc w:val="center"/>
                    <w:textAlignment w:val="baseline"/>
                    <w:rPr>
                      <w:sz w:val="21"/>
                      <w:szCs w:val="21"/>
                    </w:rPr>
                  </w:pPr>
                </w:p>
              </w:tc>
              <w:tc>
                <w:tcPr>
                  <w:tcW w:w="2033" w:type="pct"/>
                  <w:vAlign w:val="center"/>
                </w:tcPr>
                <w:p w14:paraId="489A43C0">
                  <w:pPr>
                    <w:widowControl/>
                    <w:autoSpaceDE w:val="0"/>
                    <w:autoSpaceDN w:val="0"/>
                    <w:jc w:val="center"/>
                    <w:textAlignment w:val="baseline"/>
                    <w:rPr>
                      <w:rFonts w:ascii="宋体" w:hAnsi="宋体" w:cs="宋体"/>
                    </w:rPr>
                  </w:pPr>
                  <w:r>
                    <w:rPr>
                      <w:rFonts w:ascii="宋体" w:hAnsi="宋体" w:cs="宋体"/>
                    </w:rPr>
                    <w:t>首年功率衰减率</w:t>
                  </w:r>
                </w:p>
              </w:tc>
              <w:tc>
                <w:tcPr>
                  <w:tcW w:w="1008" w:type="pct"/>
                  <w:vAlign w:val="center"/>
                </w:tcPr>
                <w:p w14:paraId="4EBD3879">
                  <w:pPr>
                    <w:pStyle w:val="208"/>
                    <w:widowControl/>
                    <w:autoSpaceDE w:val="0"/>
                    <w:autoSpaceDN w:val="0"/>
                    <w:jc w:val="center"/>
                    <w:textAlignment w:val="baseline"/>
                    <w:rPr>
                      <w:sz w:val="21"/>
                      <w:szCs w:val="21"/>
                    </w:rPr>
                  </w:pPr>
                  <w:r>
                    <w:rPr>
                      <w:sz w:val="21"/>
                      <w:szCs w:val="21"/>
                    </w:rPr>
                    <w:t>%</w:t>
                  </w:r>
                </w:p>
              </w:tc>
              <w:tc>
                <w:tcPr>
                  <w:tcW w:w="1633" w:type="pct"/>
                  <w:vAlign w:val="center"/>
                </w:tcPr>
                <w:p w14:paraId="1784EE32">
                  <w:pPr>
                    <w:pStyle w:val="208"/>
                    <w:widowControl/>
                    <w:autoSpaceDE w:val="0"/>
                    <w:autoSpaceDN w:val="0"/>
                    <w:jc w:val="center"/>
                    <w:textAlignment w:val="baseline"/>
                    <w:rPr>
                      <w:sz w:val="21"/>
                      <w:szCs w:val="21"/>
                    </w:rPr>
                  </w:pPr>
                  <w:r>
                    <w:rPr>
                      <w:sz w:val="21"/>
                      <w:szCs w:val="21"/>
                    </w:rPr>
                    <w:t>1</w:t>
                  </w:r>
                </w:p>
              </w:tc>
            </w:tr>
            <w:tr w14:paraId="6CB6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1A8276E3">
                  <w:pPr>
                    <w:pStyle w:val="208"/>
                    <w:widowControl/>
                    <w:numPr>
                      <w:ilvl w:val="0"/>
                      <w:numId w:val="3"/>
                    </w:numPr>
                    <w:autoSpaceDE w:val="0"/>
                    <w:autoSpaceDN w:val="0"/>
                    <w:jc w:val="center"/>
                    <w:textAlignment w:val="baseline"/>
                    <w:rPr>
                      <w:sz w:val="21"/>
                      <w:szCs w:val="21"/>
                    </w:rPr>
                  </w:pPr>
                </w:p>
              </w:tc>
              <w:tc>
                <w:tcPr>
                  <w:tcW w:w="2033" w:type="pct"/>
                  <w:vAlign w:val="center"/>
                </w:tcPr>
                <w:p w14:paraId="49CD694A">
                  <w:pPr>
                    <w:widowControl/>
                    <w:autoSpaceDE w:val="0"/>
                    <w:autoSpaceDN w:val="0"/>
                    <w:jc w:val="center"/>
                    <w:textAlignment w:val="baseline"/>
                    <w:rPr>
                      <w:rFonts w:ascii="宋体" w:hAnsi="宋体" w:cs="宋体"/>
                    </w:rPr>
                  </w:pPr>
                  <w:r>
                    <w:rPr>
                      <w:rFonts w:ascii="宋体" w:hAnsi="宋体" w:cs="宋体"/>
                    </w:rPr>
                    <w:t>首年</w:t>
                  </w:r>
                  <w:r>
                    <w:rPr>
                      <w:rFonts w:hint="eastAsia" w:ascii="宋体" w:hAnsi="宋体" w:cs="宋体"/>
                    </w:rPr>
                    <w:t>后</w:t>
                  </w:r>
                  <w:r>
                    <w:rPr>
                      <w:rFonts w:ascii="宋体" w:hAnsi="宋体" w:cs="宋体"/>
                    </w:rPr>
                    <w:t>逐年衰减率</w:t>
                  </w:r>
                </w:p>
              </w:tc>
              <w:tc>
                <w:tcPr>
                  <w:tcW w:w="1008" w:type="pct"/>
                  <w:vAlign w:val="center"/>
                </w:tcPr>
                <w:p w14:paraId="6F383E66">
                  <w:pPr>
                    <w:pStyle w:val="208"/>
                    <w:widowControl/>
                    <w:autoSpaceDE w:val="0"/>
                    <w:autoSpaceDN w:val="0"/>
                    <w:jc w:val="center"/>
                    <w:textAlignment w:val="baseline"/>
                    <w:rPr>
                      <w:sz w:val="21"/>
                      <w:szCs w:val="21"/>
                    </w:rPr>
                  </w:pPr>
                  <w:r>
                    <w:rPr>
                      <w:sz w:val="21"/>
                      <w:szCs w:val="21"/>
                    </w:rPr>
                    <w:t>%</w:t>
                  </w:r>
                </w:p>
              </w:tc>
              <w:tc>
                <w:tcPr>
                  <w:tcW w:w="1633" w:type="pct"/>
                  <w:vAlign w:val="center"/>
                </w:tcPr>
                <w:p w14:paraId="53C44733">
                  <w:pPr>
                    <w:pStyle w:val="208"/>
                    <w:widowControl/>
                    <w:autoSpaceDE w:val="0"/>
                    <w:autoSpaceDN w:val="0"/>
                    <w:jc w:val="center"/>
                    <w:textAlignment w:val="baseline"/>
                    <w:rPr>
                      <w:sz w:val="21"/>
                      <w:szCs w:val="21"/>
                    </w:rPr>
                  </w:pPr>
                  <w:r>
                    <w:rPr>
                      <w:sz w:val="21"/>
                      <w:szCs w:val="21"/>
                    </w:rPr>
                    <w:t>0.4</w:t>
                  </w:r>
                </w:p>
              </w:tc>
            </w:tr>
            <w:tr w14:paraId="2578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3610E8D0">
                  <w:pPr>
                    <w:pStyle w:val="208"/>
                    <w:widowControl/>
                    <w:numPr>
                      <w:ilvl w:val="0"/>
                      <w:numId w:val="3"/>
                    </w:numPr>
                    <w:autoSpaceDE w:val="0"/>
                    <w:autoSpaceDN w:val="0"/>
                    <w:jc w:val="center"/>
                    <w:textAlignment w:val="baseline"/>
                    <w:rPr>
                      <w:sz w:val="21"/>
                      <w:szCs w:val="21"/>
                    </w:rPr>
                  </w:pPr>
                </w:p>
              </w:tc>
              <w:tc>
                <w:tcPr>
                  <w:tcW w:w="2033" w:type="pct"/>
                  <w:vAlign w:val="center"/>
                </w:tcPr>
                <w:p w14:paraId="31F415FD">
                  <w:pPr>
                    <w:widowControl/>
                    <w:autoSpaceDE w:val="0"/>
                    <w:autoSpaceDN w:val="0"/>
                    <w:jc w:val="center"/>
                    <w:textAlignment w:val="baseline"/>
                    <w:rPr>
                      <w:rFonts w:ascii="宋体" w:hAnsi="宋体" w:cs="宋体"/>
                    </w:rPr>
                  </w:pPr>
                  <w:r>
                    <w:rPr>
                      <w:rFonts w:ascii="宋体" w:hAnsi="宋体" w:cs="宋体"/>
                    </w:rPr>
                    <w:t>数量</w:t>
                  </w:r>
                </w:p>
              </w:tc>
              <w:tc>
                <w:tcPr>
                  <w:tcW w:w="1008" w:type="pct"/>
                  <w:vAlign w:val="center"/>
                </w:tcPr>
                <w:p w14:paraId="56305526">
                  <w:pPr>
                    <w:widowControl/>
                    <w:autoSpaceDE w:val="0"/>
                    <w:autoSpaceDN w:val="0"/>
                    <w:jc w:val="center"/>
                    <w:textAlignment w:val="baseline"/>
                    <w:rPr>
                      <w:rFonts w:ascii="宋体" w:hAnsi="宋体" w:cs="宋体"/>
                    </w:rPr>
                  </w:pPr>
                  <w:r>
                    <w:rPr>
                      <w:rFonts w:ascii="宋体" w:hAnsi="宋体" w:cs="宋体"/>
                    </w:rPr>
                    <w:t>块</w:t>
                  </w:r>
                </w:p>
              </w:tc>
              <w:tc>
                <w:tcPr>
                  <w:tcW w:w="1633" w:type="pct"/>
                  <w:vAlign w:val="center"/>
                </w:tcPr>
                <w:p w14:paraId="6A8CCA74">
                  <w:pPr>
                    <w:pStyle w:val="208"/>
                    <w:widowControl/>
                    <w:autoSpaceDE w:val="0"/>
                    <w:autoSpaceDN w:val="0"/>
                    <w:jc w:val="center"/>
                    <w:textAlignment w:val="baseline"/>
                    <w:rPr>
                      <w:sz w:val="21"/>
                      <w:szCs w:val="21"/>
                    </w:rPr>
                  </w:pPr>
                  <w:r>
                    <w:rPr>
                      <w:sz w:val="21"/>
                      <w:szCs w:val="21"/>
                    </w:rPr>
                    <w:t>85722</w:t>
                  </w:r>
                </w:p>
              </w:tc>
            </w:tr>
            <w:tr w14:paraId="30F4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54CA67CA">
                  <w:pPr>
                    <w:pStyle w:val="208"/>
                    <w:widowControl/>
                    <w:numPr>
                      <w:ilvl w:val="0"/>
                      <w:numId w:val="3"/>
                    </w:numPr>
                    <w:autoSpaceDE w:val="0"/>
                    <w:autoSpaceDN w:val="0"/>
                    <w:jc w:val="center"/>
                    <w:textAlignment w:val="baseline"/>
                    <w:rPr>
                      <w:sz w:val="21"/>
                      <w:szCs w:val="21"/>
                    </w:rPr>
                  </w:pPr>
                </w:p>
              </w:tc>
              <w:tc>
                <w:tcPr>
                  <w:tcW w:w="2033" w:type="pct"/>
                  <w:vAlign w:val="center"/>
                </w:tcPr>
                <w:p w14:paraId="149B5495">
                  <w:pPr>
                    <w:widowControl/>
                    <w:autoSpaceDE w:val="0"/>
                    <w:autoSpaceDN w:val="0"/>
                    <w:jc w:val="center"/>
                    <w:textAlignment w:val="baseline"/>
                    <w:rPr>
                      <w:rFonts w:ascii="宋体" w:hAnsi="宋体" w:cs="宋体"/>
                    </w:rPr>
                  </w:pPr>
                  <w:r>
                    <w:rPr>
                      <w:rFonts w:ascii="宋体" w:hAnsi="宋体" w:cs="宋体"/>
                    </w:rPr>
                    <w:t>跟踪方式</w:t>
                  </w:r>
                </w:p>
              </w:tc>
              <w:tc>
                <w:tcPr>
                  <w:tcW w:w="1008" w:type="pct"/>
                  <w:vAlign w:val="center"/>
                </w:tcPr>
                <w:p w14:paraId="1068B00E">
                  <w:pPr>
                    <w:widowControl/>
                    <w:autoSpaceDE w:val="0"/>
                    <w:autoSpaceDN w:val="0"/>
                    <w:jc w:val="center"/>
                    <w:textAlignment w:val="baseline"/>
                    <w:rPr>
                      <w:rFonts w:hint="eastAsia" w:ascii="Arial"/>
                    </w:rPr>
                  </w:pPr>
                  <w:r>
                    <w:rPr>
                      <w:rFonts w:hint="eastAsia" w:ascii="Arial"/>
                    </w:rPr>
                    <w:t>/</w:t>
                  </w:r>
                </w:p>
              </w:tc>
              <w:tc>
                <w:tcPr>
                  <w:tcW w:w="1633" w:type="pct"/>
                  <w:vAlign w:val="center"/>
                </w:tcPr>
                <w:p w14:paraId="23836190">
                  <w:pPr>
                    <w:widowControl/>
                    <w:autoSpaceDE w:val="0"/>
                    <w:autoSpaceDN w:val="0"/>
                    <w:jc w:val="center"/>
                    <w:textAlignment w:val="baseline"/>
                    <w:rPr>
                      <w:rFonts w:ascii="宋体" w:hAnsi="宋体" w:cs="宋体"/>
                    </w:rPr>
                  </w:pPr>
                  <w:r>
                    <w:rPr>
                      <w:rFonts w:ascii="宋体" w:hAnsi="宋体" w:cs="宋体"/>
                    </w:rPr>
                    <w:t>固定倾角</w:t>
                  </w:r>
                </w:p>
              </w:tc>
            </w:tr>
            <w:tr w14:paraId="566F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77F21647">
                  <w:pPr>
                    <w:pStyle w:val="208"/>
                    <w:widowControl/>
                    <w:numPr>
                      <w:ilvl w:val="0"/>
                      <w:numId w:val="3"/>
                    </w:numPr>
                    <w:autoSpaceDE w:val="0"/>
                    <w:autoSpaceDN w:val="0"/>
                    <w:jc w:val="center"/>
                    <w:textAlignment w:val="baseline"/>
                    <w:rPr>
                      <w:sz w:val="21"/>
                      <w:szCs w:val="21"/>
                    </w:rPr>
                  </w:pPr>
                </w:p>
              </w:tc>
              <w:tc>
                <w:tcPr>
                  <w:tcW w:w="2033" w:type="pct"/>
                  <w:vAlign w:val="center"/>
                </w:tcPr>
                <w:p w14:paraId="50E2C229">
                  <w:pPr>
                    <w:widowControl/>
                    <w:autoSpaceDE w:val="0"/>
                    <w:autoSpaceDN w:val="0"/>
                    <w:jc w:val="center"/>
                    <w:textAlignment w:val="baseline"/>
                    <w:rPr>
                      <w:rFonts w:ascii="宋体" w:hAnsi="宋体" w:cs="宋体"/>
                    </w:rPr>
                  </w:pPr>
                  <w:r>
                    <w:rPr>
                      <w:rFonts w:ascii="宋体" w:hAnsi="宋体" w:cs="宋体"/>
                    </w:rPr>
                    <w:t>安装角度</w:t>
                  </w:r>
                </w:p>
              </w:tc>
              <w:tc>
                <w:tcPr>
                  <w:tcW w:w="1008" w:type="pct"/>
                  <w:vAlign w:val="center"/>
                </w:tcPr>
                <w:p w14:paraId="7B59AB5F">
                  <w:pPr>
                    <w:pStyle w:val="208"/>
                    <w:widowControl/>
                    <w:autoSpaceDE w:val="0"/>
                    <w:autoSpaceDN w:val="0"/>
                    <w:jc w:val="center"/>
                    <w:textAlignment w:val="baseline"/>
                    <w:rPr>
                      <w:sz w:val="21"/>
                      <w:szCs w:val="21"/>
                    </w:rPr>
                  </w:pPr>
                  <w:r>
                    <w:rPr>
                      <w:sz w:val="21"/>
                      <w:szCs w:val="21"/>
                    </w:rPr>
                    <w:t>°</w:t>
                  </w:r>
                </w:p>
              </w:tc>
              <w:tc>
                <w:tcPr>
                  <w:tcW w:w="1633" w:type="pct"/>
                  <w:vAlign w:val="center"/>
                </w:tcPr>
                <w:p w14:paraId="2CE3D93E">
                  <w:pPr>
                    <w:pStyle w:val="208"/>
                    <w:widowControl/>
                    <w:autoSpaceDE w:val="0"/>
                    <w:autoSpaceDN w:val="0"/>
                    <w:jc w:val="center"/>
                    <w:textAlignment w:val="baseline"/>
                    <w:rPr>
                      <w:sz w:val="21"/>
                      <w:szCs w:val="21"/>
                    </w:rPr>
                  </w:pPr>
                  <w:r>
                    <w:rPr>
                      <w:sz w:val="21"/>
                      <w:szCs w:val="21"/>
                    </w:rPr>
                    <w:t>23</w:t>
                  </w:r>
                </w:p>
              </w:tc>
            </w:tr>
            <w:tr w14:paraId="6085D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00" w:type="pct"/>
                  <w:gridSpan w:val="4"/>
                  <w:vAlign w:val="center"/>
                </w:tcPr>
                <w:p w14:paraId="328379A9">
                  <w:pPr>
                    <w:widowControl/>
                    <w:autoSpaceDE w:val="0"/>
                    <w:autoSpaceDN w:val="0"/>
                    <w:jc w:val="center"/>
                    <w:textAlignment w:val="baseline"/>
                    <w:rPr>
                      <w:rFonts w:ascii="宋体" w:hAnsi="宋体" w:cs="宋体"/>
                    </w:rPr>
                  </w:pPr>
                  <w:r>
                    <w:rPr>
                      <w:rFonts w:hint="eastAsia" w:ascii="宋体" w:hAnsi="宋体" w:cs="宋体"/>
                    </w:rPr>
                    <w:t>三、</w:t>
                  </w:r>
                  <w:r>
                    <w:rPr>
                      <w:rFonts w:ascii="宋体" w:hAnsi="宋体" w:cs="宋体"/>
                    </w:rPr>
                    <w:t>逆变器</w:t>
                  </w:r>
                </w:p>
              </w:tc>
            </w:tr>
            <w:tr w14:paraId="4E58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401B7B12">
                  <w:pPr>
                    <w:pStyle w:val="208"/>
                    <w:widowControl/>
                    <w:numPr>
                      <w:ilvl w:val="0"/>
                      <w:numId w:val="4"/>
                    </w:numPr>
                    <w:autoSpaceDE w:val="0"/>
                    <w:autoSpaceDN w:val="0"/>
                    <w:jc w:val="center"/>
                    <w:textAlignment w:val="baseline"/>
                    <w:rPr>
                      <w:sz w:val="21"/>
                      <w:szCs w:val="21"/>
                    </w:rPr>
                  </w:pPr>
                </w:p>
              </w:tc>
              <w:tc>
                <w:tcPr>
                  <w:tcW w:w="2033" w:type="pct"/>
                  <w:vAlign w:val="center"/>
                </w:tcPr>
                <w:p w14:paraId="109F2B96">
                  <w:pPr>
                    <w:widowControl/>
                    <w:autoSpaceDE w:val="0"/>
                    <w:autoSpaceDN w:val="0"/>
                    <w:jc w:val="center"/>
                    <w:textAlignment w:val="baseline"/>
                    <w:rPr>
                      <w:rFonts w:ascii="宋体" w:hAnsi="宋体" w:cs="宋体"/>
                    </w:rPr>
                  </w:pPr>
                  <w:r>
                    <w:rPr>
                      <w:rFonts w:ascii="宋体" w:hAnsi="宋体" w:cs="宋体"/>
                    </w:rPr>
                    <w:t>额定输出功率</w:t>
                  </w:r>
                </w:p>
              </w:tc>
              <w:tc>
                <w:tcPr>
                  <w:tcW w:w="1008" w:type="pct"/>
                  <w:vAlign w:val="center"/>
                </w:tcPr>
                <w:p w14:paraId="2F908110">
                  <w:pPr>
                    <w:pStyle w:val="208"/>
                    <w:widowControl/>
                    <w:autoSpaceDE w:val="0"/>
                    <w:autoSpaceDN w:val="0"/>
                    <w:jc w:val="center"/>
                    <w:textAlignment w:val="baseline"/>
                    <w:rPr>
                      <w:sz w:val="21"/>
                      <w:szCs w:val="21"/>
                    </w:rPr>
                  </w:pPr>
                  <w:r>
                    <w:rPr>
                      <w:sz w:val="21"/>
                      <w:szCs w:val="21"/>
                    </w:rPr>
                    <w:t>kW</w:t>
                  </w:r>
                </w:p>
              </w:tc>
              <w:tc>
                <w:tcPr>
                  <w:tcW w:w="1633" w:type="pct"/>
                  <w:vAlign w:val="center"/>
                </w:tcPr>
                <w:p w14:paraId="6B9D1102">
                  <w:pPr>
                    <w:pStyle w:val="208"/>
                    <w:widowControl/>
                    <w:autoSpaceDE w:val="0"/>
                    <w:autoSpaceDN w:val="0"/>
                    <w:jc w:val="center"/>
                    <w:textAlignment w:val="baseline"/>
                    <w:rPr>
                      <w:sz w:val="21"/>
                      <w:szCs w:val="21"/>
                    </w:rPr>
                  </w:pPr>
                  <w:r>
                    <w:rPr>
                      <w:sz w:val="21"/>
                      <w:szCs w:val="21"/>
                    </w:rPr>
                    <w:t>320</w:t>
                  </w:r>
                </w:p>
              </w:tc>
            </w:tr>
            <w:tr w14:paraId="5CAB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6BBDBD2A">
                  <w:pPr>
                    <w:pStyle w:val="208"/>
                    <w:widowControl/>
                    <w:numPr>
                      <w:ilvl w:val="0"/>
                      <w:numId w:val="4"/>
                    </w:numPr>
                    <w:autoSpaceDE w:val="0"/>
                    <w:autoSpaceDN w:val="0"/>
                    <w:jc w:val="center"/>
                    <w:textAlignment w:val="baseline"/>
                    <w:rPr>
                      <w:sz w:val="21"/>
                      <w:szCs w:val="21"/>
                    </w:rPr>
                  </w:pPr>
                </w:p>
              </w:tc>
              <w:tc>
                <w:tcPr>
                  <w:tcW w:w="2033" w:type="pct"/>
                  <w:vAlign w:val="center"/>
                </w:tcPr>
                <w:p w14:paraId="19793491">
                  <w:pPr>
                    <w:pStyle w:val="208"/>
                    <w:widowControl/>
                    <w:autoSpaceDE w:val="0"/>
                    <w:autoSpaceDN w:val="0"/>
                    <w:jc w:val="center"/>
                    <w:textAlignment w:val="baseline"/>
                    <w:rPr>
                      <w:rFonts w:ascii="宋体" w:hAnsi="宋体" w:eastAsia="宋体" w:cs="宋体"/>
                      <w:sz w:val="21"/>
                      <w:szCs w:val="21"/>
                      <w:lang w:eastAsia="zh-CN"/>
                    </w:rPr>
                  </w:pPr>
                  <w:r>
                    <w:rPr>
                      <w:rFonts w:ascii="宋体" w:hAnsi="宋体" w:eastAsia="宋体" w:cs="宋体"/>
                      <w:sz w:val="21"/>
                      <w:szCs w:val="21"/>
                      <w:lang w:eastAsia="zh-CN"/>
                    </w:rPr>
                    <w:t>最大输入电压（</w:t>
                  </w:r>
                  <w:r>
                    <w:rPr>
                      <w:sz w:val="21"/>
                      <w:szCs w:val="21"/>
                      <w:lang w:eastAsia="zh-CN"/>
                    </w:rPr>
                    <w:t>Vdc</w:t>
                  </w:r>
                  <w:r>
                    <w:rPr>
                      <w:rFonts w:ascii="宋体" w:hAnsi="宋体" w:eastAsia="宋体" w:cs="宋体"/>
                      <w:sz w:val="21"/>
                      <w:szCs w:val="21"/>
                      <w:lang w:eastAsia="zh-CN"/>
                    </w:rPr>
                    <w:t>）</w:t>
                  </w:r>
                </w:p>
              </w:tc>
              <w:tc>
                <w:tcPr>
                  <w:tcW w:w="1008" w:type="pct"/>
                  <w:vAlign w:val="center"/>
                </w:tcPr>
                <w:p w14:paraId="0D3F825A">
                  <w:pPr>
                    <w:pStyle w:val="208"/>
                    <w:widowControl/>
                    <w:autoSpaceDE w:val="0"/>
                    <w:autoSpaceDN w:val="0"/>
                    <w:jc w:val="center"/>
                    <w:textAlignment w:val="baseline"/>
                    <w:rPr>
                      <w:sz w:val="21"/>
                      <w:szCs w:val="21"/>
                    </w:rPr>
                  </w:pPr>
                  <w:r>
                    <w:rPr>
                      <w:sz w:val="21"/>
                      <w:szCs w:val="21"/>
                    </w:rPr>
                    <w:t>V</w:t>
                  </w:r>
                </w:p>
              </w:tc>
              <w:tc>
                <w:tcPr>
                  <w:tcW w:w="1633" w:type="pct"/>
                  <w:vAlign w:val="center"/>
                </w:tcPr>
                <w:p w14:paraId="722640D4">
                  <w:pPr>
                    <w:pStyle w:val="208"/>
                    <w:widowControl/>
                    <w:autoSpaceDE w:val="0"/>
                    <w:autoSpaceDN w:val="0"/>
                    <w:jc w:val="center"/>
                    <w:textAlignment w:val="baseline"/>
                    <w:rPr>
                      <w:sz w:val="21"/>
                      <w:szCs w:val="21"/>
                    </w:rPr>
                  </w:pPr>
                  <w:r>
                    <w:rPr>
                      <w:sz w:val="21"/>
                      <w:szCs w:val="21"/>
                    </w:rPr>
                    <w:t>1500</w:t>
                  </w:r>
                </w:p>
              </w:tc>
            </w:tr>
            <w:tr w14:paraId="1B2F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299B9CE0">
                  <w:pPr>
                    <w:pStyle w:val="208"/>
                    <w:widowControl/>
                    <w:numPr>
                      <w:ilvl w:val="0"/>
                      <w:numId w:val="4"/>
                    </w:numPr>
                    <w:autoSpaceDE w:val="0"/>
                    <w:autoSpaceDN w:val="0"/>
                    <w:jc w:val="center"/>
                    <w:textAlignment w:val="baseline"/>
                    <w:rPr>
                      <w:sz w:val="21"/>
                      <w:szCs w:val="21"/>
                    </w:rPr>
                  </w:pPr>
                </w:p>
              </w:tc>
              <w:tc>
                <w:tcPr>
                  <w:tcW w:w="2033" w:type="pct"/>
                  <w:vAlign w:val="center"/>
                </w:tcPr>
                <w:p w14:paraId="4B8FD323">
                  <w:pPr>
                    <w:widowControl/>
                    <w:autoSpaceDE w:val="0"/>
                    <w:autoSpaceDN w:val="0"/>
                    <w:jc w:val="center"/>
                    <w:textAlignment w:val="baseline"/>
                    <w:rPr>
                      <w:rFonts w:ascii="宋体" w:hAnsi="宋体" w:cs="宋体"/>
                    </w:rPr>
                  </w:pPr>
                  <w:r>
                    <w:rPr>
                      <w:rFonts w:ascii="宋体" w:hAnsi="宋体" w:cs="宋体"/>
                    </w:rPr>
                    <w:t>直流输入支路数</w:t>
                  </w:r>
                </w:p>
              </w:tc>
              <w:tc>
                <w:tcPr>
                  <w:tcW w:w="1008" w:type="pct"/>
                  <w:vAlign w:val="center"/>
                </w:tcPr>
                <w:p w14:paraId="14A1B3A4">
                  <w:pPr>
                    <w:widowControl/>
                    <w:autoSpaceDE w:val="0"/>
                    <w:autoSpaceDN w:val="0"/>
                    <w:jc w:val="center"/>
                    <w:textAlignment w:val="baseline"/>
                    <w:rPr>
                      <w:rFonts w:ascii="宋体" w:hAnsi="宋体" w:cs="宋体"/>
                    </w:rPr>
                  </w:pPr>
                  <w:r>
                    <w:rPr>
                      <w:rFonts w:ascii="宋体" w:hAnsi="宋体" w:cs="宋体"/>
                    </w:rPr>
                    <w:t>路</w:t>
                  </w:r>
                </w:p>
              </w:tc>
              <w:tc>
                <w:tcPr>
                  <w:tcW w:w="1633" w:type="pct"/>
                  <w:vAlign w:val="center"/>
                </w:tcPr>
                <w:p w14:paraId="1DB0286D">
                  <w:pPr>
                    <w:pStyle w:val="208"/>
                    <w:widowControl/>
                    <w:autoSpaceDE w:val="0"/>
                    <w:autoSpaceDN w:val="0"/>
                    <w:jc w:val="center"/>
                    <w:textAlignment w:val="baseline"/>
                    <w:rPr>
                      <w:sz w:val="21"/>
                      <w:szCs w:val="21"/>
                    </w:rPr>
                  </w:pPr>
                  <w:r>
                    <w:rPr>
                      <w:sz w:val="21"/>
                      <w:szCs w:val="21"/>
                    </w:rPr>
                    <w:t>5</w:t>
                  </w:r>
                </w:p>
              </w:tc>
            </w:tr>
            <w:tr w14:paraId="6F3B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17341BCA">
                  <w:pPr>
                    <w:pStyle w:val="208"/>
                    <w:widowControl/>
                    <w:numPr>
                      <w:ilvl w:val="0"/>
                      <w:numId w:val="4"/>
                    </w:numPr>
                    <w:autoSpaceDE w:val="0"/>
                    <w:autoSpaceDN w:val="0"/>
                    <w:jc w:val="center"/>
                    <w:textAlignment w:val="baseline"/>
                    <w:rPr>
                      <w:sz w:val="21"/>
                      <w:szCs w:val="21"/>
                    </w:rPr>
                  </w:pPr>
                </w:p>
              </w:tc>
              <w:tc>
                <w:tcPr>
                  <w:tcW w:w="2033" w:type="pct"/>
                  <w:vAlign w:val="center"/>
                </w:tcPr>
                <w:p w14:paraId="2E59D7BF">
                  <w:pPr>
                    <w:pStyle w:val="208"/>
                    <w:widowControl/>
                    <w:autoSpaceDE w:val="0"/>
                    <w:autoSpaceDN w:val="0"/>
                    <w:jc w:val="center"/>
                    <w:textAlignment w:val="baseline"/>
                    <w:rPr>
                      <w:rFonts w:ascii="宋体" w:hAnsi="宋体" w:eastAsia="宋体" w:cs="宋体"/>
                      <w:sz w:val="21"/>
                      <w:szCs w:val="21"/>
                    </w:rPr>
                  </w:pPr>
                  <w:r>
                    <w:rPr>
                      <w:sz w:val="21"/>
                      <w:szCs w:val="21"/>
                    </w:rPr>
                    <w:t>MPPT</w:t>
                  </w:r>
                  <w:r>
                    <w:rPr>
                      <w:rFonts w:ascii="宋体" w:hAnsi="宋体" w:eastAsia="宋体" w:cs="宋体"/>
                      <w:sz w:val="21"/>
                      <w:szCs w:val="21"/>
                    </w:rPr>
                    <w:t>路数</w:t>
                  </w:r>
                </w:p>
              </w:tc>
              <w:tc>
                <w:tcPr>
                  <w:tcW w:w="1008" w:type="pct"/>
                  <w:vAlign w:val="center"/>
                </w:tcPr>
                <w:p w14:paraId="53471A20">
                  <w:pPr>
                    <w:widowControl/>
                    <w:autoSpaceDE w:val="0"/>
                    <w:autoSpaceDN w:val="0"/>
                    <w:jc w:val="center"/>
                    <w:textAlignment w:val="baseline"/>
                    <w:rPr>
                      <w:rFonts w:ascii="宋体" w:hAnsi="宋体" w:cs="宋体"/>
                    </w:rPr>
                  </w:pPr>
                  <w:r>
                    <w:rPr>
                      <w:rFonts w:ascii="宋体" w:hAnsi="宋体" w:cs="宋体"/>
                    </w:rPr>
                    <w:t>路</w:t>
                  </w:r>
                </w:p>
              </w:tc>
              <w:tc>
                <w:tcPr>
                  <w:tcW w:w="1633" w:type="pct"/>
                  <w:vAlign w:val="center"/>
                </w:tcPr>
                <w:p w14:paraId="553B48BD">
                  <w:pPr>
                    <w:pStyle w:val="208"/>
                    <w:widowControl/>
                    <w:autoSpaceDE w:val="0"/>
                    <w:autoSpaceDN w:val="0"/>
                    <w:jc w:val="center"/>
                    <w:textAlignment w:val="baseline"/>
                    <w:rPr>
                      <w:sz w:val="21"/>
                      <w:szCs w:val="21"/>
                    </w:rPr>
                  </w:pPr>
                  <w:r>
                    <w:rPr>
                      <w:sz w:val="21"/>
                      <w:szCs w:val="21"/>
                    </w:rPr>
                    <w:t>6</w:t>
                  </w:r>
                </w:p>
              </w:tc>
            </w:tr>
            <w:tr w14:paraId="6E5E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0F1632B6">
                  <w:pPr>
                    <w:pStyle w:val="208"/>
                    <w:widowControl/>
                    <w:numPr>
                      <w:ilvl w:val="0"/>
                      <w:numId w:val="4"/>
                    </w:numPr>
                    <w:autoSpaceDE w:val="0"/>
                    <w:autoSpaceDN w:val="0"/>
                    <w:jc w:val="center"/>
                    <w:textAlignment w:val="baseline"/>
                    <w:rPr>
                      <w:sz w:val="21"/>
                      <w:szCs w:val="21"/>
                    </w:rPr>
                  </w:pPr>
                </w:p>
              </w:tc>
              <w:tc>
                <w:tcPr>
                  <w:tcW w:w="2033" w:type="pct"/>
                  <w:vAlign w:val="center"/>
                </w:tcPr>
                <w:p w14:paraId="3D147D8F">
                  <w:pPr>
                    <w:pStyle w:val="208"/>
                    <w:widowControl/>
                    <w:autoSpaceDE w:val="0"/>
                    <w:autoSpaceDN w:val="0"/>
                    <w:jc w:val="center"/>
                    <w:textAlignment w:val="baseline"/>
                    <w:rPr>
                      <w:rFonts w:ascii="宋体" w:hAnsi="宋体" w:eastAsia="宋体" w:cs="宋体"/>
                      <w:sz w:val="21"/>
                      <w:szCs w:val="21"/>
                      <w:lang w:eastAsia="zh-CN"/>
                    </w:rPr>
                  </w:pPr>
                  <w:r>
                    <w:rPr>
                      <w:rFonts w:ascii="宋体" w:hAnsi="宋体" w:eastAsia="宋体" w:cs="宋体"/>
                      <w:sz w:val="21"/>
                      <w:szCs w:val="21"/>
                      <w:lang w:eastAsia="zh-CN"/>
                    </w:rPr>
                    <w:t>允许电压范围（</w:t>
                  </w:r>
                  <w:r>
                    <w:rPr>
                      <w:sz w:val="21"/>
                      <w:szCs w:val="21"/>
                      <w:lang w:eastAsia="zh-CN"/>
                    </w:rPr>
                    <w:t>Vac</w:t>
                  </w:r>
                  <w:r>
                    <w:rPr>
                      <w:rFonts w:ascii="宋体" w:hAnsi="宋体" w:eastAsia="宋体" w:cs="宋体"/>
                      <w:sz w:val="21"/>
                      <w:szCs w:val="21"/>
                      <w:lang w:eastAsia="zh-CN"/>
                    </w:rPr>
                    <w:t>）</w:t>
                  </w:r>
                </w:p>
              </w:tc>
              <w:tc>
                <w:tcPr>
                  <w:tcW w:w="1008" w:type="pct"/>
                  <w:vAlign w:val="center"/>
                </w:tcPr>
                <w:p w14:paraId="2BC42B09">
                  <w:pPr>
                    <w:pStyle w:val="208"/>
                    <w:widowControl/>
                    <w:autoSpaceDE w:val="0"/>
                    <w:autoSpaceDN w:val="0"/>
                    <w:jc w:val="center"/>
                    <w:textAlignment w:val="baseline"/>
                    <w:rPr>
                      <w:sz w:val="21"/>
                      <w:szCs w:val="21"/>
                    </w:rPr>
                  </w:pPr>
                  <w:r>
                    <w:rPr>
                      <w:sz w:val="21"/>
                      <w:szCs w:val="21"/>
                    </w:rPr>
                    <w:t>V</w:t>
                  </w:r>
                </w:p>
              </w:tc>
              <w:tc>
                <w:tcPr>
                  <w:tcW w:w="1633" w:type="pct"/>
                  <w:vAlign w:val="center"/>
                </w:tcPr>
                <w:p w14:paraId="486C4E23">
                  <w:pPr>
                    <w:pStyle w:val="208"/>
                    <w:widowControl/>
                    <w:autoSpaceDE w:val="0"/>
                    <w:autoSpaceDN w:val="0"/>
                    <w:jc w:val="center"/>
                    <w:textAlignment w:val="baseline"/>
                    <w:rPr>
                      <w:sz w:val="21"/>
                      <w:szCs w:val="21"/>
                    </w:rPr>
                  </w:pPr>
                  <w:r>
                    <w:rPr>
                      <w:sz w:val="21"/>
                      <w:szCs w:val="21"/>
                    </w:rPr>
                    <w:t>500</w:t>
                  </w:r>
                  <w:r>
                    <w:rPr>
                      <w:rFonts w:hint="eastAsia" w:eastAsia="宋体"/>
                      <w:sz w:val="21"/>
                      <w:szCs w:val="21"/>
                      <w:lang w:eastAsia="zh-CN"/>
                    </w:rPr>
                    <w:t>~</w:t>
                  </w:r>
                  <w:r>
                    <w:rPr>
                      <w:sz w:val="21"/>
                      <w:szCs w:val="21"/>
                    </w:rPr>
                    <w:t>1500</w:t>
                  </w:r>
                </w:p>
              </w:tc>
            </w:tr>
            <w:tr w14:paraId="5C9F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52B6D1DB">
                  <w:pPr>
                    <w:pStyle w:val="208"/>
                    <w:widowControl/>
                    <w:numPr>
                      <w:ilvl w:val="0"/>
                      <w:numId w:val="4"/>
                    </w:numPr>
                    <w:autoSpaceDE w:val="0"/>
                    <w:autoSpaceDN w:val="0"/>
                    <w:jc w:val="center"/>
                    <w:textAlignment w:val="baseline"/>
                    <w:rPr>
                      <w:sz w:val="21"/>
                      <w:szCs w:val="21"/>
                    </w:rPr>
                  </w:pPr>
                </w:p>
              </w:tc>
              <w:tc>
                <w:tcPr>
                  <w:tcW w:w="2033" w:type="pct"/>
                  <w:vAlign w:val="center"/>
                </w:tcPr>
                <w:p w14:paraId="4FF81E1F">
                  <w:pPr>
                    <w:pStyle w:val="208"/>
                    <w:widowControl/>
                    <w:autoSpaceDE w:val="0"/>
                    <w:autoSpaceDN w:val="0"/>
                    <w:jc w:val="center"/>
                    <w:textAlignment w:val="baseline"/>
                    <w:rPr>
                      <w:rFonts w:ascii="宋体" w:hAnsi="宋体" w:eastAsia="宋体" w:cs="宋体"/>
                      <w:sz w:val="21"/>
                      <w:szCs w:val="21"/>
                      <w:lang w:eastAsia="zh-CN"/>
                    </w:rPr>
                  </w:pPr>
                  <w:r>
                    <w:rPr>
                      <w:rFonts w:ascii="宋体" w:hAnsi="宋体" w:eastAsia="宋体" w:cs="宋体"/>
                      <w:sz w:val="21"/>
                      <w:szCs w:val="21"/>
                      <w:lang w:eastAsia="zh-CN"/>
                    </w:rPr>
                    <w:t>最大输入电流（</w:t>
                  </w:r>
                  <w:r>
                    <w:rPr>
                      <w:sz w:val="21"/>
                      <w:szCs w:val="21"/>
                      <w:lang w:eastAsia="zh-CN"/>
                    </w:rPr>
                    <w:t>Adc</w:t>
                  </w:r>
                  <w:r>
                    <w:rPr>
                      <w:rFonts w:ascii="宋体" w:hAnsi="宋体" w:eastAsia="宋体" w:cs="宋体"/>
                      <w:sz w:val="21"/>
                      <w:szCs w:val="21"/>
                      <w:lang w:eastAsia="zh-CN"/>
                    </w:rPr>
                    <w:t>）</w:t>
                  </w:r>
                </w:p>
              </w:tc>
              <w:tc>
                <w:tcPr>
                  <w:tcW w:w="1008" w:type="pct"/>
                  <w:vAlign w:val="center"/>
                </w:tcPr>
                <w:p w14:paraId="01089BA0">
                  <w:pPr>
                    <w:pStyle w:val="208"/>
                    <w:widowControl/>
                    <w:autoSpaceDE w:val="0"/>
                    <w:autoSpaceDN w:val="0"/>
                    <w:jc w:val="center"/>
                    <w:textAlignment w:val="baseline"/>
                    <w:rPr>
                      <w:sz w:val="21"/>
                      <w:szCs w:val="21"/>
                    </w:rPr>
                  </w:pPr>
                  <w:r>
                    <w:rPr>
                      <w:sz w:val="21"/>
                      <w:szCs w:val="21"/>
                    </w:rPr>
                    <w:t>A</w:t>
                  </w:r>
                </w:p>
              </w:tc>
              <w:tc>
                <w:tcPr>
                  <w:tcW w:w="1633" w:type="pct"/>
                  <w:vAlign w:val="center"/>
                </w:tcPr>
                <w:p w14:paraId="01F4C590">
                  <w:pPr>
                    <w:pStyle w:val="208"/>
                    <w:widowControl/>
                    <w:autoSpaceDE w:val="0"/>
                    <w:autoSpaceDN w:val="0"/>
                    <w:jc w:val="center"/>
                    <w:textAlignment w:val="baseline"/>
                    <w:rPr>
                      <w:sz w:val="21"/>
                      <w:szCs w:val="21"/>
                    </w:rPr>
                  </w:pPr>
                  <w:r>
                    <w:rPr>
                      <w:sz w:val="21"/>
                      <w:szCs w:val="21"/>
                    </w:rPr>
                    <w:t>65</w:t>
                  </w:r>
                </w:p>
              </w:tc>
            </w:tr>
            <w:tr w14:paraId="34F9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26BD50FD">
                  <w:pPr>
                    <w:pStyle w:val="208"/>
                    <w:widowControl/>
                    <w:numPr>
                      <w:ilvl w:val="0"/>
                      <w:numId w:val="4"/>
                    </w:numPr>
                    <w:autoSpaceDE w:val="0"/>
                    <w:autoSpaceDN w:val="0"/>
                    <w:jc w:val="center"/>
                    <w:textAlignment w:val="baseline"/>
                    <w:rPr>
                      <w:sz w:val="21"/>
                      <w:szCs w:val="21"/>
                    </w:rPr>
                  </w:pPr>
                </w:p>
              </w:tc>
              <w:tc>
                <w:tcPr>
                  <w:tcW w:w="2033" w:type="pct"/>
                  <w:vAlign w:val="center"/>
                </w:tcPr>
                <w:p w14:paraId="3B75063E">
                  <w:pPr>
                    <w:pStyle w:val="208"/>
                    <w:widowControl/>
                    <w:autoSpaceDE w:val="0"/>
                    <w:autoSpaceDN w:val="0"/>
                    <w:jc w:val="center"/>
                    <w:textAlignment w:val="baseline"/>
                    <w:rPr>
                      <w:rFonts w:ascii="宋体" w:hAnsi="宋体" w:eastAsia="宋体" w:cs="宋体"/>
                      <w:sz w:val="21"/>
                      <w:szCs w:val="21"/>
                      <w:lang w:eastAsia="zh-CN"/>
                    </w:rPr>
                  </w:pPr>
                  <w:r>
                    <w:rPr>
                      <w:rFonts w:ascii="宋体" w:hAnsi="宋体" w:eastAsia="宋体" w:cs="宋体"/>
                      <w:sz w:val="21"/>
                      <w:szCs w:val="21"/>
                      <w:lang w:eastAsia="zh-CN"/>
                    </w:rPr>
                    <w:t>最大输出功率（</w:t>
                  </w:r>
                  <w:r>
                    <w:rPr>
                      <w:rFonts w:hint="eastAsia" w:eastAsia="宋体"/>
                      <w:sz w:val="21"/>
                      <w:szCs w:val="21"/>
                      <w:lang w:eastAsia="zh-CN"/>
                    </w:rPr>
                    <w:t>kV</w:t>
                  </w:r>
                  <w:r>
                    <w:rPr>
                      <w:sz w:val="21"/>
                      <w:szCs w:val="21"/>
                      <w:lang w:eastAsia="zh-CN"/>
                    </w:rPr>
                    <w:t>A</w:t>
                  </w:r>
                  <w:r>
                    <w:rPr>
                      <w:rFonts w:ascii="宋体" w:hAnsi="宋体" w:eastAsia="宋体" w:cs="宋体"/>
                      <w:sz w:val="21"/>
                      <w:szCs w:val="21"/>
                      <w:lang w:eastAsia="zh-CN"/>
                    </w:rPr>
                    <w:t>）</w:t>
                  </w:r>
                </w:p>
              </w:tc>
              <w:tc>
                <w:tcPr>
                  <w:tcW w:w="1008" w:type="pct"/>
                  <w:vAlign w:val="center"/>
                </w:tcPr>
                <w:p w14:paraId="35C09574">
                  <w:pPr>
                    <w:pStyle w:val="208"/>
                    <w:widowControl/>
                    <w:autoSpaceDE w:val="0"/>
                    <w:autoSpaceDN w:val="0"/>
                    <w:jc w:val="center"/>
                    <w:textAlignment w:val="baseline"/>
                    <w:rPr>
                      <w:sz w:val="21"/>
                      <w:szCs w:val="21"/>
                    </w:rPr>
                  </w:pPr>
                  <w:r>
                    <w:rPr>
                      <w:sz w:val="21"/>
                      <w:szCs w:val="21"/>
                    </w:rPr>
                    <w:t>kW</w:t>
                  </w:r>
                </w:p>
              </w:tc>
              <w:tc>
                <w:tcPr>
                  <w:tcW w:w="1633" w:type="pct"/>
                  <w:vAlign w:val="center"/>
                </w:tcPr>
                <w:p w14:paraId="713822B0">
                  <w:pPr>
                    <w:pStyle w:val="208"/>
                    <w:widowControl/>
                    <w:autoSpaceDE w:val="0"/>
                    <w:autoSpaceDN w:val="0"/>
                    <w:jc w:val="center"/>
                    <w:textAlignment w:val="baseline"/>
                    <w:rPr>
                      <w:sz w:val="21"/>
                      <w:szCs w:val="21"/>
                    </w:rPr>
                  </w:pPr>
                  <w:r>
                    <w:rPr>
                      <w:sz w:val="21"/>
                      <w:szCs w:val="21"/>
                    </w:rPr>
                    <w:t>330</w:t>
                  </w:r>
                </w:p>
              </w:tc>
            </w:tr>
            <w:tr w14:paraId="40A0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6787C538">
                  <w:pPr>
                    <w:pStyle w:val="208"/>
                    <w:widowControl/>
                    <w:numPr>
                      <w:ilvl w:val="0"/>
                      <w:numId w:val="4"/>
                    </w:numPr>
                    <w:autoSpaceDE w:val="0"/>
                    <w:autoSpaceDN w:val="0"/>
                    <w:jc w:val="center"/>
                    <w:textAlignment w:val="baseline"/>
                    <w:rPr>
                      <w:sz w:val="21"/>
                      <w:szCs w:val="21"/>
                    </w:rPr>
                  </w:pPr>
                </w:p>
              </w:tc>
              <w:tc>
                <w:tcPr>
                  <w:tcW w:w="2033" w:type="pct"/>
                  <w:vAlign w:val="center"/>
                </w:tcPr>
                <w:p w14:paraId="6A339DB4">
                  <w:pPr>
                    <w:pStyle w:val="208"/>
                    <w:widowControl/>
                    <w:autoSpaceDE w:val="0"/>
                    <w:autoSpaceDN w:val="0"/>
                    <w:jc w:val="center"/>
                    <w:textAlignment w:val="baseline"/>
                    <w:rPr>
                      <w:rFonts w:ascii="宋体" w:hAnsi="宋体" w:eastAsia="宋体" w:cs="宋体"/>
                      <w:sz w:val="21"/>
                      <w:szCs w:val="21"/>
                      <w:lang w:eastAsia="zh-CN"/>
                    </w:rPr>
                  </w:pPr>
                  <w:r>
                    <w:rPr>
                      <w:rFonts w:ascii="宋体" w:hAnsi="宋体" w:eastAsia="宋体" w:cs="宋体"/>
                      <w:sz w:val="21"/>
                      <w:szCs w:val="21"/>
                      <w:lang w:eastAsia="zh-CN"/>
                    </w:rPr>
                    <w:t>最大输出电流（</w:t>
                  </w:r>
                  <w:r>
                    <w:rPr>
                      <w:sz w:val="21"/>
                      <w:szCs w:val="21"/>
                      <w:lang w:eastAsia="zh-CN"/>
                    </w:rPr>
                    <w:t>Aac</w:t>
                  </w:r>
                  <w:r>
                    <w:rPr>
                      <w:rFonts w:ascii="宋体" w:hAnsi="宋体" w:eastAsia="宋体" w:cs="宋体"/>
                      <w:sz w:val="21"/>
                      <w:szCs w:val="21"/>
                      <w:lang w:eastAsia="zh-CN"/>
                    </w:rPr>
                    <w:t>）</w:t>
                  </w:r>
                </w:p>
              </w:tc>
              <w:tc>
                <w:tcPr>
                  <w:tcW w:w="1008" w:type="pct"/>
                  <w:vAlign w:val="center"/>
                </w:tcPr>
                <w:p w14:paraId="09428D82">
                  <w:pPr>
                    <w:pStyle w:val="208"/>
                    <w:widowControl/>
                    <w:autoSpaceDE w:val="0"/>
                    <w:autoSpaceDN w:val="0"/>
                    <w:jc w:val="center"/>
                    <w:textAlignment w:val="baseline"/>
                    <w:rPr>
                      <w:sz w:val="21"/>
                      <w:szCs w:val="21"/>
                    </w:rPr>
                  </w:pPr>
                  <w:r>
                    <w:rPr>
                      <w:sz w:val="21"/>
                      <w:szCs w:val="21"/>
                    </w:rPr>
                    <w:t>A</w:t>
                  </w:r>
                </w:p>
              </w:tc>
              <w:tc>
                <w:tcPr>
                  <w:tcW w:w="1633" w:type="pct"/>
                  <w:vAlign w:val="center"/>
                </w:tcPr>
                <w:p w14:paraId="3BDE922B">
                  <w:pPr>
                    <w:pStyle w:val="208"/>
                    <w:widowControl/>
                    <w:autoSpaceDE w:val="0"/>
                    <w:autoSpaceDN w:val="0"/>
                    <w:jc w:val="center"/>
                    <w:textAlignment w:val="baseline"/>
                    <w:rPr>
                      <w:sz w:val="21"/>
                      <w:szCs w:val="21"/>
                    </w:rPr>
                  </w:pPr>
                  <w:r>
                    <w:rPr>
                      <w:sz w:val="21"/>
                      <w:szCs w:val="21"/>
                    </w:rPr>
                    <w:t>238.2</w:t>
                  </w:r>
                </w:p>
              </w:tc>
            </w:tr>
            <w:tr w14:paraId="4DA0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4F9837BE">
                  <w:pPr>
                    <w:pStyle w:val="208"/>
                    <w:widowControl/>
                    <w:numPr>
                      <w:ilvl w:val="0"/>
                      <w:numId w:val="4"/>
                    </w:numPr>
                    <w:autoSpaceDE w:val="0"/>
                    <w:autoSpaceDN w:val="0"/>
                    <w:jc w:val="center"/>
                    <w:textAlignment w:val="baseline"/>
                    <w:rPr>
                      <w:sz w:val="21"/>
                      <w:szCs w:val="21"/>
                    </w:rPr>
                  </w:pPr>
                </w:p>
              </w:tc>
              <w:tc>
                <w:tcPr>
                  <w:tcW w:w="2033" w:type="pct"/>
                  <w:vAlign w:val="center"/>
                </w:tcPr>
                <w:p w14:paraId="2E1A96BD">
                  <w:pPr>
                    <w:pStyle w:val="208"/>
                    <w:widowControl/>
                    <w:autoSpaceDE w:val="0"/>
                    <w:autoSpaceDN w:val="0"/>
                    <w:jc w:val="center"/>
                    <w:textAlignment w:val="baseline"/>
                    <w:rPr>
                      <w:rFonts w:ascii="宋体" w:hAnsi="宋体" w:eastAsia="宋体" w:cs="宋体"/>
                      <w:sz w:val="21"/>
                      <w:szCs w:val="21"/>
                      <w:lang w:eastAsia="zh-CN"/>
                    </w:rPr>
                  </w:pPr>
                  <w:r>
                    <w:rPr>
                      <w:rFonts w:ascii="宋体" w:hAnsi="宋体" w:eastAsia="宋体" w:cs="宋体"/>
                      <w:sz w:val="21"/>
                      <w:szCs w:val="21"/>
                      <w:lang w:eastAsia="zh-CN"/>
                    </w:rPr>
                    <w:t>额定电网频率（</w:t>
                  </w:r>
                  <w:r>
                    <w:rPr>
                      <w:sz w:val="21"/>
                      <w:szCs w:val="21"/>
                      <w:lang w:eastAsia="zh-CN"/>
                    </w:rPr>
                    <w:t>Hz</w:t>
                  </w:r>
                  <w:r>
                    <w:rPr>
                      <w:rFonts w:ascii="宋体" w:hAnsi="宋体" w:eastAsia="宋体" w:cs="宋体"/>
                      <w:sz w:val="21"/>
                      <w:szCs w:val="21"/>
                      <w:lang w:eastAsia="zh-CN"/>
                    </w:rPr>
                    <w:t>）</w:t>
                  </w:r>
                </w:p>
              </w:tc>
              <w:tc>
                <w:tcPr>
                  <w:tcW w:w="1008" w:type="pct"/>
                  <w:vAlign w:val="center"/>
                </w:tcPr>
                <w:p w14:paraId="3AE70192">
                  <w:pPr>
                    <w:pStyle w:val="208"/>
                    <w:widowControl/>
                    <w:autoSpaceDE w:val="0"/>
                    <w:autoSpaceDN w:val="0"/>
                    <w:jc w:val="center"/>
                    <w:textAlignment w:val="baseline"/>
                    <w:rPr>
                      <w:sz w:val="21"/>
                      <w:szCs w:val="21"/>
                    </w:rPr>
                  </w:pPr>
                  <w:r>
                    <w:rPr>
                      <w:sz w:val="21"/>
                      <w:szCs w:val="21"/>
                    </w:rPr>
                    <w:t>Hz</w:t>
                  </w:r>
                </w:p>
              </w:tc>
              <w:tc>
                <w:tcPr>
                  <w:tcW w:w="1633" w:type="pct"/>
                  <w:vAlign w:val="center"/>
                </w:tcPr>
                <w:p w14:paraId="439BB9CD">
                  <w:pPr>
                    <w:pStyle w:val="208"/>
                    <w:widowControl/>
                    <w:autoSpaceDE w:val="0"/>
                    <w:autoSpaceDN w:val="0"/>
                    <w:jc w:val="center"/>
                    <w:textAlignment w:val="baseline"/>
                    <w:rPr>
                      <w:sz w:val="21"/>
                      <w:szCs w:val="21"/>
                    </w:rPr>
                  </w:pPr>
                  <w:r>
                    <w:rPr>
                      <w:sz w:val="21"/>
                      <w:szCs w:val="21"/>
                    </w:rPr>
                    <w:t>50</w:t>
                  </w:r>
                </w:p>
              </w:tc>
            </w:tr>
            <w:tr w14:paraId="441F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7D877A97">
                  <w:pPr>
                    <w:pStyle w:val="208"/>
                    <w:widowControl/>
                    <w:numPr>
                      <w:ilvl w:val="0"/>
                      <w:numId w:val="4"/>
                    </w:numPr>
                    <w:autoSpaceDE w:val="0"/>
                    <w:autoSpaceDN w:val="0"/>
                    <w:jc w:val="center"/>
                    <w:textAlignment w:val="baseline"/>
                    <w:rPr>
                      <w:sz w:val="21"/>
                      <w:szCs w:val="21"/>
                    </w:rPr>
                  </w:pPr>
                </w:p>
              </w:tc>
              <w:tc>
                <w:tcPr>
                  <w:tcW w:w="2033" w:type="pct"/>
                  <w:vAlign w:val="center"/>
                </w:tcPr>
                <w:p w14:paraId="6A626237">
                  <w:pPr>
                    <w:pStyle w:val="208"/>
                    <w:widowControl/>
                    <w:autoSpaceDE w:val="0"/>
                    <w:autoSpaceDN w:val="0"/>
                    <w:jc w:val="center"/>
                    <w:textAlignment w:val="baseline"/>
                    <w:rPr>
                      <w:rFonts w:ascii="宋体" w:hAnsi="宋体" w:eastAsia="宋体" w:cs="宋体"/>
                      <w:sz w:val="21"/>
                      <w:szCs w:val="21"/>
                    </w:rPr>
                  </w:pPr>
                  <w:r>
                    <w:rPr>
                      <w:rFonts w:ascii="宋体" w:hAnsi="宋体" w:eastAsia="宋体" w:cs="宋体"/>
                      <w:sz w:val="21"/>
                      <w:szCs w:val="21"/>
                    </w:rPr>
                    <w:t>额定输出电压（</w:t>
                  </w:r>
                  <w:r>
                    <w:rPr>
                      <w:sz w:val="21"/>
                      <w:szCs w:val="21"/>
                    </w:rPr>
                    <w:t>V</w:t>
                  </w:r>
                  <w:r>
                    <w:rPr>
                      <w:rFonts w:ascii="宋体" w:hAnsi="宋体" w:eastAsia="宋体" w:cs="宋体"/>
                      <w:sz w:val="21"/>
                      <w:szCs w:val="21"/>
                    </w:rPr>
                    <w:t>）</w:t>
                  </w:r>
                </w:p>
              </w:tc>
              <w:tc>
                <w:tcPr>
                  <w:tcW w:w="1008" w:type="pct"/>
                  <w:vAlign w:val="center"/>
                </w:tcPr>
                <w:p w14:paraId="49FB4FF7">
                  <w:pPr>
                    <w:pStyle w:val="208"/>
                    <w:widowControl/>
                    <w:autoSpaceDE w:val="0"/>
                    <w:autoSpaceDN w:val="0"/>
                    <w:jc w:val="center"/>
                    <w:textAlignment w:val="baseline"/>
                    <w:rPr>
                      <w:sz w:val="21"/>
                      <w:szCs w:val="21"/>
                    </w:rPr>
                  </w:pPr>
                  <w:r>
                    <w:rPr>
                      <w:sz w:val="21"/>
                      <w:szCs w:val="21"/>
                    </w:rPr>
                    <w:t>V</w:t>
                  </w:r>
                </w:p>
              </w:tc>
              <w:tc>
                <w:tcPr>
                  <w:tcW w:w="1633" w:type="pct"/>
                  <w:vAlign w:val="center"/>
                </w:tcPr>
                <w:p w14:paraId="69B31651">
                  <w:pPr>
                    <w:pStyle w:val="208"/>
                    <w:widowControl/>
                    <w:autoSpaceDE w:val="0"/>
                    <w:autoSpaceDN w:val="0"/>
                    <w:jc w:val="center"/>
                    <w:textAlignment w:val="baseline"/>
                    <w:rPr>
                      <w:sz w:val="21"/>
                      <w:szCs w:val="21"/>
                    </w:rPr>
                  </w:pPr>
                  <w:r>
                    <w:rPr>
                      <w:sz w:val="21"/>
                      <w:szCs w:val="21"/>
                    </w:rPr>
                    <w:t>800</w:t>
                  </w:r>
                </w:p>
              </w:tc>
            </w:tr>
            <w:tr w14:paraId="38BB9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4ABFE257">
                  <w:pPr>
                    <w:pStyle w:val="208"/>
                    <w:widowControl/>
                    <w:numPr>
                      <w:ilvl w:val="0"/>
                      <w:numId w:val="4"/>
                    </w:numPr>
                    <w:autoSpaceDE w:val="0"/>
                    <w:autoSpaceDN w:val="0"/>
                    <w:jc w:val="center"/>
                    <w:textAlignment w:val="baseline"/>
                    <w:rPr>
                      <w:sz w:val="21"/>
                      <w:szCs w:val="21"/>
                    </w:rPr>
                  </w:pPr>
                </w:p>
              </w:tc>
              <w:tc>
                <w:tcPr>
                  <w:tcW w:w="2033" w:type="pct"/>
                  <w:vAlign w:val="center"/>
                </w:tcPr>
                <w:p w14:paraId="37158620">
                  <w:pPr>
                    <w:widowControl/>
                    <w:autoSpaceDE w:val="0"/>
                    <w:autoSpaceDN w:val="0"/>
                    <w:jc w:val="center"/>
                    <w:textAlignment w:val="baseline"/>
                    <w:rPr>
                      <w:rFonts w:ascii="宋体" w:hAnsi="宋体" w:cs="宋体"/>
                    </w:rPr>
                  </w:pPr>
                  <w:r>
                    <w:rPr>
                      <w:rFonts w:ascii="宋体" w:hAnsi="宋体" w:cs="宋体"/>
                    </w:rPr>
                    <w:t>功率因数</w:t>
                  </w:r>
                </w:p>
              </w:tc>
              <w:tc>
                <w:tcPr>
                  <w:tcW w:w="1008" w:type="pct"/>
                  <w:vAlign w:val="center"/>
                </w:tcPr>
                <w:p w14:paraId="38F7B8F0">
                  <w:pPr>
                    <w:widowControl/>
                    <w:autoSpaceDE w:val="0"/>
                    <w:autoSpaceDN w:val="0"/>
                    <w:jc w:val="center"/>
                    <w:textAlignment w:val="baseline"/>
                    <w:rPr>
                      <w:rFonts w:hint="eastAsia" w:ascii="Arial"/>
                    </w:rPr>
                  </w:pPr>
                  <w:r>
                    <w:rPr>
                      <w:rFonts w:hint="eastAsia" w:ascii="Arial"/>
                    </w:rPr>
                    <w:t>/</w:t>
                  </w:r>
                </w:p>
              </w:tc>
              <w:tc>
                <w:tcPr>
                  <w:tcW w:w="1633" w:type="pct"/>
                  <w:vAlign w:val="center"/>
                </w:tcPr>
                <w:p w14:paraId="1B7627A5">
                  <w:pPr>
                    <w:pStyle w:val="208"/>
                    <w:widowControl/>
                    <w:autoSpaceDE w:val="0"/>
                    <w:autoSpaceDN w:val="0"/>
                    <w:jc w:val="center"/>
                    <w:textAlignment w:val="baseline"/>
                    <w:rPr>
                      <w:rFonts w:eastAsia="宋体"/>
                      <w:sz w:val="21"/>
                      <w:szCs w:val="21"/>
                    </w:rPr>
                  </w:pPr>
                  <w:r>
                    <w:rPr>
                      <w:sz w:val="21"/>
                      <w:szCs w:val="21"/>
                    </w:rPr>
                    <w:t>0.8</w:t>
                  </w:r>
                  <w:r>
                    <w:rPr>
                      <w:rFonts w:eastAsia="宋体"/>
                      <w:sz w:val="21"/>
                      <w:szCs w:val="21"/>
                    </w:rPr>
                    <w:t>（超前）</w:t>
                  </w:r>
                  <w:r>
                    <w:rPr>
                      <w:rFonts w:eastAsia="宋体"/>
                      <w:sz w:val="21"/>
                      <w:szCs w:val="21"/>
                      <w:lang w:eastAsia="zh-CN"/>
                    </w:rPr>
                    <w:t>~</w:t>
                  </w:r>
                  <w:r>
                    <w:rPr>
                      <w:sz w:val="21"/>
                      <w:szCs w:val="21"/>
                    </w:rPr>
                    <w:t>0.8</w:t>
                  </w:r>
                  <w:r>
                    <w:rPr>
                      <w:rFonts w:eastAsia="宋体"/>
                      <w:sz w:val="21"/>
                      <w:szCs w:val="21"/>
                    </w:rPr>
                    <w:t>（滞后）</w:t>
                  </w:r>
                </w:p>
              </w:tc>
            </w:tr>
            <w:tr w14:paraId="0013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2393A4C3">
                  <w:pPr>
                    <w:pStyle w:val="208"/>
                    <w:widowControl/>
                    <w:numPr>
                      <w:ilvl w:val="0"/>
                      <w:numId w:val="4"/>
                    </w:numPr>
                    <w:autoSpaceDE w:val="0"/>
                    <w:autoSpaceDN w:val="0"/>
                    <w:jc w:val="center"/>
                    <w:textAlignment w:val="baseline"/>
                    <w:rPr>
                      <w:sz w:val="21"/>
                      <w:szCs w:val="21"/>
                    </w:rPr>
                  </w:pPr>
                </w:p>
              </w:tc>
              <w:tc>
                <w:tcPr>
                  <w:tcW w:w="2033" w:type="pct"/>
                  <w:vAlign w:val="center"/>
                </w:tcPr>
                <w:p w14:paraId="6D3B2A22">
                  <w:pPr>
                    <w:widowControl/>
                    <w:autoSpaceDE w:val="0"/>
                    <w:autoSpaceDN w:val="0"/>
                    <w:jc w:val="center"/>
                    <w:textAlignment w:val="baseline"/>
                    <w:rPr>
                      <w:rFonts w:ascii="宋体" w:hAnsi="宋体" w:cs="宋体"/>
                    </w:rPr>
                  </w:pPr>
                  <w:r>
                    <w:rPr>
                      <w:rFonts w:ascii="宋体" w:hAnsi="宋体" w:cs="宋体"/>
                    </w:rPr>
                    <w:t>最大总谐波失真</w:t>
                  </w:r>
                </w:p>
              </w:tc>
              <w:tc>
                <w:tcPr>
                  <w:tcW w:w="1008" w:type="pct"/>
                  <w:vAlign w:val="center"/>
                </w:tcPr>
                <w:p w14:paraId="5995167A">
                  <w:pPr>
                    <w:widowControl/>
                    <w:autoSpaceDE w:val="0"/>
                    <w:autoSpaceDN w:val="0"/>
                    <w:jc w:val="center"/>
                    <w:textAlignment w:val="baseline"/>
                    <w:rPr>
                      <w:rFonts w:ascii="Arial"/>
                    </w:rPr>
                  </w:pPr>
                </w:p>
              </w:tc>
              <w:tc>
                <w:tcPr>
                  <w:tcW w:w="1633" w:type="pct"/>
                  <w:vAlign w:val="center"/>
                </w:tcPr>
                <w:p w14:paraId="0BC7FE94">
                  <w:pPr>
                    <w:pStyle w:val="208"/>
                    <w:widowControl/>
                    <w:autoSpaceDE w:val="0"/>
                    <w:autoSpaceDN w:val="0"/>
                    <w:jc w:val="center"/>
                    <w:textAlignment w:val="baseline"/>
                    <w:rPr>
                      <w:sz w:val="21"/>
                      <w:szCs w:val="21"/>
                    </w:rPr>
                  </w:pPr>
                  <w:r>
                    <w:rPr>
                      <w:rFonts w:ascii="宋体" w:hAnsi="宋体" w:eastAsia="宋体" w:cs="宋体"/>
                      <w:sz w:val="21"/>
                      <w:szCs w:val="21"/>
                    </w:rPr>
                    <w:t>&lt;</w:t>
                  </w:r>
                  <w:r>
                    <w:rPr>
                      <w:sz w:val="21"/>
                      <w:szCs w:val="21"/>
                    </w:rPr>
                    <w:t>1%</w:t>
                  </w:r>
                </w:p>
              </w:tc>
            </w:tr>
            <w:tr w14:paraId="1812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26297236">
                  <w:pPr>
                    <w:pStyle w:val="208"/>
                    <w:widowControl/>
                    <w:numPr>
                      <w:ilvl w:val="0"/>
                      <w:numId w:val="4"/>
                    </w:numPr>
                    <w:autoSpaceDE w:val="0"/>
                    <w:autoSpaceDN w:val="0"/>
                    <w:jc w:val="center"/>
                    <w:textAlignment w:val="baseline"/>
                    <w:rPr>
                      <w:sz w:val="21"/>
                      <w:szCs w:val="21"/>
                    </w:rPr>
                  </w:pPr>
                </w:p>
              </w:tc>
              <w:tc>
                <w:tcPr>
                  <w:tcW w:w="2033" w:type="pct"/>
                  <w:vAlign w:val="center"/>
                </w:tcPr>
                <w:p w14:paraId="0C8FB6BB">
                  <w:pPr>
                    <w:widowControl/>
                    <w:autoSpaceDE w:val="0"/>
                    <w:autoSpaceDN w:val="0"/>
                    <w:jc w:val="center"/>
                    <w:textAlignment w:val="baseline"/>
                    <w:rPr>
                      <w:rFonts w:ascii="宋体" w:hAnsi="宋体" w:cs="宋体"/>
                    </w:rPr>
                  </w:pPr>
                  <w:r>
                    <w:rPr>
                      <w:rFonts w:ascii="宋体" w:hAnsi="宋体" w:cs="宋体"/>
                    </w:rPr>
                    <w:t>最大逆变器效率</w:t>
                  </w:r>
                </w:p>
              </w:tc>
              <w:tc>
                <w:tcPr>
                  <w:tcW w:w="1008" w:type="pct"/>
                  <w:vAlign w:val="center"/>
                </w:tcPr>
                <w:p w14:paraId="6A50B891">
                  <w:pPr>
                    <w:pStyle w:val="208"/>
                    <w:widowControl/>
                    <w:autoSpaceDE w:val="0"/>
                    <w:autoSpaceDN w:val="0"/>
                    <w:jc w:val="center"/>
                    <w:textAlignment w:val="baseline"/>
                    <w:rPr>
                      <w:sz w:val="21"/>
                      <w:szCs w:val="21"/>
                    </w:rPr>
                  </w:pPr>
                  <w:r>
                    <w:rPr>
                      <w:sz w:val="21"/>
                      <w:szCs w:val="21"/>
                    </w:rPr>
                    <w:t>%</w:t>
                  </w:r>
                </w:p>
              </w:tc>
              <w:tc>
                <w:tcPr>
                  <w:tcW w:w="1633" w:type="pct"/>
                  <w:vAlign w:val="center"/>
                </w:tcPr>
                <w:p w14:paraId="0739C2A8">
                  <w:pPr>
                    <w:pStyle w:val="208"/>
                    <w:widowControl/>
                    <w:autoSpaceDE w:val="0"/>
                    <w:autoSpaceDN w:val="0"/>
                    <w:jc w:val="center"/>
                    <w:textAlignment w:val="baseline"/>
                    <w:rPr>
                      <w:sz w:val="21"/>
                      <w:szCs w:val="21"/>
                    </w:rPr>
                  </w:pPr>
                  <w:r>
                    <w:rPr>
                      <w:sz w:val="21"/>
                      <w:szCs w:val="21"/>
                    </w:rPr>
                    <w:t>99.0</w:t>
                  </w:r>
                </w:p>
              </w:tc>
            </w:tr>
            <w:tr w14:paraId="347FA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0D06D456">
                  <w:pPr>
                    <w:pStyle w:val="208"/>
                    <w:widowControl/>
                    <w:numPr>
                      <w:ilvl w:val="0"/>
                      <w:numId w:val="4"/>
                    </w:numPr>
                    <w:autoSpaceDE w:val="0"/>
                    <w:autoSpaceDN w:val="0"/>
                    <w:jc w:val="center"/>
                    <w:textAlignment w:val="baseline"/>
                    <w:rPr>
                      <w:sz w:val="21"/>
                      <w:szCs w:val="21"/>
                    </w:rPr>
                  </w:pPr>
                </w:p>
              </w:tc>
              <w:tc>
                <w:tcPr>
                  <w:tcW w:w="2033" w:type="pct"/>
                  <w:vAlign w:val="center"/>
                </w:tcPr>
                <w:p w14:paraId="494504E5">
                  <w:pPr>
                    <w:widowControl/>
                    <w:autoSpaceDE w:val="0"/>
                    <w:autoSpaceDN w:val="0"/>
                    <w:jc w:val="center"/>
                    <w:textAlignment w:val="baseline"/>
                    <w:rPr>
                      <w:rFonts w:ascii="宋体" w:hAnsi="宋体" w:cs="宋体"/>
                    </w:rPr>
                  </w:pPr>
                  <w:r>
                    <w:rPr>
                      <w:rFonts w:ascii="宋体" w:hAnsi="宋体" w:cs="宋体"/>
                    </w:rPr>
                    <w:t>中国效率</w:t>
                  </w:r>
                </w:p>
              </w:tc>
              <w:tc>
                <w:tcPr>
                  <w:tcW w:w="1008" w:type="pct"/>
                  <w:vAlign w:val="center"/>
                </w:tcPr>
                <w:p w14:paraId="53E8EE89">
                  <w:pPr>
                    <w:pStyle w:val="208"/>
                    <w:widowControl/>
                    <w:autoSpaceDE w:val="0"/>
                    <w:autoSpaceDN w:val="0"/>
                    <w:jc w:val="center"/>
                    <w:textAlignment w:val="baseline"/>
                    <w:rPr>
                      <w:sz w:val="21"/>
                      <w:szCs w:val="21"/>
                    </w:rPr>
                  </w:pPr>
                  <w:r>
                    <w:rPr>
                      <w:sz w:val="21"/>
                      <w:szCs w:val="21"/>
                    </w:rPr>
                    <w:t>%</w:t>
                  </w:r>
                </w:p>
              </w:tc>
              <w:tc>
                <w:tcPr>
                  <w:tcW w:w="1633" w:type="pct"/>
                  <w:vAlign w:val="center"/>
                </w:tcPr>
                <w:p w14:paraId="7049E8B2">
                  <w:pPr>
                    <w:pStyle w:val="208"/>
                    <w:widowControl/>
                    <w:autoSpaceDE w:val="0"/>
                    <w:autoSpaceDN w:val="0"/>
                    <w:jc w:val="center"/>
                    <w:textAlignment w:val="baseline"/>
                    <w:rPr>
                      <w:sz w:val="21"/>
                      <w:szCs w:val="21"/>
                    </w:rPr>
                  </w:pPr>
                  <w:r>
                    <w:rPr>
                      <w:sz w:val="21"/>
                      <w:szCs w:val="21"/>
                    </w:rPr>
                    <w:t>98.5</w:t>
                  </w:r>
                </w:p>
              </w:tc>
            </w:tr>
            <w:tr w14:paraId="4359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542E13C9">
                  <w:pPr>
                    <w:pStyle w:val="208"/>
                    <w:widowControl/>
                    <w:numPr>
                      <w:ilvl w:val="0"/>
                      <w:numId w:val="4"/>
                    </w:numPr>
                    <w:autoSpaceDE w:val="0"/>
                    <w:autoSpaceDN w:val="0"/>
                    <w:jc w:val="center"/>
                    <w:textAlignment w:val="baseline"/>
                    <w:rPr>
                      <w:sz w:val="21"/>
                      <w:szCs w:val="21"/>
                    </w:rPr>
                  </w:pPr>
                </w:p>
              </w:tc>
              <w:tc>
                <w:tcPr>
                  <w:tcW w:w="2033" w:type="pct"/>
                  <w:vAlign w:val="center"/>
                </w:tcPr>
                <w:p w14:paraId="30A5AB2C">
                  <w:pPr>
                    <w:widowControl/>
                    <w:autoSpaceDE w:val="0"/>
                    <w:autoSpaceDN w:val="0"/>
                    <w:jc w:val="center"/>
                    <w:textAlignment w:val="baseline"/>
                    <w:rPr>
                      <w:rFonts w:ascii="宋体" w:hAnsi="宋体" w:cs="宋体"/>
                    </w:rPr>
                  </w:pPr>
                  <w:r>
                    <w:rPr>
                      <w:rFonts w:ascii="宋体" w:hAnsi="宋体" w:cs="宋体"/>
                    </w:rPr>
                    <w:t>外壳防护等级</w:t>
                  </w:r>
                </w:p>
              </w:tc>
              <w:tc>
                <w:tcPr>
                  <w:tcW w:w="1008" w:type="pct"/>
                  <w:vAlign w:val="center"/>
                </w:tcPr>
                <w:p w14:paraId="16D92746">
                  <w:pPr>
                    <w:widowControl/>
                    <w:autoSpaceDE w:val="0"/>
                    <w:autoSpaceDN w:val="0"/>
                    <w:jc w:val="center"/>
                    <w:textAlignment w:val="baseline"/>
                    <w:rPr>
                      <w:rFonts w:ascii="Arial"/>
                    </w:rPr>
                  </w:pPr>
                </w:p>
              </w:tc>
              <w:tc>
                <w:tcPr>
                  <w:tcW w:w="1633" w:type="pct"/>
                  <w:vAlign w:val="center"/>
                </w:tcPr>
                <w:p w14:paraId="36C3E9B9">
                  <w:pPr>
                    <w:pStyle w:val="208"/>
                    <w:widowControl/>
                    <w:autoSpaceDE w:val="0"/>
                    <w:autoSpaceDN w:val="0"/>
                    <w:jc w:val="center"/>
                    <w:textAlignment w:val="baseline"/>
                    <w:rPr>
                      <w:sz w:val="21"/>
                      <w:szCs w:val="21"/>
                    </w:rPr>
                  </w:pPr>
                  <w:r>
                    <w:rPr>
                      <w:sz w:val="21"/>
                      <w:szCs w:val="21"/>
                    </w:rPr>
                    <w:t>IP66</w:t>
                  </w:r>
                </w:p>
              </w:tc>
            </w:tr>
            <w:tr w14:paraId="66AD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64FAA3D1">
                  <w:pPr>
                    <w:pStyle w:val="208"/>
                    <w:widowControl/>
                    <w:numPr>
                      <w:ilvl w:val="0"/>
                      <w:numId w:val="4"/>
                    </w:numPr>
                    <w:autoSpaceDE w:val="0"/>
                    <w:autoSpaceDN w:val="0"/>
                    <w:jc w:val="center"/>
                    <w:textAlignment w:val="baseline"/>
                    <w:rPr>
                      <w:sz w:val="21"/>
                      <w:szCs w:val="21"/>
                    </w:rPr>
                  </w:pPr>
                </w:p>
              </w:tc>
              <w:tc>
                <w:tcPr>
                  <w:tcW w:w="2033" w:type="pct"/>
                  <w:vAlign w:val="center"/>
                </w:tcPr>
                <w:p w14:paraId="3766F981">
                  <w:pPr>
                    <w:widowControl/>
                    <w:autoSpaceDE w:val="0"/>
                    <w:autoSpaceDN w:val="0"/>
                    <w:jc w:val="center"/>
                    <w:textAlignment w:val="baseline"/>
                    <w:rPr>
                      <w:rFonts w:ascii="宋体" w:hAnsi="宋体" w:cs="宋体"/>
                    </w:rPr>
                  </w:pPr>
                  <w:r>
                    <w:rPr>
                      <w:rFonts w:ascii="宋体" w:hAnsi="宋体" w:cs="宋体"/>
                    </w:rPr>
                    <w:t>环境温度</w:t>
                  </w:r>
                </w:p>
              </w:tc>
              <w:tc>
                <w:tcPr>
                  <w:tcW w:w="1008" w:type="pct"/>
                  <w:vAlign w:val="center"/>
                </w:tcPr>
                <w:p w14:paraId="4463D518">
                  <w:pPr>
                    <w:pStyle w:val="208"/>
                    <w:widowControl/>
                    <w:autoSpaceDE w:val="0"/>
                    <w:autoSpaceDN w:val="0"/>
                    <w:jc w:val="center"/>
                    <w:textAlignment w:val="baseline"/>
                    <w:rPr>
                      <w:sz w:val="21"/>
                      <w:szCs w:val="21"/>
                    </w:rPr>
                  </w:pPr>
                  <w:r>
                    <w:rPr>
                      <w:sz w:val="21"/>
                      <w:szCs w:val="21"/>
                    </w:rPr>
                    <w:t>℃</w:t>
                  </w:r>
                </w:p>
              </w:tc>
              <w:tc>
                <w:tcPr>
                  <w:tcW w:w="1633" w:type="pct"/>
                  <w:vAlign w:val="center"/>
                </w:tcPr>
                <w:p w14:paraId="77CA683C">
                  <w:pPr>
                    <w:pStyle w:val="208"/>
                    <w:widowControl/>
                    <w:autoSpaceDE w:val="0"/>
                    <w:autoSpaceDN w:val="0"/>
                    <w:jc w:val="center"/>
                    <w:textAlignment w:val="baseline"/>
                    <w:rPr>
                      <w:sz w:val="21"/>
                      <w:szCs w:val="21"/>
                    </w:rPr>
                  </w:pPr>
                  <w:r>
                    <w:rPr>
                      <w:sz w:val="21"/>
                      <w:szCs w:val="21"/>
                    </w:rPr>
                    <w:t>-25</w:t>
                  </w:r>
                  <w:r>
                    <w:rPr>
                      <w:rFonts w:hint="eastAsia" w:eastAsia="宋体"/>
                      <w:sz w:val="21"/>
                      <w:szCs w:val="21"/>
                      <w:lang w:eastAsia="zh-CN"/>
                    </w:rPr>
                    <w:t>~</w:t>
                  </w:r>
                  <w:r>
                    <w:rPr>
                      <w:sz w:val="21"/>
                      <w:szCs w:val="21"/>
                    </w:rPr>
                    <w:t>60</w:t>
                  </w:r>
                </w:p>
              </w:tc>
            </w:tr>
            <w:tr w14:paraId="05954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50EF7AD8">
                  <w:pPr>
                    <w:pStyle w:val="208"/>
                    <w:widowControl/>
                    <w:numPr>
                      <w:ilvl w:val="0"/>
                      <w:numId w:val="4"/>
                    </w:numPr>
                    <w:autoSpaceDE w:val="0"/>
                    <w:autoSpaceDN w:val="0"/>
                    <w:jc w:val="center"/>
                    <w:textAlignment w:val="baseline"/>
                    <w:rPr>
                      <w:sz w:val="21"/>
                      <w:szCs w:val="21"/>
                    </w:rPr>
                  </w:pPr>
                </w:p>
              </w:tc>
              <w:tc>
                <w:tcPr>
                  <w:tcW w:w="2033" w:type="pct"/>
                  <w:vAlign w:val="center"/>
                </w:tcPr>
                <w:p w14:paraId="317908F4">
                  <w:pPr>
                    <w:widowControl/>
                    <w:autoSpaceDE w:val="0"/>
                    <w:autoSpaceDN w:val="0"/>
                    <w:jc w:val="center"/>
                    <w:textAlignment w:val="baseline"/>
                    <w:rPr>
                      <w:rFonts w:ascii="宋体" w:hAnsi="宋体" w:cs="宋体"/>
                    </w:rPr>
                  </w:pPr>
                  <w:r>
                    <w:rPr>
                      <w:rFonts w:ascii="宋体" w:hAnsi="宋体" w:cs="宋体"/>
                    </w:rPr>
                    <w:t>冷却方式</w:t>
                  </w:r>
                </w:p>
              </w:tc>
              <w:tc>
                <w:tcPr>
                  <w:tcW w:w="1008" w:type="pct"/>
                  <w:vAlign w:val="center"/>
                </w:tcPr>
                <w:p w14:paraId="6AEDAD24">
                  <w:pPr>
                    <w:widowControl/>
                    <w:autoSpaceDE w:val="0"/>
                    <w:autoSpaceDN w:val="0"/>
                    <w:jc w:val="center"/>
                    <w:textAlignment w:val="baseline"/>
                    <w:rPr>
                      <w:rFonts w:ascii="Arial"/>
                    </w:rPr>
                  </w:pPr>
                </w:p>
              </w:tc>
              <w:tc>
                <w:tcPr>
                  <w:tcW w:w="1633" w:type="pct"/>
                  <w:vAlign w:val="center"/>
                </w:tcPr>
                <w:p w14:paraId="4C94C35C">
                  <w:pPr>
                    <w:widowControl/>
                    <w:autoSpaceDE w:val="0"/>
                    <w:autoSpaceDN w:val="0"/>
                    <w:jc w:val="center"/>
                    <w:textAlignment w:val="baseline"/>
                    <w:rPr>
                      <w:rFonts w:ascii="宋体" w:hAnsi="宋体" w:cs="宋体"/>
                    </w:rPr>
                  </w:pPr>
                  <w:r>
                    <w:rPr>
                      <w:rFonts w:ascii="宋体" w:hAnsi="宋体" w:cs="宋体"/>
                    </w:rPr>
                    <w:t>智能风冷</w:t>
                  </w:r>
                </w:p>
              </w:tc>
            </w:tr>
            <w:tr w14:paraId="70735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3290ADDE">
                  <w:pPr>
                    <w:pStyle w:val="208"/>
                    <w:widowControl/>
                    <w:numPr>
                      <w:ilvl w:val="0"/>
                      <w:numId w:val="4"/>
                    </w:numPr>
                    <w:autoSpaceDE w:val="0"/>
                    <w:autoSpaceDN w:val="0"/>
                    <w:jc w:val="center"/>
                    <w:textAlignment w:val="baseline"/>
                    <w:rPr>
                      <w:sz w:val="21"/>
                      <w:szCs w:val="21"/>
                    </w:rPr>
                  </w:pPr>
                </w:p>
              </w:tc>
              <w:tc>
                <w:tcPr>
                  <w:tcW w:w="2033" w:type="pct"/>
                  <w:vAlign w:val="center"/>
                </w:tcPr>
                <w:p w14:paraId="15786901">
                  <w:pPr>
                    <w:widowControl/>
                    <w:autoSpaceDE w:val="0"/>
                    <w:autoSpaceDN w:val="0"/>
                    <w:jc w:val="center"/>
                    <w:textAlignment w:val="baseline"/>
                    <w:rPr>
                      <w:rFonts w:ascii="宋体" w:hAnsi="宋体" w:cs="宋体"/>
                    </w:rPr>
                  </w:pPr>
                  <w:r>
                    <w:rPr>
                      <w:rFonts w:ascii="宋体" w:hAnsi="宋体" w:cs="宋体"/>
                    </w:rPr>
                    <w:t>相对湿度</w:t>
                  </w:r>
                </w:p>
              </w:tc>
              <w:tc>
                <w:tcPr>
                  <w:tcW w:w="1008" w:type="pct"/>
                  <w:vAlign w:val="center"/>
                </w:tcPr>
                <w:p w14:paraId="772BEE09">
                  <w:pPr>
                    <w:pStyle w:val="208"/>
                    <w:widowControl/>
                    <w:autoSpaceDE w:val="0"/>
                    <w:autoSpaceDN w:val="0"/>
                    <w:jc w:val="center"/>
                    <w:textAlignment w:val="baseline"/>
                    <w:rPr>
                      <w:sz w:val="21"/>
                      <w:szCs w:val="21"/>
                    </w:rPr>
                  </w:pPr>
                  <w:r>
                    <w:rPr>
                      <w:sz w:val="21"/>
                      <w:szCs w:val="21"/>
                    </w:rPr>
                    <w:t>%</w:t>
                  </w:r>
                </w:p>
              </w:tc>
              <w:tc>
                <w:tcPr>
                  <w:tcW w:w="1633" w:type="pct"/>
                  <w:vAlign w:val="center"/>
                </w:tcPr>
                <w:p w14:paraId="58EAB212">
                  <w:pPr>
                    <w:pStyle w:val="208"/>
                    <w:widowControl/>
                    <w:autoSpaceDE w:val="0"/>
                    <w:autoSpaceDN w:val="0"/>
                    <w:jc w:val="center"/>
                    <w:textAlignment w:val="baseline"/>
                    <w:rPr>
                      <w:sz w:val="21"/>
                      <w:szCs w:val="21"/>
                    </w:rPr>
                  </w:pPr>
                  <w:r>
                    <w:rPr>
                      <w:rFonts w:hint="eastAsia" w:eastAsia="宋体"/>
                      <w:sz w:val="21"/>
                      <w:szCs w:val="21"/>
                      <w:lang w:eastAsia="zh-CN"/>
                    </w:rPr>
                    <w:t>0%~100%</w:t>
                  </w:r>
                </w:p>
              </w:tc>
            </w:tr>
            <w:tr w14:paraId="5CB3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661F099E">
                  <w:pPr>
                    <w:pStyle w:val="208"/>
                    <w:widowControl/>
                    <w:numPr>
                      <w:ilvl w:val="0"/>
                      <w:numId w:val="4"/>
                    </w:numPr>
                    <w:autoSpaceDE w:val="0"/>
                    <w:autoSpaceDN w:val="0"/>
                    <w:jc w:val="center"/>
                    <w:textAlignment w:val="baseline"/>
                    <w:rPr>
                      <w:sz w:val="21"/>
                      <w:szCs w:val="21"/>
                    </w:rPr>
                  </w:pPr>
                </w:p>
              </w:tc>
              <w:tc>
                <w:tcPr>
                  <w:tcW w:w="2033" w:type="pct"/>
                  <w:vAlign w:val="center"/>
                </w:tcPr>
                <w:p w14:paraId="5DC56EA7">
                  <w:pPr>
                    <w:widowControl/>
                    <w:autoSpaceDE w:val="0"/>
                    <w:autoSpaceDN w:val="0"/>
                    <w:jc w:val="center"/>
                    <w:textAlignment w:val="baseline"/>
                    <w:rPr>
                      <w:rFonts w:ascii="宋体" w:hAnsi="宋体" w:cs="宋体"/>
                    </w:rPr>
                  </w:pPr>
                  <w:r>
                    <w:rPr>
                      <w:rFonts w:ascii="宋体" w:hAnsi="宋体" w:cs="宋体"/>
                    </w:rPr>
                    <w:t>通讯方式</w:t>
                  </w:r>
                </w:p>
              </w:tc>
              <w:tc>
                <w:tcPr>
                  <w:tcW w:w="1008" w:type="pct"/>
                  <w:vAlign w:val="center"/>
                </w:tcPr>
                <w:p w14:paraId="69F2AC11">
                  <w:pPr>
                    <w:widowControl/>
                    <w:autoSpaceDE w:val="0"/>
                    <w:autoSpaceDN w:val="0"/>
                    <w:jc w:val="center"/>
                    <w:textAlignment w:val="baseline"/>
                    <w:rPr>
                      <w:rFonts w:ascii="Arial"/>
                    </w:rPr>
                  </w:pPr>
                  <w:r>
                    <w:rPr>
                      <w:rFonts w:hint="eastAsia" w:ascii="Arial"/>
                    </w:rPr>
                    <w:t>/</w:t>
                  </w:r>
                </w:p>
              </w:tc>
              <w:tc>
                <w:tcPr>
                  <w:tcW w:w="1633" w:type="pct"/>
                  <w:vAlign w:val="center"/>
                </w:tcPr>
                <w:p w14:paraId="2ED5BC4E">
                  <w:pPr>
                    <w:pStyle w:val="208"/>
                    <w:widowControl/>
                    <w:autoSpaceDE w:val="0"/>
                    <w:autoSpaceDN w:val="0"/>
                    <w:jc w:val="center"/>
                    <w:textAlignment w:val="baseline"/>
                    <w:rPr>
                      <w:sz w:val="21"/>
                      <w:szCs w:val="21"/>
                    </w:rPr>
                  </w:pPr>
                  <w:r>
                    <w:rPr>
                      <w:sz w:val="21"/>
                      <w:szCs w:val="21"/>
                    </w:rPr>
                    <w:t>RS485</w:t>
                  </w:r>
                </w:p>
              </w:tc>
            </w:tr>
            <w:tr w14:paraId="51C1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33AE4D25">
                  <w:pPr>
                    <w:pStyle w:val="208"/>
                    <w:widowControl/>
                    <w:numPr>
                      <w:ilvl w:val="0"/>
                      <w:numId w:val="4"/>
                    </w:numPr>
                    <w:autoSpaceDE w:val="0"/>
                    <w:autoSpaceDN w:val="0"/>
                    <w:jc w:val="center"/>
                    <w:textAlignment w:val="baseline"/>
                    <w:rPr>
                      <w:sz w:val="21"/>
                      <w:szCs w:val="21"/>
                    </w:rPr>
                  </w:pPr>
                </w:p>
              </w:tc>
              <w:tc>
                <w:tcPr>
                  <w:tcW w:w="2033" w:type="pct"/>
                  <w:vAlign w:val="center"/>
                </w:tcPr>
                <w:p w14:paraId="260D7C2A">
                  <w:pPr>
                    <w:pStyle w:val="208"/>
                    <w:widowControl/>
                    <w:autoSpaceDE w:val="0"/>
                    <w:autoSpaceDN w:val="0"/>
                    <w:jc w:val="center"/>
                    <w:textAlignment w:val="baseline"/>
                    <w:rPr>
                      <w:rFonts w:ascii="宋体" w:hAnsi="宋体" w:eastAsia="宋体" w:cs="宋体"/>
                      <w:sz w:val="21"/>
                      <w:szCs w:val="21"/>
                    </w:rPr>
                  </w:pPr>
                  <w:r>
                    <w:rPr>
                      <w:rFonts w:ascii="宋体" w:hAnsi="宋体" w:eastAsia="宋体" w:cs="宋体"/>
                      <w:sz w:val="21"/>
                      <w:szCs w:val="21"/>
                    </w:rPr>
                    <w:t>宽</w:t>
                  </w:r>
                  <w:r>
                    <w:rPr>
                      <w:sz w:val="21"/>
                      <w:szCs w:val="21"/>
                    </w:rPr>
                    <w:t>×</w:t>
                  </w:r>
                  <w:r>
                    <w:rPr>
                      <w:rFonts w:ascii="宋体" w:hAnsi="宋体" w:eastAsia="宋体" w:cs="宋体"/>
                      <w:sz w:val="21"/>
                      <w:szCs w:val="21"/>
                    </w:rPr>
                    <w:t>高</w:t>
                  </w:r>
                  <w:r>
                    <w:rPr>
                      <w:sz w:val="21"/>
                      <w:szCs w:val="21"/>
                    </w:rPr>
                    <w:t>×</w:t>
                  </w:r>
                  <w:r>
                    <w:rPr>
                      <w:rFonts w:ascii="宋体" w:hAnsi="宋体" w:eastAsia="宋体" w:cs="宋体"/>
                      <w:sz w:val="21"/>
                      <w:szCs w:val="21"/>
                    </w:rPr>
                    <w:t>深</w:t>
                  </w:r>
                </w:p>
              </w:tc>
              <w:tc>
                <w:tcPr>
                  <w:tcW w:w="1008" w:type="pct"/>
                  <w:vAlign w:val="center"/>
                </w:tcPr>
                <w:p w14:paraId="45C6BBF2">
                  <w:pPr>
                    <w:pStyle w:val="208"/>
                    <w:widowControl/>
                    <w:autoSpaceDE w:val="0"/>
                    <w:autoSpaceDN w:val="0"/>
                    <w:jc w:val="center"/>
                    <w:textAlignment w:val="baseline"/>
                    <w:rPr>
                      <w:sz w:val="21"/>
                      <w:szCs w:val="21"/>
                    </w:rPr>
                  </w:pPr>
                  <w:r>
                    <w:rPr>
                      <w:sz w:val="21"/>
                      <w:szCs w:val="21"/>
                    </w:rPr>
                    <w:t>mm</w:t>
                  </w:r>
                </w:p>
              </w:tc>
              <w:tc>
                <w:tcPr>
                  <w:tcW w:w="1633" w:type="pct"/>
                  <w:vAlign w:val="center"/>
                </w:tcPr>
                <w:p w14:paraId="13253E08">
                  <w:pPr>
                    <w:pStyle w:val="208"/>
                    <w:widowControl/>
                    <w:autoSpaceDE w:val="0"/>
                    <w:autoSpaceDN w:val="0"/>
                    <w:jc w:val="center"/>
                    <w:textAlignment w:val="baseline"/>
                    <w:rPr>
                      <w:sz w:val="21"/>
                      <w:szCs w:val="21"/>
                    </w:rPr>
                  </w:pPr>
                  <w:r>
                    <w:rPr>
                      <w:sz w:val="21"/>
                      <w:szCs w:val="21"/>
                    </w:rPr>
                    <w:t>1045×730×395</w:t>
                  </w:r>
                </w:p>
              </w:tc>
            </w:tr>
            <w:tr w14:paraId="4B81C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77B07B28">
                  <w:pPr>
                    <w:pStyle w:val="208"/>
                    <w:widowControl/>
                    <w:numPr>
                      <w:ilvl w:val="0"/>
                      <w:numId w:val="4"/>
                    </w:numPr>
                    <w:autoSpaceDE w:val="0"/>
                    <w:autoSpaceDN w:val="0"/>
                    <w:jc w:val="center"/>
                    <w:textAlignment w:val="baseline"/>
                    <w:rPr>
                      <w:sz w:val="21"/>
                      <w:szCs w:val="21"/>
                    </w:rPr>
                  </w:pPr>
                </w:p>
              </w:tc>
              <w:tc>
                <w:tcPr>
                  <w:tcW w:w="2033" w:type="pct"/>
                  <w:vAlign w:val="center"/>
                </w:tcPr>
                <w:p w14:paraId="26A283DE">
                  <w:pPr>
                    <w:widowControl/>
                    <w:autoSpaceDE w:val="0"/>
                    <w:autoSpaceDN w:val="0"/>
                    <w:jc w:val="center"/>
                    <w:textAlignment w:val="baseline"/>
                    <w:rPr>
                      <w:rFonts w:ascii="宋体" w:hAnsi="宋体" w:cs="宋体"/>
                    </w:rPr>
                  </w:pPr>
                  <w:r>
                    <w:rPr>
                      <w:rFonts w:ascii="宋体" w:hAnsi="宋体" w:cs="宋体"/>
                    </w:rPr>
                    <w:t>重量（含挂架）</w:t>
                  </w:r>
                </w:p>
              </w:tc>
              <w:tc>
                <w:tcPr>
                  <w:tcW w:w="1008" w:type="pct"/>
                  <w:vAlign w:val="center"/>
                </w:tcPr>
                <w:p w14:paraId="0621AB39">
                  <w:pPr>
                    <w:pStyle w:val="208"/>
                    <w:widowControl/>
                    <w:autoSpaceDE w:val="0"/>
                    <w:autoSpaceDN w:val="0"/>
                    <w:jc w:val="center"/>
                    <w:textAlignment w:val="baseline"/>
                    <w:rPr>
                      <w:sz w:val="21"/>
                      <w:szCs w:val="21"/>
                    </w:rPr>
                  </w:pPr>
                  <w:r>
                    <w:rPr>
                      <w:sz w:val="21"/>
                      <w:szCs w:val="21"/>
                    </w:rPr>
                    <w:t>kg</w:t>
                  </w:r>
                </w:p>
              </w:tc>
              <w:tc>
                <w:tcPr>
                  <w:tcW w:w="1633" w:type="pct"/>
                  <w:vAlign w:val="center"/>
                </w:tcPr>
                <w:p w14:paraId="4EA921D3">
                  <w:pPr>
                    <w:pStyle w:val="208"/>
                    <w:widowControl/>
                    <w:autoSpaceDE w:val="0"/>
                    <w:autoSpaceDN w:val="0"/>
                    <w:jc w:val="center"/>
                    <w:textAlignment w:val="baseline"/>
                    <w:rPr>
                      <w:sz w:val="21"/>
                      <w:szCs w:val="21"/>
                    </w:rPr>
                  </w:pPr>
                  <w:r>
                    <w:rPr>
                      <w:sz w:val="21"/>
                      <w:szCs w:val="21"/>
                    </w:rPr>
                    <w:t>106</w:t>
                  </w:r>
                </w:p>
              </w:tc>
            </w:tr>
            <w:tr w14:paraId="46DB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6BCA6327">
                  <w:pPr>
                    <w:pStyle w:val="208"/>
                    <w:widowControl/>
                    <w:numPr>
                      <w:ilvl w:val="0"/>
                      <w:numId w:val="4"/>
                    </w:numPr>
                    <w:autoSpaceDE w:val="0"/>
                    <w:autoSpaceDN w:val="0"/>
                    <w:jc w:val="center"/>
                    <w:textAlignment w:val="baseline"/>
                    <w:rPr>
                      <w:sz w:val="21"/>
                      <w:szCs w:val="21"/>
                    </w:rPr>
                  </w:pPr>
                </w:p>
              </w:tc>
              <w:tc>
                <w:tcPr>
                  <w:tcW w:w="2033" w:type="pct"/>
                  <w:vAlign w:val="center"/>
                </w:tcPr>
                <w:p w14:paraId="0646C96C">
                  <w:pPr>
                    <w:widowControl/>
                    <w:autoSpaceDE w:val="0"/>
                    <w:autoSpaceDN w:val="0"/>
                    <w:jc w:val="center"/>
                    <w:textAlignment w:val="baseline"/>
                    <w:rPr>
                      <w:rFonts w:ascii="宋体" w:hAnsi="宋体" w:cs="宋体"/>
                    </w:rPr>
                  </w:pPr>
                  <w:r>
                    <w:rPr>
                      <w:rFonts w:ascii="宋体" w:hAnsi="宋体" w:cs="宋体"/>
                    </w:rPr>
                    <w:t>数量</w:t>
                  </w:r>
                </w:p>
              </w:tc>
              <w:tc>
                <w:tcPr>
                  <w:tcW w:w="1008" w:type="pct"/>
                  <w:vAlign w:val="center"/>
                </w:tcPr>
                <w:p w14:paraId="629AE81E">
                  <w:pPr>
                    <w:widowControl/>
                    <w:autoSpaceDE w:val="0"/>
                    <w:autoSpaceDN w:val="0"/>
                    <w:jc w:val="center"/>
                    <w:textAlignment w:val="baseline"/>
                    <w:rPr>
                      <w:rFonts w:ascii="宋体" w:hAnsi="宋体" w:cs="宋体"/>
                    </w:rPr>
                  </w:pPr>
                  <w:r>
                    <w:rPr>
                      <w:rFonts w:ascii="宋体" w:hAnsi="宋体" w:cs="宋体"/>
                    </w:rPr>
                    <w:t>台</w:t>
                  </w:r>
                </w:p>
              </w:tc>
              <w:tc>
                <w:tcPr>
                  <w:tcW w:w="1633" w:type="pct"/>
                  <w:vAlign w:val="center"/>
                </w:tcPr>
                <w:p w14:paraId="58FCA29C">
                  <w:pPr>
                    <w:pStyle w:val="208"/>
                    <w:widowControl/>
                    <w:autoSpaceDE w:val="0"/>
                    <w:autoSpaceDN w:val="0"/>
                    <w:jc w:val="center"/>
                    <w:textAlignment w:val="baseline"/>
                    <w:rPr>
                      <w:sz w:val="21"/>
                      <w:szCs w:val="21"/>
                    </w:rPr>
                  </w:pPr>
                  <w:r>
                    <w:rPr>
                      <w:sz w:val="21"/>
                      <w:szCs w:val="21"/>
                    </w:rPr>
                    <w:t>157</w:t>
                  </w:r>
                </w:p>
              </w:tc>
            </w:tr>
            <w:tr w14:paraId="1944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00" w:type="pct"/>
                  <w:gridSpan w:val="4"/>
                  <w:vAlign w:val="center"/>
                </w:tcPr>
                <w:p w14:paraId="44F03F56">
                  <w:pPr>
                    <w:widowControl/>
                    <w:autoSpaceDE w:val="0"/>
                    <w:autoSpaceDN w:val="0"/>
                    <w:jc w:val="center"/>
                    <w:textAlignment w:val="baseline"/>
                    <w:rPr>
                      <w:rFonts w:ascii="宋体" w:hAnsi="宋体" w:cs="宋体"/>
                    </w:rPr>
                  </w:pPr>
                  <w:r>
                    <w:rPr>
                      <w:rFonts w:hint="eastAsia" w:ascii="宋体" w:hAnsi="宋体" w:cs="宋体"/>
                    </w:rPr>
                    <w:t>四、箱式</w:t>
                  </w:r>
                  <w:r>
                    <w:rPr>
                      <w:rFonts w:ascii="宋体" w:hAnsi="宋体" w:cs="宋体"/>
                    </w:rPr>
                    <w:t>变压器</w:t>
                  </w:r>
                </w:p>
              </w:tc>
            </w:tr>
            <w:tr w14:paraId="5F51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2782E2DD">
                  <w:pPr>
                    <w:pStyle w:val="208"/>
                    <w:widowControl/>
                    <w:numPr>
                      <w:ilvl w:val="0"/>
                      <w:numId w:val="5"/>
                    </w:numPr>
                    <w:autoSpaceDE w:val="0"/>
                    <w:autoSpaceDN w:val="0"/>
                    <w:jc w:val="center"/>
                    <w:textAlignment w:val="baseline"/>
                    <w:rPr>
                      <w:sz w:val="21"/>
                      <w:szCs w:val="21"/>
                    </w:rPr>
                  </w:pPr>
                </w:p>
              </w:tc>
              <w:tc>
                <w:tcPr>
                  <w:tcW w:w="2033" w:type="pct"/>
                  <w:vAlign w:val="center"/>
                </w:tcPr>
                <w:p w14:paraId="7EB751F8">
                  <w:pPr>
                    <w:widowControl/>
                    <w:autoSpaceDE w:val="0"/>
                    <w:autoSpaceDN w:val="0"/>
                    <w:jc w:val="center"/>
                    <w:textAlignment w:val="baseline"/>
                    <w:rPr>
                      <w:rFonts w:ascii="宋体" w:hAnsi="宋体" w:cs="宋体"/>
                    </w:rPr>
                  </w:pPr>
                  <w:r>
                    <w:rPr>
                      <w:rFonts w:ascii="宋体" w:hAnsi="宋体" w:cs="宋体"/>
                    </w:rPr>
                    <w:t>总台数</w:t>
                  </w:r>
                </w:p>
              </w:tc>
              <w:tc>
                <w:tcPr>
                  <w:tcW w:w="1008" w:type="pct"/>
                  <w:vAlign w:val="center"/>
                </w:tcPr>
                <w:p w14:paraId="0E8B3985">
                  <w:pPr>
                    <w:widowControl/>
                    <w:autoSpaceDE w:val="0"/>
                    <w:autoSpaceDN w:val="0"/>
                    <w:jc w:val="center"/>
                    <w:textAlignment w:val="baseline"/>
                    <w:rPr>
                      <w:rFonts w:ascii="宋体" w:hAnsi="宋体" w:cs="宋体"/>
                    </w:rPr>
                  </w:pPr>
                  <w:r>
                    <w:rPr>
                      <w:rFonts w:ascii="宋体" w:hAnsi="宋体" w:cs="宋体"/>
                    </w:rPr>
                    <w:t>台</w:t>
                  </w:r>
                </w:p>
              </w:tc>
              <w:tc>
                <w:tcPr>
                  <w:tcW w:w="1633" w:type="pct"/>
                  <w:vAlign w:val="center"/>
                </w:tcPr>
                <w:p w14:paraId="47609ECD">
                  <w:pPr>
                    <w:pStyle w:val="208"/>
                    <w:widowControl/>
                    <w:autoSpaceDE w:val="0"/>
                    <w:autoSpaceDN w:val="0"/>
                    <w:jc w:val="center"/>
                    <w:textAlignment w:val="baseline"/>
                    <w:rPr>
                      <w:sz w:val="21"/>
                      <w:szCs w:val="21"/>
                    </w:rPr>
                  </w:pPr>
                  <w:r>
                    <w:rPr>
                      <w:sz w:val="21"/>
                      <w:szCs w:val="21"/>
                    </w:rPr>
                    <w:t>21</w:t>
                  </w:r>
                </w:p>
              </w:tc>
            </w:tr>
            <w:tr w14:paraId="3C40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54207E32">
                  <w:pPr>
                    <w:pStyle w:val="208"/>
                    <w:widowControl/>
                    <w:numPr>
                      <w:ilvl w:val="0"/>
                      <w:numId w:val="5"/>
                    </w:numPr>
                    <w:autoSpaceDE w:val="0"/>
                    <w:autoSpaceDN w:val="0"/>
                    <w:jc w:val="center"/>
                    <w:textAlignment w:val="baseline"/>
                    <w:rPr>
                      <w:sz w:val="21"/>
                      <w:szCs w:val="21"/>
                    </w:rPr>
                  </w:pPr>
                </w:p>
              </w:tc>
              <w:tc>
                <w:tcPr>
                  <w:tcW w:w="2033" w:type="pct"/>
                  <w:vAlign w:val="center"/>
                </w:tcPr>
                <w:p w14:paraId="368C1EF9">
                  <w:pPr>
                    <w:pStyle w:val="208"/>
                    <w:widowControl/>
                    <w:autoSpaceDE w:val="0"/>
                    <w:autoSpaceDN w:val="0"/>
                    <w:jc w:val="center"/>
                    <w:textAlignment w:val="baseline"/>
                    <w:rPr>
                      <w:sz w:val="21"/>
                      <w:szCs w:val="21"/>
                    </w:rPr>
                  </w:pPr>
                  <w:r>
                    <w:rPr>
                      <w:sz w:val="21"/>
                      <w:szCs w:val="21"/>
                    </w:rPr>
                    <w:t>3900</w:t>
                  </w:r>
                  <w:r>
                    <w:rPr>
                      <w:rFonts w:hint="eastAsia" w:eastAsia="宋体"/>
                      <w:sz w:val="21"/>
                      <w:szCs w:val="21"/>
                      <w:lang w:eastAsia="zh-CN"/>
                    </w:rPr>
                    <w:t>kV</w:t>
                  </w:r>
                  <w:r>
                    <w:rPr>
                      <w:sz w:val="21"/>
                      <w:szCs w:val="21"/>
                    </w:rPr>
                    <w:t>A</w:t>
                  </w:r>
                </w:p>
              </w:tc>
              <w:tc>
                <w:tcPr>
                  <w:tcW w:w="1008" w:type="pct"/>
                  <w:vAlign w:val="center"/>
                </w:tcPr>
                <w:p w14:paraId="3587E612">
                  <w:pPr>
                    <w:widowControl/>
                    <w:autoSpaceDE w:val="0"/>
                    <w:autoSpaceDN w:val="0"/>
                    <w:jc w:val="center"/>
                    <w:textAlignment w:val="baseline"/>
                    <w:rPr>
                      <w:rFonts w:ascii="宋体" w:hAnsi="宋体" w:cs="宋体"/>
                    </w:rPr>
                  </w:pPr>
                  <w:r>
                    <w:rPr>
                      <w:rFonts w:ascii="宋体" w:hAnsi="宋体" w:cs="宋体"/>
                    </w:rPr>
                    <w:t>台</w:t>
                  </w:r>
                </w:p>
              </w:tc>
              <w:tc>
                <w:tcPr>
                  <w:tcW w:w="1633" w:type="pct"/>
                  <w:vAlign w:val="center"/>
                </w:tcPr>
                <w:p w14:paraId="272E0CE3">
                  <w:pPr>
                    <w:pStyle w:val="208"/>
                    <w:widowControl/>
                    <w:autoSpaceDE w:val="0"/>
                    <w:autoSpaceDN w:val="0"/>
                    <w:jc w:val="center"/>
                    <w:textAlignment w:val="baseline"/>
                    <w:rPr>
                      <w:sz w:val="21"/>
                      <w:szCs w:val="21"/>
                    </w:rPr>
                  </w:pPr>
                  <w:r>
                    <w:rPr>
                      <w:sz w:val="21"/>
                      <w:szCs w:val="21"/>
                    </w:rPr>
                    <w:t>2</w:t>
                  </w:r>
                </w:p>
              </w:tc>
            </w:tr>
            <w:tr w14:paraId="0BE9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76AA1CFE">
                  <w:pPr>
                    <w:pStyle w:val="208"/>
                    <w:widowControl/>
                    <w:numPr>
                      <w:ilvl w:val="0"/>
                      <w:numId w:val="5"/>
                    </w:numPr>
                    <w:autoSpaceDE w:val="0"/>
                    <w:autoSpaceDN w:val="0"/>
                    <w:jc w:val="center"/>
                    <w:textAlignment w:val="baseline"/>
                    <w:rPr>
                      <w:sz w:val="21"/>
                      <w:szCs w:val="21"/>
                    </w:rPr>
                  </w:pPr>
                </w:p>
              </w:tc>
              <w:tc>
                <w:tcPr>
                  <w:tcW w:w="2033" w:type="pct"/>
                  <w:vAlign w:val="center"/>
                </w:tcPr>
                <w:p w14:paraId="540329B1">
                  <w:pPr>
                    <w:pStyle w:val="208"/>
                    <w:widowControl/>
                    <w:autoSpaceDE w:val="0"/>
                    <w:autoSpaceDN w:val="0"/>
                    <w:jc w:val="center"/>
                    <w:textAlignment w:val="baseline"/>
                    <w:rPr>
                      <w:sz w:val="21"/>
                      <w:szCs w:val="21"/>
                    </w:rPr>
                  </w:pPr>
                  <w:r>
                    <w:rPr>
                      <w:sz w:val="21"/>
                      <w:szCs w:val="21"/>
                    </w:rPr>
                    <w:t>3600</w:t>
                  </w:r>
                  <w:r>
                    <w:rPr>
                      <w:rFonts w:hint="eastAsia" w:eastAsia="宋体"/>
                      <w:sz w:val="21"/>
                      <w:szCs w:val="21"/>
                      <w:lang w:eastAsia="zh-CN"/>
                    </w:rPr>
                    <w:t>kV</w:t>
                  </w:r>
                  <w:r>
                    <w:rPr>
                      <w:sz w:val="21"/>
                      <w:szCs w:val="21"/>
                    </w:rPr>
                    <w:t>A</w:t>
                  </w:r>
                </w:p>
              </w:tc>
              <w:tc>
                <w:tcPr>
                  <w:tcW w:w="1008" w:type="pct"/>
                  <w:vAlign w:val="center"/>
                </w:tcPr>
                <w:p w14:paraId="52D58E02">
                  <w:pPr>
                    <w:widowControl/>
                    <w:autoSpaceDE w:val="0"/>
                    <w:autoSpaceDN w:val="0"/>
                    <w:jc w:val="center"/>
                    <w:textAlignment w:val="baseline"/>
                    <w:rPr>
                      <w:rFonts w:ascii="宋体" w:hAnsi="宋体" w:cs="宋体"/>
                    </w:rPr>
                  </w:pPr>
                  <w:r>
                    <w:rPr>
                      <w:rFonts w:ascii="宋体" w:hAnsi="宋体" w:cs="宋体"/>
                    </w:rPr>
                    <w:t>台</w:t>
                  </w:r>
                </w:p>
              </w:tc>
              <w:tc>
                <w:tcPr>
                  <w:tcW w:w="1633" w:type="pct"/>
                  <w:vAlign w:val="center"/>
                </w:tcPr>
                <w:p w14:paraId="111AC4A4">
                  <w:pPr>
                    <w:pStyle w:val="208"/>
                    <w:widowControl/>
                    <w:autoSpaceDE w:val="0"/>
                    <w:autoSpaceDN w:val="0"/>
                    <w:jc w:val="center"/>
                    <w:textAlignment w:val="baseline"/>
                    <w:rPr>
                      <w:sz w:val="21"/>
                      <w:szCs w:val="21"/>
                    </w:rPr>
                  </w:pPr>
                  <w:r>
                    <w:rPr>
                      <w:sz w:val="21"/>
                      <w:szCs w:val="21"/>
                    </w:rPr>
                    <w:t>2</w:t>
                  </w:r>
                </w:p>
              </w:tc>
            </w:tr>
            <w:tr w14:paraId="39DF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0978052C">
                  <w:pPr>
                    <w:pStyle w:val="208"/>
                    <w:widowControl/>
                    <w:numPr>
                      <w:ilvl w:val="0"/>
                      <w:numId w:val="5"/>
                    </w:numPr>
                    <w:autoSpaceDE w:val="0"/>
                    <w:autoSpaceDN w:val="0"/>
                    <w:jc w:val="center"/>
                    <w:textAlignment w:val="baseline"/>
                    <w:rPr>
                      <w:sz w:val="21"/>
                      <w:szCs w:val="21"/>
                    </w:rPr>
                  </w:pPr>
                </w:p>
              </w:tc>
              <w:tc>
                <w:tcPr>
                  <w:tcW w:w="2033" w:type="pct"/>
                  <w:vAlign w:val="center"/>
                </w:tcPr>
                <w:p w14:paraId="20A1B4AC">
                  <w:pPr>
                    <w:pStyle w:val="208"/>
                    <w:widowControl/>
                    <w:autoSpaceDE w:val="0"/>
                    <w:autoSpaceDN w:val="0"/>
                    <w:jc w:val="center"/>
                    <w:textAlignment w:val="baseline"/>
                    <w:rPr>
                      <w:sz w:val="21"/>
                      <w:szCs w:val="21"/>
                    </w:rPr>
                  </w:pPr>
                  <w:r>
                    <w:rPr>
                      <w:sz w:val="21"/>
                      <w:szCs w:val="21"/>
                    </w:rPr>
                    <w:t>3200</w:t>
                  </w:r>
                  <w:r>
                    <w:rPr>
                      <w:rFonts w:hint="eastAsia" w:eastAsia="宋体"/>
                      <w:sz w:val="21"/>
                      <w:szCs w:val="21"/>
                      <w:lang w:eastAsia="zh-CN"/>
                    </w:rPr>
                    <w:t>kV</w:t>
                  </w:r>
                  <w:r>
                    <w:rPr>
                      <w:sz w:val="21"/>
                      <w:szCs w:val="21"/>
                    </w:rPr>
                    <w:t>A</w:t>
                  </w:r>
                </w:p>
              </w:tc>
              <w:tc>
                <w:tcPr>
                  <w:tcW w:w="1008" w:type="pct"/>
                  <w:vAlign w:val="center"/>
                </w:tcPr>
                <w:p w14:paraId="06EDCFB8">
                  <w:pPr>
                    <w:widowControl/>
                    <w:autoSpaceDE w:val="0"/>
                    <w:autoSpaceDN w:val="0"/>
                    <w:jc w:val="center"/>
                    <w:textAlignment w:val="baseline"/>
                    <w:rPr>
                      <w:rFonts w:ascii="宋体" w:hAnsi="宋体" w:cs="宋体"/>
                    </w:rPr>
                  </w:pPr>
                  <w:r>
                    <w:rPr>
                      <w:rFonts w:ascii="宋体" w:hAnsi="宋体" w:cs="宋体"/>
                    </w:rPr>
                    <w:t>台</w:t>
                  </w:r>
                </w:p>
              </w:tc>
              <w:tc>
                <w:tcPr>
                  <w:tcW w:w="1633" w:type="pct"/>
                  <w:vAlign w:val="center"/>
                </w:tcPr>
                <w:p w14:paraId="2981CBD1">
                  <w:pPr>
                    <w:pStyle w:val="208"/>
                    <w:widowControl/>
                    <w:autoSpaceDE w:val="0"/>
                    <w:autoSpaceDN w:val="0"/>
                    <w:jc w:val="center"/>
                    <w:textAlignment w:val="baseline"/>
                    <w:rPr>
                      <w:sz w:val="21"/>
                      <w:szCs w:val="21"/>
                    </w:rPr>
                  </w:pPr>
                  <w:r>
                    <w:rPr>
                      <w:sz w:val="21"/>
                      <w:szCs w:val="21"/>
                    </w:rPr>
                    <w:t>3</w:t>
                  </w:r>
                </w:p>
              </w:tc>
            </w:tr>
            <w:tr w14:paraId="287D3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1CA3F1A0">
                  <w:pPr>
                    <w:pStyle w:val="208"/>
                    <w:widowControl/>
                    <w:numPr>
                      <w:ilvl w:val="0"/>
                      <w:numId w:val="5"/>
                    </w:numPr>
                    <w:autoSpaceDE w:val="0"/>
                    <w:autoSpaceDN w:val="0"/>
                    <w:jc w:val="center"/>
                    <w:textAlignment w:val="baseline"/>
                    <w:rPr>
                      <w:sz w:val="21"/>
                      <w:szCs w:val="21"/>
                    </w:rPr>
                  </w:pPr>
                </w:p>
              </w:tc>
              <w:tc>
                <w:tcPr>
                  <w:tcW w:w="2033" w:type="pct"/>
                  <w:vAlign w:val="center"/>
                </w:tcPr>
                <w:p w14:paraId="5A38C550">
                  <w:pPr>
                    <w:pStyle w:val="208"/>
                    <w:widowControl/>
                    <w:autoSpaceDE w:val="0"/>
                    <w:autoSpaceDN w:val="0"/>
                    <w:jc w:val="center"/>
                    <w:textAlignment w:val="baseline"/>
                    <w:rPr>
                      <w:sz w:val="21"/>
                      <w:szCs w:val="21"/>
                    </w:rPr>
                  </w:pPr>
                  <w:r>
                    <w:rPr>
                      <w:sz w:val="21"/>
                      <w:szCs w:val="21"/>
                    </w:rPr>
                    <w:t>2600</w:t>
                  </w:r>
                  <w:r>
                    <w:rPr>
                      <w:rFonts w:hint="eastAsia" w:eastAsia="宋体"/>
                      <w:sz w:val="21"/>
                      <w:szCs w:val="21"/>
                      <w:lang w:eastAsia="zh-CN"/>
                    </w:rPr>
                    <w:t>kV</w:t>
                  </w:r>
                  <w:r>
                    <w:rPr>
                      <w:sz w:val="21"/>
                      <w:szCs w:val="21"/>
                    </w:rPr>
                    <w:t>A</w:t>
                  </w:r>
                </w:p>
              </w:tc>
              <w:tc>
                <w:tcPr>
                  <w:tcW w:w="1008" w:type="pct"/>
                  <w:vAlign w:val="center"/>
                </w:tcPr>
                <w:p w14:paraId="34D3A01D">
                  <w:pPr>
                    <w:widowControl/>
                    <w:autoSpaceDE w:val="0"/>
                    <w:autoSpaceDN w:val="0"/>
                    <w:jc w:val="center"/>
                    <w:textAlignment w:val="baseline"/>
                    <w:rPr>
                      <w:rFonts w:ascii="宋体" w:hAnsi="宋体" w:cs="宋体"/>
                    </w:rPr>
                  </w:pPr>
                  <w:bookmarkStart w:id="56" w:name="OLE_LINK6"/>
                  <w:r>
                    <w:rPr>
                      <w:rFonts w:ascii="宋体" w:hAnsi="宋体" w:cs="宋体"/>
                    </w:rPr>
                    <w:t>台</w:t>
                  </w:r>
                  <w:bookmarkEnd w:id="56"/>
                </w:p>
              </w:tc>
              <w:tc>
                <w:tcPr>
                  <w:tcW w:w="1633" w:type="pct"/>
                  <w:vAlign w:val="center"/>
                </w:tcPr>
                <w:p w14:paraId="3E015E46">
                  <w:pPr>
                    <w:pStyle w:val="208"/>
                    <w:widowControl/>
                    <w:autoSpaceDE w:val="0"/>
                    <w:autoSpaceDN w:val="0"/>
                    <w:jc w:val="center"/>
                    <w:textAlignment w:val="baseline"/>
                    <w:rPr>
                      <w:sz w:val="21"/>
                      <w:szCs w:val="21"/>
                    </w:rPr>
                  </w:pPr>
                  <w:r>
                    <w:rPr>
                      <w:sz w:val="21"/>
                      <w:szCs w:val="21"/>
                    </w:rPr>
                    <w:t>4</w:t>
                  </w:r>
                </w:p>
              </w:tc>
            </w:tr>
            <w:tr w14:paraId="5138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15AD6D08">
                  <w:pPr>
                    <w:pStyle w:val="208"/>
                    <w:widowControl/>
                    <w:numPr>
                      <w:ilvl w:val="0"/>
                      <w:numId w:val="5"/>
                    </w:numPr>
                    <w:autoSpaceDE w:val="0"/>
                    <w:autoSpaceDN w:val="0"/>
                    <w:jc w:val="center"/>
                    <w:textAlignment w:val="baseline"/>
                    <w:rPr>
                      <w:sz w:val="21"/>
                      <w:szCs w:val="21"/>
                    </w:rPr>
                  </w:pPr>
                </w:p>
              </w:tc>
              <w:tc>
                <w:tcPr>
                  <w:tcW w:w="2033" w:type="pct"/>
                </w:tcPr>
                <w:p w14:paraId="1991217F">
                  <w:pPr>
                    <w:pStyle w:val="208"/>
                    <w:widowControl/>
                    <w:autoSpaceDE w:val="0"/>
                    <w:autoSpaceDN w:val="0"/>
                    <w:jc w:val="center"/>
                    <w:textAlignment w:val="baseline"/>
                    <w:rPr>
                      <w:sz w:val="21"/>
                      <w:szCs w:val="21"/>
                    </w:rPr>
                  </w:pPr>
                  <w:r>
                    <w:rPr>
                      <w:sz w:val="21"/>
                      <w:szCs w:val="21"/>
                    </w:rPr>
                    <w:t>2300</w:t>
                  </w:r>
                  <w:r>
                    <w:rPr>
                      <w:rFonts w:hint="eastAsia" w:eastAsia="宋体"/>
                      <w:sz w:val="21"/>
                      <w:szCs w:val="21"/>
                      <w:lang w:eastAsia="zh-CN"/>
                    </w:rPr>
                    <w:t>kV</w:t>
                  </w:r>
                  <w:r>
                    <w:rPr>
                      <w:sz w:val="21"/>
                      <w:szCs w:val="21"/>
                    </w:rPr>
                    <w:t>A</w:t>
                  </w:r>
                </w:p>
              </w:tc>
              <w:tc>
                <w:tcPr>
                  <w:tcW w:w="1008" w:type="pct"/>
                </w:tcPr>
                <w:p w14:paraId="1DFA5D15">
                  <w:pPr>
                    <w:widowControl/>
                    <w:autoSpaceDE w:val="0"/>
                    <w:autoSpaceDN w:val="0"/>
                    <w:jc w:val="center"/>
                    <w:textAlignment w:val="baseline"/>
                    <w:rPr>
                      <w:rFonts w:ascii="宋体" w:hAnsi="宋体" w:cs="宋体"/>
                    </w:rPr>
                  </w:pPr>
                  <w:r>
                    <w:rPr>
                      <w:rFonts w:ascii="宋体" w:hAnsi="宋体" w:cs="宋体"/>
                    </w:rPr>
                    <w:t>台</w:t>
                  </w:r>
                </w:p>
              </w:tc>
              <w:tc>
                <w:tcPr>
                  <w:tcW w:w="1633" w:type="pct"/>
                  <w:vAlign w:val="center"/>
                </w:tcPr>
                <w:p w14:paraId="27EA4E6F">
                  <w:pPr>
                    <w:pStyle w:val="208"/>
                    <w:widowControl/>
                    <w:autoSpaceDE w:val="0"/>
                    <w:autoSpaceDN w:val="0"/>
                    <w:jc w:val="center"/>
                    <w:textAlignment w:val="baseline"/>
                    <w:rPr>
                      <w:rFonts w:hint="eastAsia" w:eastAsia="等线"/>
                      <w:sz w:val="21"/>
                      <w:szCs w:val="21"/>
                      <w:lang w:eastAsia="zh-CN"/>
                    </w:rPr>
                  </w:pPr>
                  <w:r>
                    <w:rPr>
                      <w:rFonts w:hint="eastAsia" w:eastAsia="等线"/>
                      <w:sz w:val="21"/>
                      <w:szCs w:val="21"/>
                      <w:lang w:eastAsia="zh-CN"/>
                    </w:rPr>
                    <w:t>2</w:t>
                  </w:r>
                </w:p>
              </w:tc>
            </w:tr>
            <w:tr w14:paraId="7442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66C9A9A7">
                  <w:pPr>
                    <w:pStyle w:val="208"/>
                    <w:widowControl/>
                    <w:numPr>
                      <w:ilvl w:val="0"/>
                      <w:numId w:val="5"/>
                    </w:numPr>
                    <w:autoSpaceDE w:val="0"/>
                    <w:autoSpaceDN w:val="0"/>
                    <w:jc w:val="center"/>
                    <w:textAlignment w:val="baseline"/>
                    <w:rPr>
                      <w:sz w:val="21"/>
                      <w:szCs w:val="21"/>
                    </w:rPr>
                  </w:pPr>
                </w:p>
              </w:tc>
              <w:tc>
                <w:tcPr>
                  <w:tcW w:w="2033" w:type="pct"/>
                </w:tcPr>
                <w:p w14:paraId="16C6D2CC">
                  <w:pPr>
                    <w:pStyle w:val="208"/>
                    <w:widowControl/>
                    <w:autoSpaceDE w:val="0"/>
                    <w:autoSpaceDN w:val="0"/>
                    <w:jc w:val="center"/>
                    <w:textAlignment w:val="baseline"/>
                    <w:rPr>
                      <w:sz w:val="21"/>
                      <w:szCs w:val="21"/>
                    </w:rPr>
                  </w:pPr>
                  <w:r>
                    <w:rPr>
                      <w:sz w:val="21"/>
                      <w:szCs w:val="21"/>
                    </w:rPr>
                    <w:t>2000</w:t>
                  </w:r>
                  <w:r>
                    <w:rPr>
                      <w:rFonts w:hint="eastAsia" w:eastAsia="宋体"/>
                      <w:sz w:val="21"/>
                      <w:szCs w:val="21"/>
                      <w:lang w:eastAsia="zh-CN"/>
                    </w:rPr>
                    <w:t>kV</w:t>
                  </w:r>
                  <w:r>
                    <w:rPr>
                      <w:sz w:val="21"/>
                      <w:szCs w:val="21"/>
                    </w:rPr>
                    <w:t>A</w:t>
                  </w:r>
                </w:p>
              </w:tc>
              <w:tc>
                <w:tcPr>
                  <w:tcW w:w="1008" w:type="pct"/>
                </w:tcPr>
                <w:p w14:paraId="1D00AA11">
                  <w:pPr>
                    <w:widowControl/>
                    <w:autoSpaceDE w:val="0"/>
                    <w:autoSpaceDN w:val="0"/>
                    <w:jc w:val="center"/>
                    <w:textAlignment w:val="baseline"/>
                    <w:rPr>
                      <w:rFonts w:ascii="宋体" w:hAnsi="宋体" w:cs="宋体"/>
                    </w:rPr>
                  </w:pPr>
                  <w:r>
                    <w:rPr>
                      <w:rFonts w:ascii="宋体" w:hAnsi="宋体" w:cs="宋体"/>
                    </w:rPr>
                    <w:t>台</w:t>
                  </w:r>
                </w:p>
              </w:tc>
              <w:tc>
                <w:tcPr>
                  <w:tcW w:w="1633" w:type="pct"/>
                  <w:vAlign w:val="center"/>
                </w:tcPr>
                <w:p w14:paraId="3F857357">
                  <w:pPr>
                    <w:pStyle w:val="208"/>
                    <w:widowControl/>
                    <w:autoSpaceDE w:val="0"/>
                    <w:autoSpaceDN w:val="0"/>
                    <w:jc w:val="center"/>
                    <w:textAlignment w:val="baseline"/>
                    <w:rPr>
                      <w:rFonts w:hint="eastAsia" w:eastAsia="等线"/>
                      <w:sz w:val="21"/>
                      <w:szCs w:val="21"/>
                      <w:lang w:eastAsia="zh-CN"/>
                    </w:rPr>
                  </w:pPr>
                  <w:r>
                    <w:rPr>
                      <w:rFonts w:hint="eastAsia" w:eastAsia="等线"/>
                      <w:sz w:val="21"/>
                      <w:szCs w:val="21"/>
                      <w:lang w:eastAsia="zh-CN"/>
                    </w:rPr>
                    <w:t>1</w:t>
                  </w:r>
                </w:p>
              </w:tc>
            </w:tr>
            <w:tr w14:paraId="5765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0623DE3F">
                  <w:pPr>
                    <w:pStyle w:val="208"/>
                    <w:widowControl/>
                    <w:numPr>
                      <w:ilvl w:val="0"/>
                      <w:numId w:val="5"/>
                    </w:numPr>
                    <w:autoSpaceDE w:val="0"/>
                    <w:autoSpaceDN w:val="0"/>
                    <w:jc w:val="center"/>
                    <w:textAlignment w:val="baseline"/>
                    <w:rPr>
                      <w:sz w:val="21"/>
                      <w:szCs w:val="21"/>
                    </w:rPr>
                  </w:pPr>
                </w:p>
              </w:tc>
              <w:tc>
                <w:tcPr>
                  <w:tcW w:w="2033" w:type="pct"/>
                </w:tcPr>
                <w:p w14:paraId="59A2016E">
                  <w:pPr>
                    <w:pStyle w:val="208"/>
                    <w:widowControl/>
                    <w:autoSpaceDE w:val="0"/>
                    <w:autoSpaceDN w:val="0"/>
                    <w:jc w:val="center"/>
                    <w:textAlignment w:val="baseline"/>
                    <w:rPr>
                      <w:sz w:val="21"/>
                      <w:szCs w:val="21"/>
                    </w:rPr>
                  </w:pPr>
                  <w:r>
                    <w:rPr>
                      <w:sz w:val="21"/>
                      <w:szCs w:val="21"/>
                    </w:rPr>
                    <w:t>1600</w:t>
                  </w:r>
                  <w:r>
                    <w:rPr>
                      <w:rFonts w:hint="eastAsia" w:eastAsia="宋体"/>
                      <w:sz w:val="21"/>
                      <w:szCs w:val="21"/>
                      <w:lang w:eastAsia="zh-CN"/>
                    </w:rPr>
                    <w:t>kV</w:t>
                  </w:r>
                  <w:r>
                    <w:rPr>
                      <w:sz w:val="21"/>
                      <w:szCs w:val="21"/>
                    </w:rPr>
                    <w:t>A</w:t>
                  </w:r>
                </w:p>
              </w:tc>
              <w:tc>
                <w:tcPr>
                  <w:tcW w:w="1008" w:type="pct"/>
                </w:tcPr>
                <w:p w14:paraId="696B5AF5">
                  <w:pPr>
                    <w:widowControl/>
                    <w:autoSpaceDE w:val="0"/>
                    <w:autoSpaceDN w:val="0"/>
                    <w:jc w:val="center"/>
                    <w:textAlignment w:val="baseline"/>
                    <w:rPr>
                      <w:rFonts w:ascii="宋体" w:hAnsi="宋体" w:cs="宋体"/>
                    </w:rPr>
                  </w:pPr>
                  <w:r>
                    <w:rPr>
                      <w:rFonts w:ascii="宋体" w:hAnsi="宋体" w:cs="宋体"/>
                    </w:rPr>
                    <w:t>台</w:t>
                  </w:r>
                </w:p>
              </w:tc>
              <w:tc>
                <w:tcPr>
                  <w:tcW w:w="1633" w:type="pct"/>
                  <w:vAlign w:val="center"/>
                </w:tcPr>
                <w:p w14:paraId="56B9889C">
                  <w:pPr>
                    <w:pStyle w:val="208"/>
                    <w:widowControl/>
                    <w:autoSpaceDE w:val="0"/>
                    <w:autoSpaceDN w:val="0"/>
                    <w:jc w:val="center"/>
                    <w:textAlignment w:val="baseline"/>
                    <w:rPr>
                      <w:rFonts w:hint="eastAsia" w:eastAsia="等线"/>
                      <w:sz w:val="21"/>
                      <w:szCs w:val="21"/>
                      <w:lang w:eastAsia="zh-CN"/>
                    </w:rPr>
                  </w:pPr>
                  <w:r>
                    <w:rPr>
                      <w:rFonts w:hint="eastAsia" w:eastAsia="等线"/>
                      <w:sz w:val="21"/>
                      <w:szCs w:val="21"/>
                      <w:lang w:eastAsia="zh-CN"/>
                    </w:rPr>
                    <w:t>3</w:t>
                  </w:r>
                </w:p>
              </w:tc>
            </w:tr>
            <w:tr w14:paraId="51A58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0A0DD181">
                  <w:pPr>
                    <w:pStyle w:val="208"/>
                    <w:widowControl/>
                    <w:numPr>
                      <w:ilvl w:val="0"/>
                      <w:numId w:val="5"/>
                    </w:numPr>
                    <w:autoSpaceDE w:val="0"/>
                    <w:autoSpaceDN w:val="0"/>
                    <w:jc w:val="center"/>
                    <w:textAlignment w:val="baseline"/>
                    <w:rPr>
                      <w:sz w:val="21"/>
                      <w:szCs w:val="21"/>
                    </w:rPr>
                  </w:pPr>
                </w:p>
              </w:tc>
              <w:tc>
                <w:tcPr>
                  <w:tcW w:w="2033" w:type="pct"/>
                </w:tcPr>
                <w:p w14:paraId="6543EC70">
                  <w:pPr>
                    <w:pStyle w:val="208"/>
                    <w:widowControl/>
                    <w:autoSpaceDE w:val="0"/>
                    <w:autoSpaceDN w:val="0"/>
                    <w:jc w:val="center"/>
                    <w:textAlignment w:val="baseline"/>
                    <w:rPr>
                      <w:sz w:val="21"/>
                      <w:szCs w:val="21"/>
                    </w:rPr>
                  </w:pPr>
                  <w:r>
                    <w:rPr>
                      <w:sz w:val="21"/>
                      <w:szCs w:val="21"/>
                    </w:rPr>
                    <w:t>1300</w:t>
                  </w:r>
                  <w:r>
                    <w:rPr>
                      <w:rFonts w:hint="eastAsia" w:eastAsia="宋体"/>
                      <w:sz w:val="21"/>
                      <w:szCs w:val="21"/>
                      <w:lang w:eastAsia="zh-CN"/>
                    </w:rPr>
                    <w:t>kV</w:t>
                  </w:r>
                  <w:r>
                    <w:rPr>
                      <w:sz w:val="21"/>
                      <w:szCs w:val="21"/>
                    </w:rPr>
                    <w:t>A</w:t>
                  </w:r>
                </w:p>
              </w:tc>
              <w:tc>
                <w:tcPr>
                  <w:tcW w:w="1008" w:type="pct"/>
                </w:tcPr>
                <w:p w14:paraId="3F33C9F9">
                  <w:pPr>
                    <w:widowControl/>
                    <w:autoSpaceDE w:val="0"/>
                    <w:autoSpaceDN w:val="0"/>
                    <w:jc w:val="center"/>
                    <w:textAlignment w:val="baseline"/>
                    <w:rPr>
                      <w:rFonts w:ascii="宋体" w:hAnsi="宋体" w:cs="宋体"/>
                    </w:rPr>
                  </w:pPr>
                  <w:r>
                    <w:rPr>
                      <w:rFonts w:ascii="宋体" w:hAnsi="宋体" w:cs="宋体"/>
                    </w:rPr>
                    <w:t>台</w:t>
                  </w:r>
                </w:p>
              </w:tc>
              <w:tc>
                <w:tcPr>
                  <w:tcW w:w="1633" w:type="pct"/>
                  <w:vAlign w:val="center"/>
                </w:tcPr>
                <w:p w14:paraId="52E95C13">
                  <w:pPr>
                    <w:pStyle w:val="208"/>
                    <w:widowControl/>
                    <w:autoSpaceDE w:val="0"/>
                    <w:autoSpaceDN w:val="0"/>
                    <w:jc w:val="center"/>
                    <w:textAlignment w:val="baseline"/>
                    <w:rPr>
                      <w:rFonts w:hint="eastAsia" w:eastAsia="等线"/>
                      <w:sz w:val="21"/>
                      <w:szCs w:val="21"/>
                      <w:lang w:eastAsia="zh-CN"/>
                    </w:rPr>
                  </w:pPr>
                  <w:r>
                    <w:rPr>
                      <w:rFonts w:hint="eastAsia" w:eastAsia="等线"/>
                      <w:sz w:val="21"/>
                      <w:szCs w:val="21"/>
                      <w:lang w:eastAsia="zh-CN"/>
                    </w:rPr>
                    <w:t>2</w:t>
                  </w:r>
                </w:p>
              </w:tc>
            </w:tr>
            <w:tr w14:paraId="3989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68E6F473">
                  <w:pPr>
                    <w:pStyle w:val="208"/>
                    <w:widowControl/>
                    <w:numPr>
                      <w:ilvl w:val="0"/>
                      <w:numId w:val="5"/>
                    </w:numPr>
                    <w:autoSpaceDE w:val="0"/>
                    <w:autoSpaceDN w:val="0"/>
                    <w:jc w:val="center"/>
                    <w:textAlignment w:val="baseline"/>
                    <w:rPr>
                      <w:sz w:val="21"/>
                      <w:szCs w:val="21"/>
                    </w:rPr>
                  </w:pPr>
                </w:p>
              </w:tc>
              <w:tc>
                <w:tcPr>
                  <w:tcW w:w="2033" w:type="pct"/>
                </w:tcPr>
                <w:p w14:paraId="03DA892E">
                  <w:pPr>
                    <w:pStyle w:val="208"/>
                    <w:widowControl/>
                    <w:autoSpaceDE w:val="0"/>
                    <w:autoSpaceDN w:val="0"/>
                    <w:jc w:val="center"/>
                    <w:textAlignment w:val="baseline"/>
                    <w:rPr>
                      <w:sz w:val="21"/>
                      <w:szCs w:val="21"/>
                    </w:rPr>
                  </w:pPr>
                  <w:r>
                    <w:rPr>
                      <w:sz w:val="21"/>
                      <w:szCs w:val="21"/>
                    </w:rPr>
                    <w:t>1000</w:t>
                  </w:r>
                  <w:r>
                    <w:rPr>
                      <w:rFonts w:hint="eastAsia" w:eastAsia="宋体"/>
                      <w:sz w:val="21"/>
                      <w:szCs w:val="21"/>
                      <w:lang w:eastAsia="zh-CN"/>
                    </w:rPr>
                    <w:t>kV</w:t>
                  </w:r>
                  <w:r>
                    <w:rPr>
                      <w:sz w:val="21"/>
                      <w:szCs w:val="21"/>
                    </w:rPr>
                    <w:t>A</w:t>
                  </w:r>
                </w:p>
              </w:tc>
              <w:tc>
                <w:tcPr>
                  <w:tcW w:w="1008" w:type="pct"/>
                </w:tcPr>
                <w:p w14:paraId="2C4C24BA">
                  <w:pPr>
                    <w:widowControl/>
                    <w:autoSpaceDE w:val="0"/>
                    <w:autoSpaceDN w:val="0"/>
                    <w:jc w:val="center"/>
                    <w:textAlignment w:val="baseline"/>
                    <w:rPr>
                      <w:rFonts w:ascii="宋体" w:hAnsi="宋体" w:cs="宋体"/>
                    </w:rPr>
                  </w:pPr>
                  <w:r>
                    <w:rPr>
                      <w:rFonts w:ascii="宋体" w:hAnsi="宋体" w:cs="宋体"/>
                    </w:rPr>
                    <w:t>台</w:t>
                  </w:r>
                </w:p>
              </w:tc>
              <w:tc>
                <w:tcPr>
                  <w:tcW w:w="1633" w:type="pct"/>
                  <w:vAlign w:val="center"/>
                </w:tcPr>
                <w:p w14:paraId="45CE9A41">
                  <w:pPr>
                    <w:pStyle w:val="208"/>
                    <w:widowControl/>
                    <w:autoSpaceDE w:val="0"/>
                    <w:autoSpaceDN w:val="0"/>
                    <w:jc w:val="center"/>
                    <w:textAlignment w:val="baseline"/>
                    <w:rPr>
                      <w:rFonts w:hint="eastAsia" w:eastAsia="等线"/>
                      <w:sz w:val="21"/>
                      <w:szCs w:val="21"/>
                      <w:lang w:eastAsia="zh-CN"/>
                    </w:rPr>
                  </w:pPr>
                  <w:r>
                    <w:rPr>
                      <w:rFonts w:hint="eastAsia" w:eastAsia="等线"/>
                      <w:sz w:val="21"/>
                      <w:szCs w:val="21"/>
                      <w:lang w:eastAsia="zh-CN"/>
                    </w:rPr>
                    <w:t>2</w:t>
                  </w:r>
                </w:p>
              </w:tc>
            </w:tr>
            <w:tr w14:paraId="22BC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00" w:type="pct"/>
                  <w:gridSpan w:val="4"/>
                  <w:vAlign w:val="center"/>
                </w:tcPr>
                <w:p w14:paraId="533E5D17">
                  <w:pPr>
                    <w:widowControl/>
                    <w:autoSpaceDE w:val="0"/>
                    <w:autoSpaceDN w:val="0"/>
                    <w:jc w:val="center"/>
                    <w:textAlignment w:val="baseline"/>
                    <w:rPr>
                      <w:rFonts w:ascii="宋体" w:hAnsi="宋体" w:cs="宋体"/>
                    </w:rPr>
                  </w:pPr>
                  <w:r>
                    <w:rPr>
                      <w:rFonts w:hint="eastAsia" w:ascii="宋体" w:hAnsi="宋体" w:cs="宋体"/>
                    </w:rPr>
                    <w:t>五、</w:t>
                  </w:r>
                  <w:r>
                    <w:rPr>
                      <w:rFonts w:ascii="宋体" w:hAnsi="宋体" w:cs="宋体"/>
                    </w:rPr>
                    <w:t>主变压器</w:t>
                  </w:r>
                </w:p>
              </w:tc>
            </w:tr>
            <w:tr w14:paraId="64FD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59CCECBB">
                  <w:pPr>
                    <w:pStyle w:val="208"/>
                    <w:widowControl/>
                    <w:numPr>
                      <w:ilvl w:val="0"/>
                      <w:numId w:val="6"/>
                    </w:numPr>
                    <w:autoSpaceDE w:val="0"/>
                    <w:autoSpaceDN w:val="0"/>
                    <w:jc w:val="center"/>
                    <w:textAlignment w:val="baseline"/>
                    <w:rPr>
                      <w:sz w:val="21"/>
                      <w:szCs w:val="21"/>
                    </w:rPr>
                  </w:pPr>
                </w:p>
              </w:tc>
              <w:tc>
                <w:tcPr>
                  <w:tcW w:w="2033" w:type="pct"/>
                  <w:vAlign w:val="center"/>
                </w:tcPr>
                <w:p w14:paraId="7A3F3B8E">
                  <w:pPr>
                    <w:widowControl/>
                    <w:autoSpaceDE w:val="0"/>
                    <w:autoSpaceDN w:val="0"/>
                    <w:jc w:val="center"/>
                    <w:textAlignment w:val="baseline"/>
                    <w:rPr>
                      <w:rFonts w:ascii="宋体" w:hAnsi="宋体" w:cs="宋体"/>
                    </w:rPr>
                  </w:pPr>
                  <w:r>
                    <w:rPr>
                      <w:rFonts w:ascii="宋体" w:hAnsi="宋体" w:cs="宋体"/>
                    </w:rPr>
                    <w:t>台数</w:t>
                  </w:r>
                </w:p>
              </w:tc>
              <w:tc>
                <w:tcPr>
                  <w:tcW w:w="1008" w:type="pct"/>
                  <w:vAlign w:val="center"/>
                </w:tcPr>
                <w:p w14:paraId="78BBAFB6">
                  <w:pPr>
                    <w:widowControl/>
                    <w:autoSpaceDE w:val="0"/>
                    <w:autoSpaceDN w:val="0"/>
                    <w:jc w:val="center"/>
                    <w:textAlignment w:val="baseline"/>
                    <w:rPr>
                      <w:rFonts w:ascii="宋体" w:hAnsi="宋体" w:cs="宋体"/>
                    </w:rPr>
                  </w:pPr>
                  <w:r>
                    <w:rPr>
                      <w:rFonts w:ascii="宋体" w:hAnsi="宋体" w:cs="宋体"/>
                    </w:rPr>
                    <w:t>台</w:t>
                  </w:r>
                </w:p>
              </w:tc>
              <w:tc>
                <w:tcPr>
                  <w:tcW w:w="1633" w:type="pct"/>
                  <w:vAlign w:val="center"/>
                </w:tcPr>
                <w:p w14:paraId="55BB0A5C">
                  <w:pPr>
                    <w:pStyle w:val="208"/>
                    <w:widowControl/>
                    <w:autoSpaceDE w:val="0"/>
                    <w:autoSpaceDN w:val="0"/>
                    <w:jc w:val="center"/>
                    <w:textAlignment w:val="baseline"/>
                    <w:rPr>
                      <w:sz w:val="21"/>
                      <w:szCs w:val="21"/>
                    </w:rPr>
                  </w:pPr>
                  <w:r>
                    <w:rPr>
                      <w:sz w:val="21"/>
                      <w:szCs w:val="21"/>
                    </w:rPr>
                    <w:t>1</w:t>
                  </w:r>
                </w:p>
              </w:tc>
            </w:tr>
            <w:tr w14:paraId="43E0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26" w:type="pct"/>
                  <w:vAlign w:val="center"/>
                </w:tcPr>
                <w:p w14:paraId="44FBAAAF">
                  <w:pPr>
                    <w:pStyle w:val="208"/>
                    <w:widowControl/>
                    <w:numPr>
                      <w:ilvl w:val="0"/>
                      <w:numId w:val="6"/>
                    </w:numPr>
                    <w:autoSpaceDE w:val="0"/>
                    <w:autoSpaceDN w:val="0"/>
                    <w:jc w:val="center"/>
                    <w:textAlignment w:val="baseline"/>
                    <w:rPr>
                      <w:sz w:val="21"/>
                      <w:szCs w:val="21"/>
                    </w:rPr>
                  </w:pPr>
                </w:p>
              </w:tc>
              <w:tc>
                <w:tcPr>
                  <w:tcW w:w="2033" w:type="pct"/>
                  <w:vAlign w:val="center"/>
                </w:tcPr>
                <w:p w14:paraId="5C2AFCBF">
                  <w:pPr>
                    <w:widowControl/>
                    <w:autoSpaceDE w:val="0"/>
                    <w:autoSpaceDN w:val="0"/>
                    <w:jc w:val="center"/>
                    <w:textAlignment w:val="baseline"/>
                    <w:rPr>
                      <w:rFonts w:ascii="宋体" w:hAnsi="宋体" w:cs="宋体"/>
                    </w:rPr>
                  </w:pPr>
                  <w:r>
                    <w:rPr>
                      <w:rFonts w:ascii="宋体" w:hAnsi="宋体" w:cs="宋体"/>
                    </w:rPr>
                    <w:t>容量</w:t>
                  </w:r>
                </w:p>
              </w:tc>
              <w:tc>
                <w:tcPr>
                  <w:tcW w:w="1008" w:type="pct"/>
                  <w:vAlign w:val="center"/>
                </w:tcPr>
                <w:p w14:paraId="206FE260">
                  <w:pPr>
                    <w:pStyle w:val="208"/>
                    <w:widowControl/>
                    <w:autoSpaceDE w:val="0"/>
                    <w:autoSpaceDN w:val="0"/>
                    <w:jc w:val="center"/>
                    <w:textAlignment w:val="baseline"/>
                    <w:rPr>
                      <w:sz w:val="21"/>
                      <w:szCs w:val="21"/>
                    </w:rPr>
                  </w:pPr>
                  <w:r>
                    <w:rPr>
                      <w:sz w:val="21"/>
                      <w:szCs w:val="21"/>
                    </w:rPr>
                    <w:t>MVA</w:t>
                  </w:r>
                </w:p>
              </w:tc>
              <w:tc>
                <w:tcPr>
                  <w:tcW w:w="1633" w:type="pct"/>
                  <w:vAlign w:val="center"/>
                </w:tcPr>
                <w:p w14:paraId="6B80AAD0">
                  <w:pPr>
                    <w:pStyle w:val="208"/>
                    <w:widowControl/>
                    <w:autoSpaceDE w:val="0"/>
                    <w:autoSpaceDN w:val="0"/>
                    <w:jc w:val="center"/>
                    <w:textAlignment w:val="baseline"/>
                    <w:rPr>
                      <w:sz w:val="21"/>
                      <w:szCs w:val="21"/>
                    </w:rPr>
                  </w:pPr>
                  <w:r>
                    <w:rPr>
                      <w:sz w:val="21"/>
                      <w:szCs w:val="21"/>
                    </w:rPr>
                    <w:t>50</w:t>
                  </w:r>
                </w:p>
              </w:tc>
            </w:tr>
          </w:tbl>
          <w:p w14:paraId="0AB0050D">
            <w:pPr>
              <w:spacing w:line="360" w:lineRule="auto"/>
              <w:rPr>
                <w:b/>
                <w:bCs/>
                <w:sz w:val="24"/>
                <w:szCs w:val="24"/>
              </w:rPr>
            </w:pPr>
            <w:r>
              <w:rPr>
                <w:rFonts w:hint="eastAsia"/>
                <w:b/>
                <w:bCs/>
                <w:sz w:val="24"/>
                <w:szCs w:val="24"/>
              </w:rPr>
              <w:t>2.2.2 项目组成</w:t>
            </w:r>
          </w:p>
          <w:p w14:paraId="3239BB59">
            <w:pPr>
              <w:spacing w:line="360" w:lineRule="auto"/>
              <w:ind w:firstLine="480" w:firstLineChars="200"/>
              <w:rPr>
                <w:rFonts w:hint="eastAsia" w:ascii="Cambria" w:hAnsi="Cambria" w:eastAsia="Cambria" w:cs="Cambria"/>
                <w:sz w:val="24"/>
                <w:szCs w:val="24"/>
              </w:rPr>
            </w:pPr>
            <w:r>
              <w:rPr>
                <w:rFonts w:hint="eastAsia" w:ascii="Cambria" w:hAnsi="Cambria" w:eastAsia="Cambria" w:cs="Cambria"/>
                <w:sz w:val="24"/>
                <w:szCs w:val="24"/>
              </w:rPr>
              <w:t>本项目由主体工程、辅助工程、公用工程、环保工程和临时工程、依托工程组成，项目组成及工程内容详见下表。</w:t>
            </w:r>
          </w:p>
          <w:p w14:paraId="541CB682">
            <w:pPr>
              <w:pStyle w:val="219"/>
              <w:spacing w:before="0" w:beforeLines="0"/>
              <w:rPr>
                <w:sz w:val="24"/>
                <w:szCs w:val="24"/>
              </w:rPr>
            </w:pPr>
            <w:bookmarkStart w:id="57" w:name="_Hlk181622655"/>
            <w:r>
              <w:rPr>
                <w:sz w:val="24"/>
                <w:szCs w:val="24"/>
              </w:rPr>
              <w:t>表2</w:t>
            </w:r>
            <w:bookmarkEnd w:id="57"/>
            <w:r>
              <w:rPr>
                <w:sz w:val="24"/>
                <w:szCs w:val="24"/>
              </w:rPr>
              <w:t>.2.2-1</w:t>
            </w:r>
            <w:r>
              <w:rPr>
                <w:rFonts w:hint="eastAsia"/>
                <w:sz w:val="24"/>
                <w:szCs w:val="24"/>
              </w:rPr>
              <w:t xml:space="preserve">  </w:t>
            </w:r>
            <w:r>
              <w:rPr>
                <w:sz w:val="24"/>
                <w:szCs w:val="24"/>
              </w:rPr>
              <w:t>项目工程内容组成表</w:t>
            </w:r>
          </w:p>
          <w:tbl>
            <w:tblPr>
              <w:tblStyle w:val="30"/>
              <w:tblW w:w="8451"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099"/>
              <w:gridCol w:w="1060"/>
              <w:gridCol w:w="931"/>
              <w:gridCol w:w="4401"/>
              <w:gridCol w:w="960"/>
            </w:tblGrid>
            <w:tr w14:paraId="0170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1828" w:type="pct"/>
                  <w:gridSpan w:val="3"/>
                  <w:vAlign w:val="center"/>
                </w:tcPr>
                <w:p w14:paraId="1F1BDD21">
                  <w:pPr>
                    <w:adjustRightInd w:val="0"/>
                    <w:snapToGrid w:val="0"/>
                    <w:jc w:val="center"/>
                    <w:rPr>
                      <w:b/>
                      <w:bCs/>
                    </w:rPr>
                  </w:pPr>
                  <w:r>
                    <w:rPr>
                      <w:b/>
                      <w:bCs/>
                    </w:rPr>
                    <w:t>工程组成部分</w:t>
                  </w:r>
                </w:p>
              </w:tc>
              <w:tc>
                <w:tcPr>
                  <w:tcW w:w="2604" w:type="pct"/>
                  <w:vAlign w:val="center"/>
                </w:tcPr>
                <w:p w14:paraId="5A717FBB">
                  <w:pPr>
                    <w:adjustRightInd w:val="0"/>
                    <w:snapToGrid w:val="0"/>
                    <w:jc w:val="center"/>
                    <w:rPr>
                      <w:b/>
                      <w:bCs/>
                    </w:rPr>
                  </w:pPr>
                  <w:r>
                    <w:rPr>
                      <w:b/>
                      <w:bCs/>
                    </w:rPr>
                    <w:t>主要内容</w:t>
                  </w:r>
                </w:p>
              </w:tc>
              <w:tc>
                <w:tcPr>
                  <w:tcW w:w="568" w:type="pct"/>
                </w:tcPr>
                <w:p w14:paraId="1069CB3D">
                  <w:pPr>
                    <w:adjustRightInd w:val="0"/>
                    <w:snapToGrid w:val="0"/>
                    <w:jc w:val="center"/>
                    <w:rPr>
                      <w:b/>
                      <w:bCs/>
                    </w:rPr>
                  </w:pPr>
                  <w:r>
                    <w:rPr>
                      <w:b/>
                      <w:bCs/>
                    </w:rPr>
                    <w:t>备注</w:t>
                  </w:r>
                </w:p>
              </w:tc>
            </w:tr>
            <w:tr w14:paraId="7983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restart"/>
                  <w:vAlign w:val="center"/>
                </w:tcPr>
                <w:p w14:paraId="565B4E0A">
                  <w:pPr>
                    <w:adjustRightInd w:val="0"/>
                    <w:snapToGrid w:val="0"/>
                    <w:jc w:val="center"/>
                  </w:pPr>
                  <w:bookmarkStart w:id="58" w:name="OLE_LINK17"/>
                  <w:r>
                    <w:t>主体工程</w:t>
                  </w:r>
                  <w:bookmarkEnd w:id="58"/>
                </w:p>
              </w:tc>
              <w:tc>
                <w:tcPr>
                  <w:tcW w:w="627" w:type="pct"/>
                  <w:vMerge w:val="restart"/>
                  <w:vAlign w:val="center"/>
                </w:tcPr>
                <w:p w14:paraId="763E164B">
                  <w:pPr>
                    <w:adjustRightInd w:val="0"/>
                    <w:snapToGrid w:val="0"/>
                    <w:jc w:val="center"/>
                  </w:pPr>
                  <w:r>
                    <w:t>光伏发电系统</w:t>
                  </w:r>
                </w:p>
              </w:tc>
              <w:tc>
                <w:tcPr>
                  <w:tcW w:w="551" w:type="pct"/>
                  <w:vMerge w:val="restart"/>
                  <w:vAlign w:val="center"/>
                </w:tcPr>
                <w:p w14:paraId="4B69D131">
                  <w:pPr>
                    <w:adjustRightInd w:val="0"/>
                    <w:snapToGrid w:val="0"/>
                    <w:jc w:val="center"/>
                  </w:pPr>
                  <w:r>
                    <w:t>光伏阵列</w:t>
                  </w:r>
                </w:p>
              </w:tc>
              <w:tc>
                <w:tcPr>
                  <w:tcW w:w="2604" w:type="pct"/>
                  <w:vAlign w:val="center"/>
                </w:tcPr>
                <w:p w14:paraId="2C2374CB">
                  <w:pPr>
                    <w:autoSpaceDE w:val="0"/>
                    <w:autoSpaceDN w:val="0"/>
                    <w:adjustRightInd w:val="0"/>
                  </w:pPr>
                  <w:r>
                    <w:rPr>
                      <w:rFonts w:hint="eastAsia"/>
                    </w:rPr>
                    <w:t>拟安装85722块光伏组件，由3297个组串21个光伏方阵组成，其中3840kW方阵2个，3520kW方阵2个，3200kW方阵3个，2560kW方阵4个，2240kW方阵2个，1920kW方阵1个，1600kW方阵3个，1280kW方阵2个，960kW方阵2个。</w:t>
                  </w:r>
                </w:p>
              </w:tc>
              <w:tc>
                <w:tcPr>
                  <w:tcW w:w="568" w:type="pct"/>
                  <w:vMerge w:val="restart"/>
                  <w:vAlign w:val="center"/>
                </w:tcPr>
                <w:p w14:paraId="389266EB">
                  <w:pPr>
                    <w:adjustRightInd w:val="0"/>
                    <w:snapToGrid w:val="0"/>
                    <w:jc w:val="center"/>
                  </w:pPr>
                  <w:r>
                    <w:rPr>
                      <w:rFonts w:hint="eastAsia"/>
                    </w:rPr>
                    <w:t>新建</w:t>
                  </w:r>
                </w:p>
              </w:tc>
            </w:tr>
            <w:tr w14:paraId="0641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14B53295">
                  <w:pPr>
                    <w:adjustRightInd w:val="0"/>
                    <w:snapToGrid w:val="0"/>
                    <w:jc w:val="center"/>
                  </w:pPr>
                </w:p>
              </w:tc>
              <w:tc>
                <w:tcPr>
                  <w:tcW w:w="627" w:type="pct"/>
                  <w:vMerge w:val="continue"/>
                  <w:vAlign w:val="center"/>
                </w:tcPr>
                <w:p w14:paraId="02EC472F">
                  <w:pPr>
                    <w:adjustRightInd w:val="0"/>
                    <w:snapToGrid w:val="0"/>
                    <w:jc w:val="center"/>
                  </w:pPr>
                </w:p>
              </w:tc>
              <w:tc>
                <w:tcPr>
                  <w:tcW w:w="551" w:type="pct"/>
                  <w:vMerge w:val="continue"/>
                  <w:vAlign w:val="center"/>
                </w:tcPr>
                <w:p w14:paraId="065FCD48">
                  <w:pPr>
                    <w:adjustRightInd w:val="0"/>
                    <w:snapToGrid w:val="0"/>
                    <w:jc w:val="center"/>
                  </w:pPr>
                </w:p>
              </w:tc>
              <w:tc>
                <w:tcPr>
                  <w:tcW w:w="2604" w:type="pct"/>
                  <w:vAlign w:val="center"/>
                </w:tcPr>
                <w:p w14:paraId="52BB8AE5">
                  <w:pPr>
                    <w:autoSpaceDE w:val="0"/>
                    <w:autoSpaceDN w:val="0"/>
                    <w:adjustRightInd w:val="0"/>
                  </w:pPr>
                  <w:r>
                    <w:rPr>
                      <w:snapToGrid w:val="0"/>
                      <w:color w:val="000000"/>
                      <w:kern w:val="0"/>
                    </w:rPr>
                    <w:t>光伏支架由2</w:t>
                  </w:r>
                  <w:r>
                    <w:rPr>
                      <w:rFonts w:hint="eastAsia"/>
                      <w:snapToGrid w:val="0"/>
                      <w:color w:val="000000"/>
                      <w:kern w:val="0"/>
                    </w:rPr>
                    <w:t>6</w:t>
                  </w:r>
                  <w:r>
                    <w:rPr>
                      <w:snapToGrid w:val="0"/>
                      <w:color w:val="000000"/>
                      <w:kern w:val="0"/>
                    </w:rPr>
                    <w:t>块单晶硅光伏组件按2（行）×1</w:t>
                  </w:r>
                  <w:r>
                    <w:rPr>
                      <w:rFonts w:hint="eastAsia"/>
                      <w:snapToGrid w:val="0"/>
                      <w:color w:val="000000"/>
                      <w:kern w:val="0"/>
                    </w:rPr>
                    <w:t>3</w:t>
                  </w:r>
                  <w:r>
                    <w:rPr>
                      <w:snapToGrid w:val="0"/>
                      <w:color w:val="000000"/>
                      <w:kern w:val="0"/>
                    </w:rPr>
                    <w:t>（列）的布置方式组成一个支架单元，平面尺寸约为</w:t>
                  </w:r>
                  <w:bookmarkStart w:id="59" w:name="OLE_LINK18"/>
                  <w:r>
                    <w:rPr>
                      <w:snapToGrid w:val="0"/>
                      <w:color w:val="000000"/>
                      <w:kern w:val="0"/>
                    </w:rPr>
                    <w:t>17179</w:t>
                  </w:r>
                  <w:bookmarkEnd w:id="59"/>
                  <w:r>
                    <w:rPr>
                      <w:snapToGrid w:val="0"/>
                      <w:color w:val="000000"/>
                      <w:kern w:val="0"/>
                    </w:rPr>
                    <w:t>mm×4788mm，倾角为2</w:t>
                  </w:r>
                  <w:r>
                    <w:rPr>
                      <w:rFonts w:hint="eastAsia"/>
                      <w:snapToGrid w:val="0"/>
                      <w:color w:val="000000"/>
                      <w:kern w:val="0"/>
                    </w:rPr>
                    <w:t>3</w:t>
                  </w:r>
                  <w:r>
                    <w:rPr>
                      <w:snapToGrid w:val="0"/>
                      <w:color w:val="000000"/>
                      <w:kern w:val="0"/>
                    </w:rPr>
                    <w:t>°</w:t>
                  </w:r>
                  <w:r>
                    <w:rPr>
                      <w:rFonts w:hint="eastAsia"/>
                      <w:snapToGrid w:val="0"/>
                      <w:color w:val="000000"/>
                      <w:kern w:val="0"/>
                    </w:rPr>
                    <w:t>。</w:t>
                  </w:r>
                  <w:r>
                    <w:rPr>
                      <w:snapToGrid w:val="0"/>
                      <w:color w:val="000000"/>
                      <w:kern w:val="0"/>
                    </w:rPr>
                    <w:t>支架采用全钢结构</w:t>
                  </w:r>
                  <w:r>
                    <w:rPr>
                      <w:rFonts w:hint="eastAsia"/>
                      <w:snapToGrid w:val="0"/>
                      <w:color w:val="000000"/>
                      <w:kern w:val="0"/>
                    </w:rPr>
                    <w:t>，</w:t>
                  </w:r>
                  <w:r>
                    <w:rPr>
                      <w:snapToGrid w:val="0"/>
                      <w:color w:val="000000"/>
                      <w:kern w:val="0"/>
                    </w:rPr>
                    <w:t>最</w:t>
                  </w:r>
                  <w:r>
                    <w:rPr>
                      <w:rFonts w:hint="eastAsia"/>
                      <w:snapToGrid w:val="0"/>
                      <w:color w:val="000000"/>
                      <w:kern w:val="0"/>
                    </w:rPr>
                    <w:t>底端</w:t>
                  </w:r>
                  <w:r>
                    <w:rPr>
                      <w:snapToGrid w:val="0"/>
                      <w:color w:val="000000"/>
                      <w:kern w:val="0"/>
                    </w:rPr>
                    <w:t>离地高度不低于2.5m，桩基列间距不小于4.0m，行间距不小于6.5m。</w:t>
                  </w:r>
                </w:p>
              </w:tc>
              <w:tc>
                <w:tcPr>
                  <w:tcW w:w="568" w:type="pct"/>
                  <w:vMerge w:val="continue"/>
                  <w:vAlign w:val="center"/>
                </w:tcPr>
                <w:p w14:paraId="524E30CB">
                  <w:pPr>
                    <w:adjustRightInd w:val="0"/>
                    <w:snapToGrid w:val="0"/>
                    <w:jc w:val="center"/>
                  </w:pPr>
                </w:p>
              </w:tc>
            </w:tr>
            <w:tr w14:paraId="3F0A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4CBA797B">
                  <w:pPr>
                    <w:adjustRightInd w:val="0"/>
                    <w:snapToGrid w:val="0"/>
                    <w:jc w:val="center"/>
                  </w:pPr>
                </w:p>
              </w:tc>
              <w:tc>
                <w:tcPr>
                  <w:tcW w:w="627" w:type="pct"/>
                  <w:vMerge w:val="continue"/>
                  <w:vAlign w:val="center"/>
                </w:tcPr>
                <w:p w14:paraId="3295C43B">
                  <w:pPr>
                    <w:adjustRightInd w:val="0"/>
                    <w:snapToGrid w:val="0"/>
                    <w:jc w:val="center"/>
                  </w:pPr>
                </w:p>
              </w:tc>
              <w:tc>
                <w:tcPr>
                  <w:tcW w:w="551" w:type="pct"/>
                  <w:vMerge w:val="continue"/>
                  <w:vAlign w:val="center"/>
                </w:tcPr>
                <w:p w14:paraId="5E9152BB">
                  <w:pPr>
                    <w:adjustRightInd w:val="0"/>
                    <w:snapToGrid w:val="0"/>
                    <w:jc w:val="center"/>
                  </w:pPr>
                </w:p>
              </w:tc>
              <w:tc>
                <w:tcPr>
                  <w:tcW w:w="2604" w:type="pct"/>
                  <w:vAlign w:val="center"/>
                </w:tcPr>
                <w:p w14:paraId="46D19AFD">
                  <w:pPr>
                    <w:autoSpaceDE w:val="0"/>
                    <w:autoSpaceDN w:val="0"/>
                    <w:adjustRightInd w:val="0"/>
                  </w:pPr>
                  <w:r>
                    <w:t>光伏区围栏和大门：沿光伏发电场阵列外侧设置钢丝网围栏，</w:t>
                  </w:r>
                  <w:bookmarkStart w:id="60" w:name="OLE_LINK19"/>
                  <w:r>
                    <w:t>围栏高度1.8m</w:t>
                  </w:r>
                  <w:bookmarkEnd w:id="60"/>
                  <w:r>
                    <w:t>，采用直径4mm的浸塑钢丝，网片间距为150mm×75mm，立柱采用直径50mm的浸塑钢管，立柱布置间距为3m，其上布置安全监控设备。在入口处（场内施工道路接入点）设置对开钢大门。</w:t>
                  </w:r>
                </w:p>
              </w:tc>
              <w:tc>
                <w:tcPr>
                  <w:tcW w:w="568" w:type="pct"/>
                  <w:vMerge w:val="continue"/>
                  <w:vAlign w:val="center"/>
                </w:tcPr>
                <w:p w14:paraId="1CC8138C">
                  <w:pPr>
                    <w:adjustRightInd w:val="0"/>
                    <w:snapToGrid w:val="0"/>
                    <w:jc w:val="center"/>
                  </w:pPr>
                </w:p>
              </w:tc>
            </w:tr>
            <w:tr w14:paraId="5377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509CE009">
                  <w:pPr>
                    <w:adjustRightInd w:val="0"/>
                    <w:snapToGrid w:val="0"/>
                  </w:pPr>
                </w:p>
              </w:tc>
              <w:tc>
                <w:tcPr>
                  <w:tcW w:w="627" w:type="pct"/>
                  <w:vMerge w:val="continue"/>
                  <w:vAlign w:val="center"/>
                </w:tcPr>
                <w:p w14:paraId="5201DEFA">
                  <w:pPr>
                    <w:adjustRightInd w:val="0"/>
                    <w:snapToGrid w:val="0"/>
                    <w:jc w:val="center"/>
                  </w:pPr>
                </w:p>
              </w:tc>
              <w:tc>
                <w:tcPr>
                  <w:tcW w:w="551" w:type="pct"/>
                  <w:vAlign w:val="center"/>
                </w:tcPr>
                <w:p w14:paraId="7E575F16">
                  <w:pPr>
                    <w:adjustRightInd w:val="0"/>
                    <w:snapToGrid w:val="0"/>
                    <w:jc w:val="center"/>
                  </w:pPr>
                  <w:r>
                    <w:t>逆变器</w:t>
                  </w:r>
                </w:p>
              </w:tc>
              <w:tc>
                <w:tcPr>
                  <w:tcW w:w="2604" w:type="pct"/>
                  <w:vAlign w:val="center"/>
                </w:tcPr>
                <w:p w14:paraId="5944BE4B">
                  <w:pPr>
                    <w:adjustRightInd w:val="0"/>
                    <w:snapToGrid w:val="0"/>
                  </w:pPr>
                  <w:r>
                    <w:t>采用</w:t>
                  </w:r>
                  <w:bookmarkStart w:id="61" w:name="OLE_LINK22"/>
                  <w:r>
                    <w:t>320kW</w:t>
                  </w:r>
                  <w:bookmarkEnd w:id="61"/>
                  <w:r>
                    <w:t>型组串式逆变器</w:t>
                  </w:r>
                  <w:bookmarkStart w:id="62" w:name="OLE_LINK20"/>
                  <w:r>
                    <w:rPr>
                      <w:rFonts w:hint="eastAsia"/>
                    </w:rPr>
                    <w:t>157</w:t>
                  </w:r>
                  <w:r>
                    <w:t>台</w:t>
                  </w:r>
                  <w:bookmarkEnd w:id="62"/>
                  <w:r>
                    <w:rPr>
                      <w:rFonts w:hint="eastAsia"/>
                    </w:rPr>
                    <w:t>，组串式逆变器拟采用钢构件固定在光伏支架上，不另行设置基础。</w:t>
                  </w:r>
                </w:p>
              </w:tc>
              <w:tc>
                <w:tcPr>
                  <w:tcW w:w="568" w:type="pct"/>
                  <w:vAlign w:val="center"/>
                </w:tcPr>
                <w:p w14:paraId="3C9C4198">
                  <w:pPr>
                    <w:pStyle w:val="83"/>
                    <w:spacing w:beforeLines="0" w:afterLines="0" w:line="240" w:lineRule="auto"/>
                  </w:pPr>
                  <w:r>
                    <w:rPr>
                      <w:rFonts w:hint="eastAsia"/>
                    </w:rPr>
                    <w:t>新建</w:t>
                  </w:r>
                </w:p>
              </w:tc>
            </w:tr>
            <w:tr w14:paraId="37A0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671FC449">
                  <w:pPr>
                    <w:adjustRightInd w:val="0"/>
                    <w:snapToGrid w:val="0"/>
                  </w:pPr>
                </w:p>
              </w:tc>
              <w:tc>
                <w:tcPr>
                  <w:tcW w:w="627" w:type="pct"/>
                  <w:vMerge w:val="continue"/>
                  <w:vAlign w:val="center"/>
                </w:tcPr>
                <w:p w14:paraId="7C62731F">
                  <w:pPr>
                    <w:adjustRightInd w:val="0"/>
                    <w:snapToGrid w:val="0"/>
                    <w:jc w:val="center"/>
                  </w:pPr>
                </w:p>
              </w:tc>
              <w:tc>
                <w:tcPr>
                  <w:tcW w:w="551" w:type="pct"/>
                  <w:vAlign w:val="center"/>
                </w:tcPr>
                <w:p w14:paraId="194EF2D4">
                  <w:pPr>
                    <w:adjustRightInd w:val="0"/>
                    <w:snapToGrid w:val="0"/>
                    <w:jc w:val="center"/>
                  </w:pPr>
                  <w:r>
                    <w:t>35</w:t>
                  </w:r>
                  <w:r>
                    <w:rPr>
                      <w:rFonts w:hint="eastAsia"/>
                    </w:rPr>
                    <w:t>kV</w:t>
                  </w:r>
                  <w:r>
                    <w:t>箱式变压器</w:t>
                  </w:r>
                </w:p>
              </w:tc>
              <w:tc>
                <w:tcPr>
                  <w:tcW w:w="2604" w:type="pct"/>
                  <w:vAlign w:val="center"/>
                </w:tcPr>
                <w:p w14:paraId="28CDE861">
                  <w:r>
                    <w:rPr>
                      <w:rFonts w:hint="eastAsia"/>
                    </w:rPr>
                    <w:t>每个光伏方阵设置1台</w:t>
                  </w:r>
                  <w:bookmarkStart w:id="63" w:name="OLE_LINK23"/>
                  <w:r>
                    <w:rPr>
                      <w:rFonts w:hint="eastAsia"/>
                    </w:rPr>
                    <w:t>35kV</w:t>
                  </w:r>
                  <w:bookmarkStart w:id="64" w:name="OLE_LINK25"/>
                  <w:r>
                    <w:rPr>
                      <w:rFonts w:hint="eastAsia"/>
                    </w:rPr>
                    <w:t>箱变</w:t>
                  </w:r>
                  <w:bookmarkEnd w:id="63"/>
                  <w:bookmarkEnd w:id="64"/>
                  <w:r>
                    <w:rPr>
                      <w:rFonts w:hint="eastAsia"/>
                    </w:rPr>
                    <w:t>，共</w:t>
                  </w:r>
                  <w:bookmarkStart w:id="65" w:name="OLE_LINK24"/>
                  <w:r>
                    <w:t>21</w:t>
                  </w:r>
                  <w:bookmarkEnd w:id="65"/>
                  <w:r>
                    <w:rPr>
                      <w:rFonts w:hint="eastAsia"/>
                    </w:rPr>
                    <w:t>台，并在每台箱变下的基础内设置箱变事故池，大小为2.5m</w:t>
                  </w:r>
                  <w:r>
                    <w:rPr>
                      <w:rFonts w:hint="eastAsia"/>
                      <w:vertAlign w:val="superscript"/>
                    </w:rPr>
                    <w:t>3</w:t>
                  </w:r>
                  <w:r>
                    <w:rPr>
                      <w:rFonts w:hint="eastAsia"/>
                    </w:rPr>
                    <w:t>。</w:t>
                  </w:r>
                </w:p>
              </w:tc>
              <w:tc>
                <w:tcPr>
                  <w:tcW w:w="568" w:type="pct"/>
                  <w:vAlign w:val="center"/>
                </w:tcPr>
                <w:p w14:paraId="4853EF6A">
                  <w:pPr>
                    <w:pStyle w:val="83"/>
                    <w:spacing w:beforeLines="0" w:afterLines="0" w:line="240" w:lineRule="auto"/>
                  </w:pPr>
                  <w:r>
                    <w:t>新建</w:t>
                  </w:r>
                </w:p>
              </w:tc>
            </w:tr>
            <w:tr w14:paraId="78A087BC">
              <w:tblPrEx>
                <w:tblCellMar>
                  <w:top w:w="0" w:type="dxa"/>
                  <w:left w:w="28" w:type="dxa"/>
                  <w:bottom w:w="0" w:type="dxa"/>
                  <w:right w:w="28" w:type="dxa"/>
                </w:tblCellMar>
              </w:tblPrEx>
              <w:trPr>
                <w:trHeight w:val="283" w:hRule="atLeast"/>
              </w:trPr>
              <w:tc>
                <w:tcPr>
                  <w:tcW w:w="650" w:type="pct"/>
                  <w:vMerge w:val="continue"/>
                  <w:vAlign w:val="center"/>
                </w:tcPr>
                <w:p w14:paraId="55BDD58C">
                  <w:pPr>
                    <w:adjustRightInd w:val="0"/>
                    <w:snapToGrid w:val="0"/>
                  </w:pPr>
                </w:p>
              </w:tc>
              <w:tc>
                <w:tcPr>
                  <w:tcW w:w="627" w:type="pct"/>
                  <w:vMerge w:val="continue"/>
                  <w:vAlign w:val="center"/>
                </w:tcPr>
                <w:p w14:paraId="17628E6D">
                  <w:pPr>
                    <w:adjustRightInd w:val="0"/>
                    <w:snapToGrid w:val="0"/>
                    <w:jc w:val="center"/>
                  </w:pPr>
                </w:p>
              </w:tc>
              <w:tc>
                <w:tcPr>
                  <w:tcW w:w="551" w:type="pct"/>
                  <w:vAlign w:val="center"/>
                </w:tcPr>
                <w:p w14:paraId="0EF92C17">
                  <w:pPr>
                    <w:adjustRightInd w:val="0"/>
                    <w:snapToGrid w:val="0"/>
                    <w:jc w:val="center"/>
                  </w:pPr>
                  <w:r>
                    <w:t>集电线路</w:t>
                  </w:r>
                </w:p>
              </w:tc>
              <w:tc>
                <w:tcPr>
                  <w:tcW w:w="2604" w:type="pct"/>
                  <w:vAlign w:val="center"/>
                </w:tcPr>
                <w:p w14:paraId="0B7427FB">
                  <w:pPr>
                    <w:topLinePunct/>
                    <w:adjustRightInd w:val="0"/>
                    <w:snapToGrid w:val="0"/>
                  </w:pPr>
                  <w:r>
                    <w:rPr>
                      <w:rFonts w:hint="eastAsia"/>
                    </w:rPr>
                    <w:t>通过2回35kV电缆集电线路输送至本项目新建110kV主变（容量50MW）一台，场区内</w:t>
                  </w:r>
                  <w:bookmarkStart w:id="66" w:name="OLE_LINK26"/>
                  <w:r>
                    <w:rPr>
                      <w:rFonts w:hint="eastAsia"/>
                    </w:rPr>
                    <w:t>集电线路</w:t>
                  </w:r>
                  <w:bookmarkEnd w:id="66"/>
                  <w:r>
                    <w:rPr>
                      <w:rFonts w:hint="eastAsia"/>
                    </w:rPr>
                    <w:t>拟采用架空线路、直埋电缆敷设两种方式，总长约47.09km，其中架空路径约30.2km，电缆路径约16.9km，沿线架设塔基9</w:t>
                  </w:r>
                  <w:r>
                    <w:t>0</w:t>
                  </w:r>
                  <w:r>
                    <w:rPr>
                      <w:rFonts w:hint="eastAsia"/>
                    </w:rPr>
                    <w:t>座。</w:t>
                  </w:r>
                </w:p>
              </w:tc>
              <w:tc>
                <w:tcPr>
                  <w:tcW w:w="568" w:type="pct"/>
                  <w:vAlign w:val="center"/>
                </w:tcPr>
                <w:p w14:paraId="27F4487F">
                  <w:pPr>
                    <w:adjustRightInd w:val="0"/>
                    <w:snapToGrid w:val="0"/>
                    <w:jc w:val="center"/>
                  </w:pPr>
                  <w:r>
                    <w:rPr>
                      <w:rFonts w:hint="eastAsia"/>
                    </w:rPr>
                    <w:t>新建</w:t>
                  </w:r>
                </w:p>
              </w:tc>
            </w:tr>
            <w:tr w14:paraId="6A42B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70803C7C">
                  <w:pPr>
                    <w:adjustRightInd w:val="0"/>
                    <w:snapToGrid w:val="0"/>
                  </w:pPr>
                </w:p>
              </w:tc>
              <w:tc>
                <w:tcPr>
                  <w:tcW w:w="627" w:type="pct"/>
                  <w:vMerge w:val="continue"/>
                  <w:vAlign w:val="center"/>
                </w:tcPr>
                <w:p w14:paraId="60EC90AA">
                  <w:pPr>
                    <w:adjustRightInd w:val="0"/>
                    <w:snapToGrid w:val="0"/>
                    <w:jc w:val="center"/>
                  </w:pPr>
                </w:p>
              </w:tc>
              <w:tc>
                <w:tcPr>
                  <w:tcW w:w="551" w:type="pct"/>
                  <w:vAlign w:val="center"/>
                </w:tcPr>
                <w:p w14:paraId="568944B2">
                  <w:pPr>
                    <w:adjustRightInd w:val="0"/>
                    <w:snapToGrid w:val="0"/>
                    <w:jc w:val="center"/>
                  </w:pPr>
                  <w:r>
                    <w:rPr>
                      <w:rFonts w:hint="eastAsia"/>
                    </w:rPr>
                    <w:t>1</w:t>
                  </w:r>
                  <w:r>
                    <w:t>10</w:t>
                  </w:r>
                  <w:r>
                    <w:rPr>
                      <w:rFonts w:hint="eastAsia"/>
                    </w:rPr>
                    <w:t>k</w:t>
                  </w:r>
                  <w:r>
                    <w:t>V</w:t>
                  </w:r>
                  <w:r>
                    <w:rPr>
                      <w:rFonts w:hint="eastAsia"/>
                    </w:rPr>
                    <w:t>输电线</w:t>
                  </w:r>
                </w:p>
              </w:tc>
              <w:tc>
                <w:tcPr>
                  <w:tcW w:w="2604" w:type="pct"/>
                  <w:vAlign w:val="center"/>
                </w:tcPr>
                <w:p w14:paraId="23BC5EA2">
                  <w:pPr>
                    <w:topLinePunct/>
                    <w:adjustRightInd w:val="0"/>
                    <w:snapToGrid w:val="0"/>
                    <w:rPr>
                      <w:rFonts w:hint="eastAsia"/>
                    </w:rPr>
                  </w:pPr>
                  <w:r>
                    <w:rPr>
                      <w:rFonts w:hint="eastAsia"/>
                    </w:rPr>
                    <w:t>新建1回110kV线路，从1</w:t>
                  </w:r>
                  <w:r>
                    <w:t>10</w:t>
                  </w:r>
                  <w:r>
                    <w:rPr>
                      <w:rFonts w:hint="eastAsia"/>
                    </w:rPr>
                    <w:t>k</w:t>
                  </w:r>
                  <w:r>
                    <w:t>V</w:t>
                  </w:r>
                  <w:r>
                    <w:rPr>
                      <w:rFonts w:hint="eastAsia"/>
                    </w:rPr>
                    <w:t>升压站接入以礼河三级电站110kV侧，路径长度约400m，采用电缆出线方式</w:t>
                  </w:r>
                </w:p>
              </w:tc>
              <w:tc>
                <w:tcPr>
                  <w:tcW w:w="568" w:type="pct"/>
                  <w:vAlign w:val="center"/>
                </w:tcPr>
                <w:p w14:paraId="6316E178">
                  <w:pPr>
                    <w:adjustRightInd w:val="0"/>
                    <w:snapToGrid w:val="0"/>
                    <w:jc w:val="center"/>
                    <w:rPr>
                      <w:rFonts w:hint="eastAsia"/>
                    </w:rPr>
                  </w:pPr>
                  <w:r>
                    <w:rPr>
                      <w:rFonts w:hint="eastAsia"/>
                    </w:rPr>
                    <w:t>新建</w:t>
                  </w:r>
                </w:p>
              </w:tc>
            </w:tr>
            <w:tr w14:paraId="3D26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1A1C6C69">
                  <w:pPr>
                    <w:adjustRightInd w:val="0"/>
                    <w:snapToGrid w:val="0"/>
                  </w:pPr>
                </w:p>
              </w:tc>
              <w:tc>
                <w:tcPr>
                  <w:tcW w:w="1178" w:type="pct"/>
                  <w:gridSpan w:val="2"/>
                  <w:vMerge w:val="restart"/>
                  <w:vAlign w:val="center"/>
                </w:tcPr>
                <w:p w14:paraId="59DECB54">
                  <w:pPr>
                    <w:adjustRightInd w:val="0"/>
                    <w:snapToGrid w:val="0"/>
                    <w:jc w:val="center"/>
                  </w:pPr>
                  <w:r>
                    <w:t>升压站</w:t>
                  </w:r>
                </w:p>
              </w:tc>
              <w:tc>
                <w:tcPr>
                  <w:tcW w:w="2604" w:type="pct"/>
                  <w:vAlign w:val="center"/>
                </w:tcPr>
                <w:p w14:paraId="4AFF636E">
                  <w:r>
                    <w:rPr>
                      <w:rFonts w:hint="eastAsia"/>
                    </w:rPr>
                    <w:t>本项目主要利用以礼河三级电站项目升压站</w:t>
                  </w:r>
                  <w:bookmarkStart w:id="67" w:name="OLE_LINK8"/>
                  <w:r>
                    <w:rPr>
                      <w:rFonts w:hint="eastAsia"/>
                    </w:rPr>
                    <w:t>西侧</w:t>
                  </w:r>
                  <w:bookmarkEnd w:id="67"/>
                  <w:bookmarkStart w:id="68" w:name="OLE_LINK35"/>
                  <w:r>
                    <w:rPr>
                      <w:rFonts w:hint="eastAsia"/>
                    </w:rPr>
                    <w:t>预留用地进行建设</w:t>
                  </w:r>
                  <w:bookmarkEnd w:id="68"/>
                  <w:r>
                    <w:rPr>
                      <w:rFonts w:hint="eastAsia"/>
                    </w:rPr>
                    <w:t>，用地面积0.</w:t>
                  </w:r>
                  <w:r>
                    <w:t>32</w:t>
                  </w:r>
                  <w:r>
                    <w:rPr>
                      <w:rFonts w:hint="eastAsia"/>
                    </w:rPr>
                    <w:t>hm</w:t>
                  </w:r>
                  <w:r>
                    <w:rPr>
                      <w:rFonts w:hint="eastAsia"/>
                      <w:vertAlign w:val="superscript"/>
                    </w:rPr>
                    <w:t>2</w:t>
                  </w:r>
                  <w:r>
                    <w:rPr>
                      <w:rFonts w:hint="eastAsia"/>
                    </w:rPr>
                    <w:t>，因此本项目1</w:t>
                  </w:r>
                  <w:r>
                    <w:t>10</w:t>
                  </w:r>
                  <w:r>
                    <w:rPr>
                      <w:rFonts w:hint="eastAsia"/>
                    </w:rPr>
                    <w:t>k</w:t>
                  </w:r>
                  <w:r>
                    <w:t>V</w:t>
                  </w:r>
                  <w:r>
                    <w:rPr>
                      <w:rFonts w:hint="eastAsia"/>
                    </w:rPr>
                    <w:t>升压站无需</w:t>
                  </w:r>
                  <w:bookmarkStart w:id="69" w:name="OLE_LINK34"/>
                  <w:r>
                    <w:rPr>
                      <w:rFonts w:hint="eastAsia"/>
                    </w:rPr>
                    <w:t>新增用地</w:t>
                  </w:r>
                  <w:bookmarkEnd w:id="69"/>
                  <w:r>
                    <w:rPr>
                      <w:rFonts w:hint="eastAsia"/>
                    </w:rPr>
                    <w:t>。</w:t>
                  </w:r>
                </w:p>
              </w:tc>
              <w:tc>
                <w:tcPr>
                  <w:tcW w:w="568" w:type="pct"/>
                  <w:vMerge w:val="restart"/>
                  <w:vAlign w:val="center"/>
                </w:tcPr>
                <w:p w14:paraId="6E97449F">
                  <w:pPr>
                    <w:jc w:val="center"/>
                  </w:pPr>
                  <w:r>
                    <w:rPr>
                      <w:rFonts w:hint="eastAsia"/>
                    </w:rPr>
                    <w:t>新建</w:t>
                  </w:r>
                </w:p>
              </w:tc>
            </w:tr>
            <w:tr w14:paraId="2623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74484DF4">
                  <w:pPr>
                    <w:adjustRightInd w:val="0"/>
                    <w:snapToGrid w:val="0"/>
                  </w:pPr>
                </w:p>
              </w:tc>
              <w:tc>
                <w:tcPr>
                  <w:tcW w:w="1178" w:type="pct"/>
                  <w:gridSpan w:val="2"/>
                  <w:vMerge w:val="continue"/>
                  <w:vAlign w:val="center"/>
                </w:tcPr>
                <w:p w14:paraId="6B0119B1">
                  <w:pPr>
                    <w:adjustRightInd w:val="0"/>
                    <w:snapToGrid w:val="0"/>
                    <w:jc w:val="center"/>
                  </w:pPr>
                </w:p>
              </w:tc>
              <w:tc>
                <w:tcPr>
                  <w:tcW w:w="2604" w:type="pct"/>
                  <w:vAlign w:val="center"/>
                </w:tcPr>
                <w:p w14:paraId="6C509757">
                  <w:r>
                    <w:rPr>
                      <w:rFonts w:hint="eastAsia"/>
                    </w:rPr>
                    <w:t>升压站内布置事故油池、变电构架、户外GIS设备、主变压器、生产预制舱、无功补偿、站用变、接地变及避雷针等构筑物。</w:t>
                  </w:r>
                  <w:r>
                    <w:t>升压站</w:t>
                  </w:r>
                  <w:r>
                    <w:rPr>
                      <w:rFonts w:hint="eastAsia"/>
                    </w:rPr>
                    <w:t>四周设2.2m高砖砌围墙，</w:t>
                  </w:r>
                  <w:r>
                    <w:t>升压站</w:t>
                  </w:r>
                  <w:r>
                    <w:rPr>
                      <w:rFonts w:hint="eastAsia"/>
                    </w:rPr>
                    <w:t>入口道路宽6m，设置一个电动伸缩阀门。站内各建筑物均采用钢筋混凝土框架结构。新建1回110kV线路接入以礼河三级电站110kV侧，路径长度约400m，导线截面暂按240mm</w:t>
                  </w:r>
                  <w:r>
                    <w:rPr>
                      <w:rFonts w:hint="eastAsia"/>
                      <w:vertAlign w:val="superscript"/>
                    </w:rPr>
                    <w:t>2</w:t>
                  </w:r>
                  <w:r>
                    <w:rPr>
                      <w:rFonts w:hint="eastAsia"/>
                    </w:rPr>
                    <w:t>考虑，采用电缆出线方式，110kV侧采用线路-变压器组接线方式。</w:t>
                  </w:r>
                </w:p>
              </w:tc>
              <w:tc>
                <w:tcPr>
                  <w:tcW w:w="568" w:type="pct"/>
                  <w:vMerge w:val="continue"/>
                  <w:vAlign w:val="center"/>
                </w:tcPr>
                <w:p w14:paraId="0DF3C6A0">
                  <w:pPr>
                    <w:autoSpaceDE w:val="0"/>
                    <w:autoSpaceDN w:val="0"/>
                    <w:adjustRightInd w:val="0"/>
                    <w:snapToGrid w:val="0"/>
                    <w:jc w:val="center"/>
                  </w:pPr>
                </w:p>
              </w:tc>
            </w:tr>
            <w:tr w14:paraId="4663C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5CA68CDA">
                  <w:pPr>
                    <w:adjustRightInd w:val="0"/>
                    <w:snapToGrid w:val="0"/>
                  </w:pPr>
                </w:p>
              </w:tc>
              <w:tc>
                <w:tcPr>
                  <w:tcW w:w="1178" w:type="pct"/>
                  <w:gridSpan w:val="2"/>
                  <w:vMerge w:val="continue"/>
                  <w:vAlign w:val="center"/>
                </w:tcPr>
                <w:p w14:paraId="5FA29DD7">
                  <w:pPr>
                    <w:adjustRightInd w:val="0"/>
                    <w:snapToGrid w:val="0"/>
                    <w:jc w:val="center"/>
                  </w:pPr>
                </w:p>
              </w:tc>
              <w:tc>
                <w:tcPr>
                  <w:tcW w:w="2604" w:type="pct"/>
                  <w:vAlign w:val="center"/>
                </w:tcPr>
                <w:p w14:paraId="10A43FE3">
                  <w:pPr>
                    <w:adjustRightInd w:val="0"/>
                    <w:snapToGrid w:val="0"/>
                  </w:pPr>
                  <w:r>
                    <w:rPr>
                      <w:rFonts w:hint="eastAsia"/>
                    </w:rPr>
                    <w:t>升压站内设置雨水排水沟，沿道路两侧及建筑周围布置，将雨水直接排出。</w:t>
                  </w:r>
                </w:p>
              </w:tc>
              <w:tc>
                <w:tcPr>
                  <w:tcW w:w="568" w:type="pct"/>
                  <w:vMerge w:val="continue"/>
                  <w:vAlign w:val="center"/>
                </w:tcPr>
                <w:p w14:paraId="05743E18">
                  <w:pPr>
                    <w:autoSpaceDE w:val="0"/>
                    <w:autoSpaceDN w:val="0"/>
                    <w:adjustRightInd w:val="0"/>
                    <w:snapToGrid w:val="0"/>
                    <w:jc w:val="center"/>
                  </w:pPr>
                </w:p>
              </w:tc>
            </w:tr>
            <w:tr w14:paraId="0252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4BDC1F2E">
                  <w:pPr>
                    <w:adjustRightInd w:val="0"/>
                    <w:snapToGrid w:val="0"/>
                  </w:pPr>
                </w:p>
              </w:tc>
              <w:tc>
                <w:tcPr>
                  <w:tcW w:w="1178" w:type="pct"/>
                  <w:gridSpan w:val="2"/>
                  <w:vMerge w:val="continue"/>
                  <w:vAlign w:val="center"/>
                </w:tcPr>
                <w:p w14:paraId="2EBCFA0A">
                  <w:pPr>
                    <w:adjustRightInd w:val="0"/>
                    <w:snapToGrid w:val="0"/>
                    <w:jc w:val="center"/>
                  </w:pPr>
                </w:p>
              </w:tc>
              <w:tc>
                <w:tcPr>
                  <w:tcW w:w="2604" w:type="pct"/>
                  <w:vAlign w:val="center"/>
                </w:tcPr>
                <w:p w14:paraId="55B2620E">
                  <w:pPr>
                    <w:adjustRightInd w:val="0"/>
                    <w:snapToGrid w:val="0"/>
                    <w:rPr>
                      <w:rFonts w:hint="eastAsia"/>
                    </w:rPr>
                  </w:pPr>
                  <w:r>
                    <w:rPr>
                      <w:rFonts w:hint="eastAsia"/>
                    </w:rPr>
                    <w:t>本项目不新建储能，储能按购买火电调节服务费方式执行，绿坪村光伏项目额定容量为50MW，本期储能规模按照项目额定容量的10%购买火电调节服务费。</w:t>
                  </w:r>
                </w:p>
              </w:tc>
              <w:tc>
                <w:tcPr>
                  <w:tcW w:w="568" w:type="pct"/>
                  <w:vAlign w:val="center"/>
                </w:tcPr>
                <w:p w14:paraId="41788F97">
                  <w:pPr>
                    <w:autoSpaceDE w:val="0"/>
                    <w:autoSpaceDN w:val="0"/>
                    <w:adjustRightInd w:val="0"/>
                    <w:snapToGrid w:val="0"/>
                    <w:jc w:val="center"/>
                  </w:pPr>
                </w:p>
              </w:tc>
            </w:tr>
            <w:tr w14:paraId="4149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Align w:val="center"/>
                </w:tcPr>
                <w:p w14:paraId="0394350A">
                  <w:pPr>
                    <w:adjustRightInd w:val="0"/>
                    <w:snapToGrid w:val="0"/>
                    <w:jc w:val="center"/>
                  </w:pPr>
                  <w:r>
                    <w:t>辅助工程</w:t>
                  </w:r>
                </w:p>
              </w:tc>
              <w:tc>
                <w:tcPr>
                  <w:tcW w:w="1178" w:type="pct"/>
                  <w:gridSpan w:val="2"/>
                  <w:vAlign w:val="center"/>
                </w:tcPr>
                <w:p w14:paraId="557F24EF">
                  <w:pPr>
                    <w:adjustRightInd w:val="0"/>
                    <w:snapToGrid w:val="0"/>
                    <w:jc w:val="center"/>
                  </w:pPr>
                  <w:r>
                    <w:t>道路</w:t>
                  </w:r>
                </w:p>
              </w:tc>
              <w:tc>
                <w:tcPr>
                  <w:tcW w:w="2604" w:type="pct"/>
                  <w:vAlign w:val="center"/>
                </w:tcPr>
                <w:p w14:paraId="7F96EF38">
                  <w:pPr>
                    <w:adjustRightInd w:val="0"/>
                    <w:snapToGrid w:val="0"/>
                  </w:pPr>
                  <w:bookmarkStart w:id="70" w:name="_Hlk230180287"/>
                  <w:r>
                    <w:rPr>
                      <w:rFonts w:hint="eastAsia"/>
                    </w:rPr>
                    <w:t>本项目共布置</w:t>
                  </w:r>
                  <w:r>
                    <w:t>15.87</w:t>
                  </w:r>
                  <w:r>
                    <w:rPr>
                      <w:rFonts w:hint="eastAsia"/>
                    </w:rPr>
                    <w:t>km</w:t>
                  </w:r>
                  <w:bookmarkStart w:id="71" w:name="OLE_LINK39"/>
                  <w:r>
                    <w:rPr>
                      <w:rFonts w:hint="eastAsia"/>
                    </w:rPr>
                    <w:t>场内道路</w:t>
                  </w:r>
                  <w:bookmarkEnd w:id="71"/>
                  <w:r>
                    <w:rPr>
                      <w:rFonts w:hint="eastAsia"/>
                    </w:rPr>
                    <w:t>，其中场内道路改扩建约</w:t>
                  </w:r>
                  <w:r>
                    <w:t>13.99</w:t>
                  </w:r>
                  <w:r>
                    <w:rPr>
                      <w:rFonts w:hint="eastAsia"/>
                    </w:rPr>
                    <w:t>km，场内新建道路</w:t>
                  </w:r>
                  <w:r>
                    <w:t>1.68</w:t>
                  </w:r>
                  <w:r>
                    <w:rPr>
                      <w:rFonts w:hint="eastAsia"/>
                    </w:rPr>
                    <w:t>km，进站道路</w:t>
                  </w:r>
                  <w:r>
                    <w:t>0.2</w:t>
                  </w:r>
                  <w:r>
                    <w:rPr>
                      <w:rFonts w:hint="eastAsia"/>
                    </w:rPr>
                    <w:t>km</w:t>
                  </w:r>
                  <w:bookmarkEnd w:id="70"/>
                  <w:r>
                    <w:rPr>
                      <w:rFonts w:hint="eastAsia"/>
                    </w:rPr>
                    <w:t>，路基宽度为4.0m，路面宽度为3.5m。</w:t>
                  </w:r>
                </w:p>
              </w:tc>
              <w:tc>
                <w:tcPr>
                  <w:tcW w:w="568" w:type="pct"/>
                  <w:vAlign w:val="center"/>
                </w:tcPr>
                <w:p w14:paraId="5FCACCB5">
                  <w:pPr>
                    <w:autoSpaceDE w:val="0"/>
                    <w:autoSpaceDN w:val="0"/>
                    <w:adjustRightInd w:val="0"/>
                    <w:snapToGrid w:val="0"/>
                    <w:jc w:val="center"/>
                  </w:pPr>
                  <w:r>
                    <w:rPr>
                      <w:rFonts w:hint="eastAsia"/>
                    </w:rPr>
                    <w:t>新建/改建</w:t>
                  </w:r>
                </w:p>
              </w:tc>
            </w:tr>
            <w:tr w14:paraId="727B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restart"/>
                  <w:vAlign w:val="center"/>
                </w:tcPr>
                <w:p w14:paraId="3BAD3BA4">
                  <w:pPr>
                    <w:adjustRightInd w:val="0"/>
                    <w:snapToGrid w:val="0"/>
                    <w:jc w:val="center"/>
                  </w:pPr>
                  <w:r>
                    <w:t>公用工程</w:t>
                  </w:r>
                </w:p>
              </w:tc>
              <w:tc>
                <w:tcPr>
                  <w:tcW w:w="1178" w:type="pct"/>
                  <w:gridSpan w:val="2"/>
                  <w:vAlign w:val="center"/>
                </w:tcPr>
                <w:p w14:paraId="202BF99A">
                  <w:pPr>
                    <w:adjustRightInd w:val="0"/>
                    <w:snapToGrid w:val="0"/>
                    <w:jc w:val="center"/>
                  </w:pPr>
                  <w:r>
                    <w:t>供水</w:t>
                  </w:r>
                </w:p>
              </w:tc>
              <w:tc>
                <w:tcPr>
                  <w:tcW w:w="2604" w:type="pct"/>
                  <w:vAlign w:val="center"/>
                </w:tcPr>
                <w:p w14:paraId="3D0081CA">
                  <w:pPr>
                    <w:adjustRightInd w:val="0"/>
                    <w:snapToGrid w:val="0"/>
                  </w:pPr>
                  <w:r>
                    <w:rPr>
                      <w:rFonts w:hint="eastAsia"/>
                    </w:rPr>
                    <w:t>施工用水由建筑施工用水、施工机械用水、生活用水和消防用水等组成，施工用水均取自站址附近的村庄；运行期生产用水、生活用水采用供水管网引接方式，直饮水采用桶装矿泉水。升压不建设生活区供水，依托现有的以礼河三级电站生活区供水。</w:t>
                  </w:r>
                </w:p>
              </w:tc>
              <w:tc>
                <w:tcPr>
                  <w:tcW w:w="568" w:type="pct"/>
                  <w:vAlign w:val="center"/>
                </w:tcPr>
                <w:p w14:paraId="3783F48C">
                  <w:pPr>
                    <w:adjustRightInd w:val="0"/>
                    <w:snapToGrid w:val="0"/>
                    <w:jc w:val="center"/>
                  </w:pPr>
                  <w:r>
                    <w:t>/</w:t>
                  </w:r>
                </w:p>
              </w:tc>
            </w:tr>
            <w:tr w14:paraId="616D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7C4AC561">
                  <w:pPr>
                    <w:adjustRightInd w:val="0"/>
                    <w:snapToGrid w:val="0"/>
                    <w:jc w:val="center"/>
                  </w:pPr>
                </w:p>
              </w:tc>
              <w:tc>
                <w:tcPr>
                  <w:tcW w:w="1178" w:type="pct"/>
                  <w:gridSpan w:val="2"/>
                  <w:vMerge w:val="restart"/>
                  <w:vAlign w:val="center"/>
                </w:tcPr>
                <w:p w14:paraId="7AB790BE">
                  <w:pPr>
                    <w:adjustRightInd w:val="0"/>
                    <w:snapToGrid w:val="0"/>
                    <w:jc w:val="center"/>
                  </w:pPr>
                  <w:r>
                    <w:rPr>
                      <w:rFonts w:hint="eastAsia"/>
                    </w:rPr>
                    <w:t>排水</w:t>
                  </w:r>
                </w:p>
              </w:tc>
              <w:tc>
                <w:tcPr>
                  <w:tcW w:w="2604" w:type="pct"/>
                  <w:vAlign w:val="center"/>
                </w:tcPr>
                <w:p w14:paraId="5901ADE3">
                  <w:pPr>
                    <w:adjustRightInd w:val="0"/>
                    <w:snapToGrid w:val="0"/>
                    <w:rPr>
                      <w:rFonts w:hint="eastAsia"/>
                    </w:rPr>
                  </w:pPr>
                  <w:r>
                    <w:rPr>
                      <w:rFonts w:hint="eastAsia"/>
                    </w:rPr>
                    <w:t>利用罐车等途径从周边村庄或河流取水，以人工辅助的方式对太阳能板进行清洁擦拭，所产生的清洗废水全部排放在光伏板下方的草地，不向外排放。</w:t>
                  </w:r>
                </w:p>
              </w:tc>
              <w:tc>
                <w:tcPr>
                  <w:tcW w:w="568" w:type="pct"/>
                  <w:vAlign w:val="center"/>
                </w:tcPr>
                <w:p w14:paraId="26828A0C">
                  <w:pPr>
                    <w:autoSpaceDE w:val="0"/>
                    <w:autoSpaceDN w:val="0"/>
                    <w:adjustRightInd w:val="0"/>
                    <w:jc w:val="center"/>
                  </w:pPr>
                  <w:r>
                    <w:rPr>
                      <w:rFonts w:hint="eastAsia"/>
                    </w:rPr>
                    <w:t>/</w:t>
                  </w:r>
                </w:p>
              </w:tc>
            </w:tr>
            <w:tr w14:paraId="283C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413936A3">
                  <w:pPr>
                    <w:adjustRightInd w:val="0"/>
                    <w:snapToGrid w:val="0"/>
                    <w:jc w:val="center"/>
                  </w:pPr>
                </w:p>
              </w:tc>
              <w:tc>
                <w:tcPr>
                  <w:tcW w:w="1178" w:type="pct"/>
                  <w:gridSpan w:val="2"/>
                  <w:vMerge w:val="continue"/>
                  <w:vAlign w:val="center"/>
                </w:tcPr>
                <w:p w14:paraId="242C03FA">
                  <w:pPr>
                    <w:adjustRightInd w:val="0"/>
                    <w:snapToGrid w:val="0"/>
                    <w:jc w:val="center"/>
                  </w:pPr>
                </w:p>
              </w:tc>
              <w:tc>
                <w:tcPr>
                  <w:tcW w:w="2604" w:type="pct"/>
                  <w:vAlign w:val="center"/>
                </w:tcPr>
                <w:p w14:paraId="58200F28">
                  <w:pPr>
                    <w:topLinePunct/>
                  </w:pPr>
                  <w:r>
                    <w:rPr>
                      <w:rFonts w:hint="eastAsia"/>
                    </w:rPr>
                    <w:t>以礼河三级电站厂区内</w:t>
                  </w:r>
                  <w:r>
                    <w:t>实行雨污分流，生活污水</w:t>
                  </w:r>
                  <w:r>
                    <w:rPr>
                      <w:rFonts w:hint="eastAsia"/>
                    </w:rPr>
                    <w:t>汇集后流入以礼河三级电站化粪池，经化粪池澄清过滤后进入污水处理设备（以新代老），废水处理达《污水综合排放标准》（GB 8978-1996）后进入中水池，不外排；回用于绿化、降尘时，应满足《城市污水再生利用 城市杂用水水质》（GB/T</w:t>
                  </w:r>
                  <w:r>
                    <w:t xml:space="preserve"> </w:t>
                  </w:r>
                  <w:r>
                    <w:rPr>
                      <w:rFonts w:hint="eastAsia"/>
                    </w:rPr>
                    <w:t>18920-2020）绿化标准</w:t>
                  </w:r>
                  <w:r>
                    <w:t>。</w:t>
                  </w:r>
                  <w:r>
                    <w:rPr>
                      <w:rFonts w:hint="eastAsia"/>
                    </w:rPr>
                    <w:t>以礼河三级电站雨水则通过雨水排水沟，沿道路两侧及建筑周围布置，将雨水直接排出。</w:t>
                  </w:r>
                </w:p>
              </w:tc>
              <w:tc>
                <w:tcPr>
                  <w:tcW w:w="568" w:type="pct"/>
                  <w:vAlign w:val="center"/>
                </w:tcPr>
                <w:p w14:paraId="3A39A6C2">
                  <w:pPr>
                    <w:autoSpaceDE w:val="0"/>
                    <w:autoSpaceDN w:val="0"/>
                    <w:adjustRightInd w:val="0"/>
                    <w:jc w:val="center"/>
                  </w:pPr>
                  <w:r>
                    <w:rPr>
                      <w:rFonts w:hint="eastAsia"/>
                    </w:rPr>
                    <w:t>/</w:t>
                  </w:r>
                </w:p>
              </w:tc>
            </w:tr>
            <w:tr w14:paraId="3448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005515B4">
                  <w:pPr>
                    <w:adjustRightInd w:val="0"/>
                    <w:snapToGrid w:val="0"/>
                    <w:jc w:val="center"/>
                  </w:pPr>
                </w:p>
              </w:tc>
              <w:tc>
                <w:tcPr>
                  <w:tcW w:w="1178" w:type="pct"/>
                  <w:gridSpan w:val="2"/>
                  <w:vAlign w:val="center"/>
                </w:tcPr>
                <w:p w14:paraId="634906A8">
                  <w:pPr>
                    <w:adjustRightInd w:val="0"/>
                    <w:snapToGrid w:val="0"/>
                    <w:jc w:val="center"/>
                  </w:pPr>
                  <w:r>
                    <w:t>供电</w:t>
                  </w:r>
                </w:p>
              </w:tc>
              <w:tc>
                <w:tcPr>
                  <w:tcW w:w="2604" w:type="pct"/>
                  <w:vAlign w:val="center"/>
                </w:tcPr>
                <w:p w14:paraId="4B1F06FE">
                  <w:pPr>
                    <w:adjustRightInd w:val="0"/>
                    <w:snapToGrid w:val="0"/>
                  </w:pPr>
                  <w:r>
                    <w:rPr>
                      <w:rFonts w:hint="eastAsia"/>
                    </w:rPr>
                    <w:t>光伏厂区：</w:t>
                  </w:r>
                  <w:r>
                    <w:t>施工用电由10</w:t>
                  </w:r>
                  <w:r>
                    <w:rPr>
                      <w:rFonts w:hint="eastAsia"/>
                    </w:rPr>
                    <w:t>kV</w:t>
                  </w:r>
                  <w:r>
                    <w:t>线路引接作为电源，长度约4km，距离较远处施工及紧急备用电源采用柴油发电机供电。</w:t>
                  </w:r>
                </w:p>
                <w:p w14:paraId="7EF21AFA">
                  <w:pPr>
                    <w:pStyle w:val="29"/>
                    <w:spacing w:after="0"/>
                    <w:ind w:left="0" w:leftChars="0" w:firstLine="0" w:firstLineChars="0"/>
                    <w:jc w:val="left"/>
                  </w:pPr>
                  <w:r>
                    <w:rPr>
                      <w:rFonts w:hint="eastAsia"/>
                    </w:rPr>
                    <w:t>升压站：施工利用</w:t>
                  </w:r>
                  <w:r>
                    <w:rPr>
                      <w:rFonts w:hint="eastAsia"/>
                      <w:szCs w:val="21"/>
                    </w:rPr>
                    <w:t>以礼河三级电站电源供电。</w:t>
                  </w:r>
                </w:p>
              </w:tc>
              <w:tc>
                <w:tcPr>
                  <w:tcW w:w="568" w:type="pct"/>
                  <w:vAlign w:val="center"/>
                </w:tcPr>
                <w:p w14:paraId="6DDD4D7C">
                  <w:pPr>
                    <w:autoSpaceDE w:val="0"/>
                    <w:autoSpaceDN w:val="0"/>
                    <w:adjustRightInd w:val="0"/>
                    <w:jc w:val="center"/>
                  </w:pPr>
                  <w:r>
                    <w:t>新建</w:t>
                  </w:r>
                </w:p>
              </w:tc>
            </w:tr>
            <w:tr w14:paraId="1A0B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6E28703E">
                  <w:pPr>
                    <w:adjustRightInd w:val="0"/>
                    <w:snapToGrid w:val="0"/>
                    <w:jc w:val="center"/>
                  </w:pPr>
                </w:p>
              </w:tc>
              <w:tc>
                <w:tcPr>
                  <w:tcW w:w="1178" w:type="pct"/>
                  <w:gridSpan w:val="2"/>
                  <w:vAlign w:val="center"/>
                </w:tcPr>
                <w:p w14:paraId="68DF0369">
                  <w:pPr>
                    <w:adjustRightInd w:val="0"/>
                    <w:snapToGrid w:val="0"/>
                    <w:jc w:val="center"/>
                  </w:pPr>
                  <w:r>
                    <w:t>消防</w:t>
                  </w:r>
                </w:p>
              </w:tc>
              <w:tc>
                <w:tcPr>
                  <w:tcW w:w="2604" w:type="pct"/>
                  <w:vAlign w:val="center"/>
                </w:tcPr>
                <w:p w14:paraId="50D7FD79">
                  <w:pPr>
                    <w:adjustRightInd w:val="0"/>
                    <w:snapToGrid w:val="0"/>
                  </w:pPr>
                  <w:r>
                    <w:t>各建筑物内配置手提式干粉灭火器，</w:t>
                  </w:r>
                  <w:r>
                    <w:rPr>
                      <w:rFonts w:hint="eastAsia"/>
                    </w:rPr>
                    <w:t>并在升压站东部设置消防水池和一体化消防泵站</w:t>
                  </w:r>
                  <w:r>
                    <w:t>。</w:t>
                  </w:r>
                </w:p>
              </w:tc>
              <w:tc>
                <w:tcPr>
                  <w:tcW w:w="568" w:type="pct"/>
                  <w:vAlign w:val="center"/>
                </w:tcPr>
                <w:p w14:paraId="34C7AF60">
                  <w:pPr>
                    <w:adjustRightInd w:val="0"/>
                    <w:snapToGrid w:val="0"/>
                    <w:jc w:val="center"/>
                  </w:pPr>
                  <w:r>
                    <w:rPr>
                      <w:rFonts w:hint="eastAsia"/>
                    </w:rPr>
                    <w:t>新建</w:t>
                  </w:r>
                </w:p>
              </w:tc>
            </w:tr>
            <w:tr w14:paraId="2EDF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restart"/>
                  <w:vAlign w:val="center"/>
                </w:tcPr>
                <w:p w14:paraId="2DD0C59F">
                  <w:pPr>
                    <w:adjustRightInd w:val="0"/>
                    <w:snapToGrid w:val="0"/>
                    <w:jc w:val="center"/>
                  </w:pPr>
                  <w:r>
                    <w:t>环保工程</w:t>
                  </w:r>
                </w:p>
              </w:tc>
              <w:tc>
                <w:tcPr>
                  <w:tcW w:w="1178" w:type="pct"/>
                  <w:gridSpan w:val="2"/>
                  <w:vAlign w:val="center"/>
                </w:tcPr>
                <w:p w14:paraId="3DAA0841">
                  <w:pPr>
                    <w:jc w:val="center"/>
                  </w:pPr>
                  <w:r>
                    <w:t>标识牌</w:t>
                  </w:r>
                </w:p>
              </w:tc>
              <w:tc>
                <w:tcPr>
                  <w:tcW w:w="2604" w:type="pct"/>
                  <w:vAlign w:val="center"/>
                </w:tcPr>
                <w:p w14:paraId="21FFF24E">
                  <w:pPr>
                    <w:jc w:val="left"/>
                    <w:rPr>
                      <w:rFonts w:hint="eastAsia"/>
                    </w:rPr>
                  </w:pPr>
                  <w:r>
                    <w:t>分散在项目周围设置环保宣传牌及环境保护警示牌</w:t>
                  </w:r>
                  <w:r>
                    <w:rPr>
                      <w:rFonts w:hint="eastAsia"/>
                    </w:rPr>
                    <w:t>。</w:t>
                  </w:r>
                </w:p>
              </w:tc>
              <w:tc>
                <w:tcPr>
                  <w:tcW w:w="568" w:type="pct"/>
                  <w:vAlign w:val="center"/>
                </w:tcPr>
                <w:p w14:paraId="52D6A91E">
                  <w:pPr>
                    <w:jc w:val="center"/>
                  </w:pPr>
                  <w:r>
                    <w:t>新增</w:t>
                  </w:r>
                </w:p>
              </w:tc>
            </w:tr>
            <w:tr w14:paraId="2334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669DDC78">
                  <w:pPr>
                    <w:adjustRightInd w:val="0"/>
                    <w:snapToGrid w:val="0"/>
                    <w:jc w:val="center"/>
                  </w:pPr>
                </w:p>
              </w:tc>
              <w:tc>
                <w:tcPr>
                  <w:tcW w:w="1178" w:type="pct"/>
                  <w:gridSpan w:val="2"/>
                  <w:vAlign w:val="center"/>
                </w:tcPr>
                <w:p w14:paraId="32785253">
                  <w:pPr>
                    <w:adjustRightInd w:val="0"/>
                    <w:snapToGrid w:val="0"/>
                    <w:jc w:val="center"/>
                    <w:rPr>
                      <w:rFonts w:hint="eastAsia"/>
                    </w:rPr>
                  </w:pPr>
                  <w:r>
                    <w:rPr>
                      <w:rFonts w:hint="eastAsia"/>
                    </w:rPr>
                    <w:t>噪声</w:t>
                  </w:r>
                </w:p>
              </w:tc>
              <w:tc>
                <w:tcPr>
                  <w:tcW w:w="2604" w:type="pct"/>
                </w:tcPr>
                <w:p w14:paraId="4ED3472D">
                  <w:pPr>
                    <w:adjustRightInd w:val="0"/>
                    <w:snapToGrid w:val="0"/>
                    <w:rPr>
                      <w:snapToGrid w:val="0"/>
                      <w:color w:val="000000"/>
                      <w:kern w:val="0"/>
                    </w:rPr>
                  </w:pPr>
                  <w:r>
                    <w:rPr>
                      <w:rFonts w:hint="eastAsia"/>
                    </w:rPr>
                    <w:t>施工期合理安排施工时间，夜间不施工，并在施工场地周围张贴告示并与周边居民提前进行沟通，并在施工时选用低噪声设备，使用隔声围挡，优化保护目标周边的光伏板布置，</w:t>
                  </w:r>
                  <w:bookmarkStart w:id="72" w:name="_Hlk230180515"/>
                  <w:r>
                    <w:rPr>
                      <w:snapToGrid w:val="0"/>
                      <w:color w:val="000000"/>
                      <w:kern w:val="0"/>
                    </w:rPr>
                    <w:t>针对昼间施工期噪声超标的居民点</w:t>
                  </w:r>
                  <w:r>
                    <w:rPr>
                      <w:rFonts w:hint="eastAsia"/>
                      <w:snapToGrid w:val="0"/>
                      <w:color w:val="000000"/>
                      <w:kern w:val="0"/>
                    </w:rPr>
                    <w:t>一侧</w:t>
                  </w:r>
                  <w:r>
                    <w:rPr>
                      <w:snapToGrid w:val="0"/>
                      <w:color w:val="000000"/>
                      <w:kern w:val="0"/>
                    </w:rPr>
                    <w:t>设置隔声</w:t>
                  </w:r>
                  <w:r>
                    <w:rPr>
                      <w:rFonts w:hint="eastAsia"/>
                      <w:snapToGrid w:val="0"/>
                      <w:color w:val="000000"/>
                      <w:kern w:val="0"/>
                    </w:rPr>
                    <w:t>屏障</w:t>
                  </w:r>
                  <w:bookmarkEnd w:id="72"/>
                  <w:r>
                    <w:rPr>
                      <w:rFonts w:hint="eastAsia"/>
                      <w:snapToGrid w:val="0"/>
                      <w:color w:val="000000"/>
                      <w:kern w:val="0"/>
                    </w:rPr>
                    <w:t>。</w:t>
                  </w:r>
                </w:p>
                <w:p w14:paraId="3B83CC96">
                  <w:pPr>
                    <w:adjustRightInd w:val="0"/>
                    <w:snapToGrid w:val="0"/>
                    <w:rPr>
                      <w:rFonts w:hint="eastAsia"/>
                    </w:rPr>
                  </w:pPr>
                  <w:r>
                    <w:rPr>
                      <w:rFonts w:hint="eastAsia"/>
                    </w:rPr>
                    <w:t>运行期从噪声源方面，选用低噪声设备，并加强设备维护，采取箱式变压器设置于箱变房内，逆变器设置于逆变器箱内密闭隔声。</w:t>
                  </w:r>
                </w:p>
              </w:tc>
              <w:tc>
                <w:tcPr>
                  <w:tcW w:w="568" w:type="pct"/>
                  <w:vAlign w:val="center"/>
                </w:tcPr>
                <w:p w14:paraId="4C066B76">
                  <w:pPr>
                    <w:adjustRightInd w:val="0"/>
                    <w:snapToGrid w:val="0"/>
                    <w:jc w:val="center"/>
                  </w:pPr>
                  <w:r>
                    <w:rPr>
                      <w:rFonts w:hint="eastAsia"/>
                    </w:rPr>
                    <w:t>新增</w:t>
                  </w:r>
                </w:p>
              </w:tc>
            </w:tr>
            <w:tr w14:paraId="5772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4DA9A709">
                  <w:pPr>
                    <w:adjustRightInd w:val="0"/>
                    <w:snapToGrid w:val="0"/>
                    <w:jc w:val="center"/>
                  </w:pPr>
                </w:p>
              </w:tc>
              <w:tc>
                <w:tcPr>
                  <w:tcW w:w="627" w:type="pct"/>
                  <w:vMerge w:val="restart"/>
                  <w:vAlign w:val="center"/>
                </w:tcPr>
                <w:p w14:paraId="208AAA1B">
                  <w:pPr>
                    <w:adjustRightInd w:val="0"/>
                    <w:snapToGrid w:val="0"/>
                    <w:jc w:val="center"/>
                  </w:pPr>
                  <w:r>
                    <w:t>固废</w:t>
                  </w:r>
                </w:p>
              </w:tc>
              <w:tc>
                <w:tcPr>
                  <w:tcW w:w="551" w:type="pct"/>
                  <w:vAlign w:val="center"/>
                </w:tcPr>
                <w:p w14:paraId="69EB5112">
                  <w:pPr>
                    <w:adjustRightInd w:val="0"/>
                    <w:snapToGrid w:val="0"/>
                    <w:jc w:val="center"/>
                  </w:pPr>
                  <w:r>
                    <w:t>生活垃圾桶</w:t>
                  </w:r>
                </w:p>
              </w:tc>
              <w:tc>
                <w:tcPr>
                  <w:tcW w:w="2604" w:type="pct"/>
                  <w:vAlign w:val="center"/>
                </w:tcPr>
                <w:p w14:paraId="3C7B5EC0">
                  <w:pPr>
                    <w:adjustRightInd w:val="0"/>
                    <w:snapToGrid w:val="0"/>
                  </w:pPr>
                  <w:r>
                    <w:t>施工期</w:t>
                  </w:r>
                  <w:r>
                    <w:rPr>
                      <w:rFonts w:hint="eastAsia"/>
                    </w:rPr>
                    <w:t>施工人员租住在周边农户，生活垃圾纳入当地环卫系统，</w:t>
                  </w:r>
                  <w:r>
                    <w:t>产生的垃圾分类收集，能回收利用的回收利用，不能回收利用的集中收集后委托环卫</w:t>
                  </w:r>
                  <w:r>
                    <w:rPr>
                      <w:rFonts w:hint="eastAsia"/>
                    </w:rPr>
                    <w:t>单位</w:t>
                  </w:r>
                  <w:r>
                    <w:t>定期清运</w:t>
                  </w:r>
                  <w:r>
                    <w:rPr>
                      <w:rFonts w:hint="eastAsia"/>
                    </w:rPr>
                    <w:t>。升压站施工人员生活垃圾依托以礼河三级电站现有设施收集并定期外运。</w:t>
                  </w:r>
                </w:p>
                <w:p w14:paraId="203DD8A8">
                  <w:pPr>
                    <w:adjustRightInd w:val="0"/>
                    <w:snapToGrid w:val="0"/>
                    <w:rPr>
                      <w:rFonts w:hint="eastAsia"/>
                    </w:rPr>
                  </w:pPr>
                  <w:r>
                    <w:rPr>
                      <w:rFonts w:hint="eastAsia"/>
                    </w:rPr>
                    <w:t>运行期能回用的尽量回收利用，不能回用的定期运至附近村庄垃圾收集点，由当地环卫部门处置。</w:t>
                  </w:r>
                </w:p>
              </w:tc>
              <w:tc>
                <w:tcPr>
                  <w:tcW w:w="568" w:type="pct"/>
                  <w:vAlign w:val="center"/>
                </w:tcPr>
                <w:p w14:paraId="2442B818">
                  <w:pPr>
                    <w:adjustRightInd w:val="0"/>
                    <w:snapToGrid w:val="0"/>
                    <w:jc w:val="center"/>
                    <w:rPr>
                      <w:rFonts w:hint="eastAsia"/>
                    </w:rPr>
                  </w:pPr>
                  <w:r>
                    <w:rPr>
                      <w:rFonts w:hint="eastAsia"/>
                    </w:rPr>
                    <w:t>新增/依托</w:t>
                  </w:r>
                </w:p>
              </w:tc>
            </w:tr>
            <w:tr w14:paraId="45AE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28217210">
                  <w:pPr>
                    <w:adjustRightInd w:val="0"/>
                    <w:snapToGrid w:val="0"/>
                    <w:jc w:val="center"/>
                  </w:pPr>
                </w:p>
              </w:tc>
              <w:tc>
                <w:tcPr>
                  <w:tcW w:w="627" w:type="pct"/>
                  <w:vMerge w:val="continue"/>
                  <w:vAlign w:val="center"/>
                </w:tcPr>
                <w:p w14:paraId="64D4903A">
                  <w:pPr>
                    <w:adjustRightInd w:val="0"/>
                    <w:snapToGrid w:val="0"/>
                    <w:jc w:val="center"/>
                  </w:pPr>
                </w:p>
              </w:tc>
              <w:tc>
                <w:tcPr>
                  <w:tcW w:w="551" w:type="pct"/>
                  <w:vAlign w:val="center"/>
                </w:tcPr>
                <w:p w14:paraId="28963151">
                  <w:pPr>
                    <w:adjustRightInd w:val="0"/>
                    <w:snapToGrid w:val="0"/>
                    <w:jc w:val="center"/>
                  </w:pPr>
                  <w:r>
                    <w:rPr>
                      <w:rFonts w:hint="eastAsia"/>
                    </w:rPr>
                    <w:t>危险废物贮存间</w:t>
                  </w:r>
                </w:p>
              </w:tc>
              <w:tc>
                <w:tcPr>
                  <w:tcW w:w="2604" w:type="pct"/>
                  <w:vAlign w:val="center"/>
                </w:tcPr>
                <w:p w14:paraId="702D60DE">
                  <w:pPr>
                    <w:adjustRightInd w:val="0"/>
                    <w:snapToGrid w:val="0"/>
                    <w:rPr>
                      <w:rFonts w:hint="eastAsia"/>
                    </w:rPr>
                  </w:pPr>
                  <w:r>
                    <w:rPr>
                      <w:rFonts w:hint="eastAsia"/>
                    </w:rPr>
                    <w:t>项目</w:t>
                  </w:r>
                  <w:bookmarkStart w:id="73" w:name="OLE_LINK40"/>
                  <w:r>
                    <w:rPr>
                      <w:rFonts w:hint="eastAsia"/>
                    </w:rPr>
                    <w:t>升压站场地设置一间20m</w:t>
                  </w:r>
                  <w:r>
                    <w:rPr>
                      <w:rFonts w:hint="eastAsia"/>
                      <w:vertAlign w:val="superscript"/>
                    </w:rPr>
                    <w:t>2</w:t>
                  </w:r>
                  <w:r>
                    <w:rPr>
                      <w:rFonts w:hint="eastAsia"/>
                    </w:rPr>
                    <w:t>危废贮存间</w:t>
                  </w:r>
                  <w:bookmarkEnd w:id="73"/>
                  <w:r>
                    <w:rPr>
                      <w:rFonts w:hint="eastAsia"/>
                    </w:rPr>
                    <w:t>，用于</w:t>
                  </w:r>
                  <w:r>
                    <w:t>危险</w:t>
                  </w:r>
                  <w:r>
                    <w:rPr>
                      <w:rFonts w:hint="eastAsia"/>
                    </w:rPr>
                    <w:t>废物贮存。（危险废物</w:t>
                  </w:r>
                  <w:r>
                    <w:t>主要为35</w:t>
                  </w:r>
                  <w:r>
                    <w:rPr>
                      <w:rFonts w:hint="eastAsia"/>
                    </w:rPr>
                    <w:t>kV</w:t>
                  </w:r>
                  <w:r>
                    <w:t>箱变、主变压器、无功补偿装置SVG检修及发生事故时产生的事故油，变压器检修和发生事故时会产生废矿物油</w:t>
                  </w:r>
                  <w:r>
                    <w:rPr>
                      <w:rFonts w:hint="eastAsia"/>
                    </w:rPr>
                    <w:t>，以及废旧蓄电池）。危废贮存间严格按照《危险废物贮存污染控制标准》（</w:t>
                  </w:r>
                  <w:r>
                    <w:t>GB 18597-2023</w:t>
                  </w:r>
                  <w:r>
                    <w:rPr>
                      <w:rFonts w:hint="eastAsia"/>
                    </w:rPr>
                    <w:t>）要求进行建设，危废贮存间须密闭，危废间的防渗标准要达到贮存的危险废物直接接触地面的，还应进行基础防渗，防渗层为至少1m厚黏土层（渗透系数不大于10</w:t>
                  </w:r>
                  <w:r>
                    <w:rPr>
                      <w:rFonts w:hint="eastAsia"/>
                      <w:vertAlign w:val="superscript"/>
                    </w:rPr>
                    <w:t>-7</w:t>
                  </w:r>
                  <w:r>
                    <w:rPr>
                      <w:rFonts w:hint="eastAsia"/>
                    </w:rPr>
                    <w:t>cm/s），或至少2mm厚高密度聚乙烯膜等人工防渗材料（渗透系数不大于10</w:t>
                  </w:r>
                  <w:r>
                    <w:rPr>
                      <w:rFonts w:hint="eastAsia"/>
                      <w:vertAlign w:val="superscript"/>
                    </w:rPr>
                    <w:t>-10</w:t>
                  </w:r>
                  <w:r>
                    <w:rPr>
                      <w:rFonts w:hint="eastAsia"/>
                    </w:rPr>
                    <w:t>cm/s），或其他防渗性能等效的材料。设置危险废物识别标志、警示标志，悬挂危废管理台账。并与有危废处置资质的单位签订危废处置协议，由资质单位对危险废物进行处置。</w:t>
                  </w:r>
                </w:p>
              </w:tc>
              <w:tc>
                <w:tcPr>
                  <w:tcW w:w="568" w:type="pct"/>
                  <w:vAlign w:val="center"/>
                </w:tcPr>
                <w:p w14:paraId="42F12062">
                  <w:pPr>
                    <w:adjustRightInd w:val="0"/>
                    <w:snapToGrid w:val="0"/>
                    <w:jc w:val="center"/>
                  </w:pPr>
                  <w:r>
                    <w:t>新建</w:t>
                  </w:r>
                </w:p>
              </w:tc>
            </w:tr>
            <w:tr w14:paraId="79C1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6230B2B2">
                  <w:pPr>
                    <w:adjustRightInd w:val="0"/>
                    <w:snapToGrid w:val="0"/>
                    <w:jc w:val="center"/>
                  </w:pPr>
                </w:p>
              </w:tc>
              <w:tc>
                <w:tcPr>
                  <w:tcW w:w="627" w:type="pct"/>
                  <w:vMerge w:val="continue"/>
                  <w:vAlign w:val="center"/>
                </w:tcPr>
                <w:p w14:paraId="41A72141">
                  <w:pPr>
                    <w:adjustRightInd w:val="0"/>
                    <w:snapToGrid w:val="0"/>
                    <w:jc w:val="center"/>
                  </w:pPr>
                </w:p>
              </w:tc>
              <w:tc>
                <w:tcPr>
                  <w:tcW w:w="551" w:type="pct"/>
                  <w:vAlign w:val="center"/>
                </w:tcPr>
                <w:p w14:paraId="6A067AD6">
                  <w:pPr>
                    <w:adjustRightInd w:val="0"/>
                    <w:snapToGrid w:val="0"/>
                    <w:jc w:val="center"/>
                  </w:pPr>
                  <w:r>
                    <w:rPr>
                      <w:rFonts w:hint="eastAsia"/>
                    </w:rPr>
                    <w:t>一般固废</w:t>
                  </w:r>
                </w:p>
              </w:tc>
              <w:tc>
                <w:tcPr>
                  <w:tcW w:w="2604" w:type="pct"/>
                  <w:vAlign w:val="center"/>
                </w:tcPr>
                <w:p w14:paraId="348CB51C">
                  <w:pPr>
                    <w:adjustRightInd w:val="0"/>
                    <w:snapToGrid w:val="0"/>
                  </w:pPr>
                  <w:r>
                    <w:rPr>
                      <w:rFonts w:hint="eastAsia"/>
                    </w:rPr>
                    <w:t>施工期产生的建筑垃圾运送到指定的垃圾收集点进行处理，不随便丢弃；产生的土石方项目内动态平衡，不产生弃方；安装过程中出现的废电池板与少量钢构件统一收集后售卖或返厂统一处置；沉砂池中的泥沙定期清掏。</w:t>
                  </w:r>
                </w:p>
                <w:p w14:paraId="063C8F1D">
                  <w:pPr>
                    <w:adjustRightInd w:val="0"/>
                    <w:snapToGrid w:val="0"/>
                  </w:pPr>
                  <w:r>
                    <w:rPr>
                      <w:rFonts w:hint="eastAsia"/>
                    </w:rPr>
                    <w:t>运营期污水处理设施污泥与废电池板等一般固废定期收集后进行处理，污泥定期清掏，废电池板在更换时直接由厂家带走回收处置。</w:t>
                  </w:r>
                </w:p>
              </w:tc>
              <w:tc>
                <w:tcPr>
                  <w:tcW w:w="568" w:type="pct"/>
                  <w:vAlign w:val="center"/>
                </w:tcPr>
                <w:p w14:paraId="69DC8AA4">
                  <w:pPr>
                    <w:adjustRightInd w:val="0"/>
                    <w:snapToGrid w:val="0"/>
                    <w:jc w:val="center"/>
                    <w:rPr>
                      <w:rFonts w:hint="eastAsia"/>
                    </w:rPr>
                  </w:pPr>
                  <w:r>
                    <w:rPr>
                      <w:rFonts w:hint="eastAsia"/>
                    </w:rPr>
                    <w:t>/</w:t>
                  </w:r>
                </w:p>
              </w:tc>
            </w:tr>
            <w:tr w14:paraId="214F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3F7F8DEA">
                  <w:pPr>
                    <w:adjustRightInd w:val="0"/>
                    <w:snapToGrid w:val="0"/>
                    <w:jc w:val="center"/>
                  </w:pPr>
                </w:p>
              </w:tc>
              <w:tc>
                <w:tcPr>
                  <w:tcW w:w="627" w:type="pct"/>
                  <w:vMerge w:val="restart"/>
                  <w:vAlign w:val="center"/>
                </w:tcPr>
                <w:p w14:paraId="470F22B8">
                  <w:pPr>
                    <w:adjustRightInd w:val="0"/>
                    <w:snapToGrid w:val="0"/>
                    <w:jc w:val="center"/>
                  </w:pPr>
                  <w:r>
                    <w:t>废水</w:t>
                  </w:r>
                </w:p>
              </w:tc>
              <w:tc>
                <w:tcPr>
                  <w:tcW w:w="551" w:type="pct"/>
                  <w:vAlign w:val="center"/>
                </w:tcPr>
                <w:p w14:paraId="49AB6F0C">
                  <w:pPr>
                    <w:adjustRightInd w:val="0"/>
                    <w:snapToGrid w:val="0"/>
                    <w:jc w:val="center"/>
                  </w:pPr>
                  <w:r>
                    <w:rPr>
                      <w:rFonts w:hint="eastAsia"/>
                    </w:rPr>
                    <w:t>清洗池</w:t>
                  </w:r>
                </w:p>
              </w:tc>
              <w:tc>
                <w:tcPr>
                  <w:tcW w:w="2604" w:type="pct"/>
                  <w:vMerge w:val="restart"/>
                  <w:vAlign w:val="center"/>
                </w:tcPr>
                <w:p w14:paraId="4BC628EA">
                  <w:pPr>
                    <w:adjustRightInd w:val="0"/>
                    <w:snapToGrid w:val="0"/>
                  </w:pPr>
                  <w:bookmarkStart w:id="74" w:name="OLE_LINK41"/>
                  <w:r>
                    <w:rPr>
                      <w:rFonts w:hint="eastAsia"/>
                    </w:rPr>
                    <w:t>施工期在光伏场区施工场地内设置多个1m</w:t>
                  </w:r>
                  <w:r>
                    <w:rPr>
                      <w:rFonts w:hint="eastAsia"/>
                      <w:vertAlign w:val="superscript"/>
                    </w:rPr>
                    <w:t>3</w:t>
                  </w:r>
                  <w:r>
                    <w:rPr>
                      <w:rFonts w:hint="eastAsia"/>
                    </w:rPr>
                    <w:t>清洗池，并在施工场地以及光伏场区排水沟的末端设置永临结合的1.5m</w:t>
                  </w:r>
                  <w:r>
                    <w:rPr>
                      <w:rFonts w:hint="eastAsia"/>
                      <w:vertAlign w:val="superscript"/>
                    </w:rPr>
                    <w:t>3</w:t>
                  </w:r>
                  <w:r>
                    <w:rPr>
                      <w:rFonts w:hint="eastAsia"/>
                    </w:rPr>
                    <w:t>沉淀池</w:t>
                  </w:r>
                  <w:bookmarkEnd w:id="74"/>
                  <w:r>
                    <w:rPr>
                      <w:rFonts w:hint="eastAsia"/>
                    </w:rPr>
                    <w:t>。</w:t>
                  </w:r>
                </w:p>
              </w:tc>
              <w:tc>
                <w:tcPr>
                  <w:tcW w:w="568" w:type="pct"/>
                  <w:vAlign w:val="center"/>
                </w:tcPr>
                <w:p w14:paraId="1FE6C707">
                  <w:pPr>
                    <w:jc w:val="center"/>
                  </w:pPr>
                  <w:r>
                    <w:t>新建</w:t>
                  </w:r>
                </w:p>
              </w:tc>
            </w:tr>
            <w:tr w14:paraId="5E02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2E60E1BB">
                  <w:pPr>
                    <w:adjustRightInd w:val="0"/>
                    <w:snapToGrid w:val="0"/>
                    <w:jc w:val="center"/>
                  </w:pPr>
                </w:p>
              </w:tc>
              <w:tc>
                <w:tcPr>
                  <w:tcW w:w="627" w:type="pct"/>
                  <w:vMerge w:val="continue"/>
                  <w:vAlign w:val="center"/>
                </w:tcPr>
                <w:p w14:paraId="4CCE4BB0">
                  <w:pPr>
                    <w:adjustRightInd w:val="0"/>
                    <w:snapToGrid w:val="0"/>
                    <w:jc w:val="center"/>
                  </w:pPr>
                </w:p>
              </w:tc>
              <w:tc>
                <w:tcPr>
                  <w:tcW w:w="551" w:type="pct"/>
                  <w:vAlign w:val="center"/>
                </w:tcPr>
                <w:p w14:paraId="7C770674">
                  <w:pPr>
                    <w:adjustRightInd w:val="0"/>
                    <w:snapToGrid w:val="0"/>
                    <w:jc w:val="center"/>
                  </w:pPr>
                  <w:r>
                    <w:rPr>
                      <w:rFonts w:hint="eastAsia"/>
                    </w:rPr>
                    <w:t>沉淀池</w:t>
                  </w:r>
                </w:p>
              </w:tc>
              <w:tc>
                <w:tcPr>
                  <w:tcW w:w="2604" w:type="pct"/>
                  <w:vMerge w:val="continue"/>
                  <w:vAlign w:val="center"/>
                </w:tcPr>
                <w:p w14:paraId="1584A597">
                  <w:pPr>
                    <w:adjustRightInd w:val="0"/>
                    <w:snapToGrid w:val="0"/>
                  </w:pPr>
                </w:p>
              </w:tc>
              <w:tc>
                <w:tcPr>
                  <w:tcW w:w="568" w:type="pct"/>
                  <w:vAlign w:val="center"/>
                </w:tcPr>
                <w:p w14:paraId="484B527F">
                  <w:pPr>
                    <w:jc w:val="center"/>
                  </w:pPr>
                  <w:r>
                    <w:t>新建</w:t>
                  </w:r>
                </w:p>
              </w:tc>
            </w:tr>
            <w:tr w14:paraId="7771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69E38280">
                  <w:pPr>
                    <w:adjustRightInd w:val="0"/>
                    <w:snapToGrid w:val="0"/>
                    <w:jc w:val="center"/>
                  </w:pPr>
                </w:p>
              </w:tc>
              <w:tc>
                <w:tcPr>
                  <w:tcW w:w="627" w:type="pct"/>
                  <w:vMerge w:val="continue"/>
                  <w:vAlign w:val="center"/>
                </w:tcPr>
                <w:p w14:paraId="468BCDA3">
                  <w:pPr>
                    <w:adjustRightInd w:val="0"/>
                    <w:snapToGrid w:val="0"/>
                    <w:jc w:val="center"/>
                  </w:pPr>
                </w:p>
              </w:tc>
              <w:tc>
                <w:tcPr>
                  <w:tcW w:w="551" w:type="pct"/>
                  <w:vAlign w:val="center"/>
                </w:tcPr>
                <w:p w14:paraId="5C97E244">
                  <w:pPr>
                    <w:adjustRightInd w:val="0"/>
                    <w:snapToGrid w:val="0"/>
                    <w:jc w:val="center"/>
                  </w:pPr>
                  <w:r>
                    <w:t>隔油池</w:t>
                  </w:r>
                </w:p>
              </w:tc>
              <w:tc>
                <w:tcPr>
                  <w:tcW w:w="2604" w:type="pct"/>
                  <w:vMerge w:val="restart"/>
                  <w:vAlign w:val="center"/>
                </w:tcPr>
                <w:p w14:paraId="3CAF34C8">
                  <w:pPr>
                    <w:adjustRightInd w:val="0"/>
                    <w:snapToGrid w:val="0"/>
                  </w:pPr>
                  <w:r>
                    <w:rPr>
                      <w:rFonts w:hint="eastAsia"/>
                    </w:rPr>
                    <w:t>以礼河三级电站配置运行人员</w:t>
                  </w:r>
                  <w:r>
                    <w:t>12</w:t>
                  </w:r>
                  <w:r>
                    <w:rPr>
                      <w:rFonts w:hint="eastAsia"/>
                    </w:rPr>
                    <w:t>人，绿坪光伏项目配置运行人员</w:t>
                  </w:r>
                  <w:r>
                    <w:t>1</w:t>
                  </w:r>
                  <w:r>
                    <w:rPr>
                      <w:rFonts w:hint="eastAsia"/>
                    </w:rPr>
                    <w:t>人。目前以礼河三级电站有拥有一套污水处理设施，因设备使用年限较长，存在性能衰减、维护成本上升等问题，绿坪村光伏项目对现有的污水处理设备进行以新代老，</w:t>
                  </w:r>
                  <w:bookmarkStart w:id="75" w:name="_Hlk230180621"/>
                  <w:r>
                    <w:rPr>
                      <w:rFonts w:hint="eastAsia"/>
                    </w:rPr>
                    <w:t>采用MBR技术的0.5m</w:t>
                  </w:r>
                  <w:r>
                    <w:rPr>
                      <w:rFonts w:hint="eastAsia"/>
                      <w:vertAlign w:val="superscript"/>
                    </w:rPr>
                    <w:t>3</w:t>
                  </w:r>
                  <w:r>
                    <w:rPr>
                      <w:rFonts w:hint="eastAsia"/>
                    </w:rPr>
                    <w:t>/h处理能力的设备用于处理以礼河三级电站的生活污水，1</w:t>
                  </w:r>
                  <w:r>
                    <w:t>m</w:t>
                  </w:r>
                  <w:r>
                    <w:rPr>
                      <w:vertAlign w:val="superscript"/>
                    </w:rPr>
                    <w:t>3</w:t>
                  </w:r>
                  <w:r>
                    <w:rPr>
                      <w:rFonts w:hint="eastAsia"/>
                    </w:rPr>
                    <w:t>隔油池</w:t>
                  </w:r>
                  <w:r>
                    <w:t>用于预处理食堂废水</w:t>
                  </w:r>
                  <w:r>
                    <w:rPr>
                      <w:rFonts w:hint="eastAsia"/>
                    </w:rPr>
                    <w:t>；4</w:t>
                  </w:r>
                  <w:r>
                    <w:t>m</w:t>
                  </w:r>
                  <w:r>
                    <w:rPr>
                      <w:vertAlign w:val="superscript"/>
                    </w:rPr>
                    <w:t>3</w:t>
                  </w:r>
                  <w:r>
                    <w:rPr>
                      <w:rFonts w:hint="eastAsia"/>
                    </w:rPr>
                    <w:t>化粪池</w:t>
                  </w:r>
                  <w:r>
                    <w:t>用于收集预处理</w:t>
                  </w:r>
                  <w:r>
                    <w:rPr>
                      <w:rFonts w:hint="eastAsia"/>
                    </w:rPr>
                    <w:t>生活污水，5</w:t>
                  </w:r>
                  <w:r>
                    <w:t>m</w:t>
                  </w:r>
                  <w:r>
                    <w:rPr>
                      <w:vertAlign w:val="superscript"/>
                    </w:rPr>
                    <w:t>3</w:t>
                  </w:r>
                  <w:r>
                    <w:rPr>
                      <w:rFonts w:hint="eastAsia"/>
                    </w:rPr>
                    <w:t>中水暂存池</w:t>
                  </w:r>
                  <w:r>
                    <w:t>收集雨天经处理后暂时无法绿化的废水，待天晴后回用</w:t>
                  </w:r>
                  <w:bookmarkEnd w:id="75"/>
                  <w:r>
                    <w:rPr>
                      <w:rFonts w:hint="eastAsia"/>
                    </w:rPr>
                    <w:t>。</w:t>
                  </w:r>
                </w:p>
              </w:tc>
              <w:tc>
                <w:tcPr>
                  <w:tcW w:w="568" w:type="pct"/>
                  <w:vMerge w:val="restart"/>
                  <w:vAlign w:val="center"/>
                </w:tcPr>
                <w:p w14:paraId="25D944B8">
                  <w:pPr>
                    <w:jc w:val="center"/>
                  </w:pPr>
                  <w:r>
                    <w:rPr>
                      <w:rFonts w:hint="eastAsia"/>
                    </w:rPr>
                    <w:t>以新代老</w:t>
                  </w:r>
                </w:p>
              </w:tc>
            </w:tr>
            <w:tr w14:paraId="2285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1968315E">
                  <w:pPr>
                    <w:adjustRightInd w:val="0"/>
                    <w:snapToGrid w:val="0"/>
                    <w:jc w:val="center"/>
                  </w:pPr>
                </w:p>
              </w:tc>
              <w:tc>
                <w:tcPr>
                  <w:tcW w:w="627" w:type="pct"/>
                  <w:vMerge w:val="continue"/>
                  <w:vAlign w:val="center"/>
                </w:tcPr>
                <w:p w14:paraId="0C5A653D">
                  <w:pPr>
                    <w:adjustRightInd w:val="0"/>
                    <w:snapToGrid w:val="0"/>
                    <w:jc w:val="center"/>
                  </w:pPr>
                </w:p>
              </w:tc>
              <w:tc>
                <w:tcPr>
                  <w:tcW w:w="551" w:type="pct"/>
                  <w:vAlign w:val="center"/>
                </w:tcPr>
                <w:p w14:paraId="7C31C30B">
                  <w:pPr>
                    <w:adjustRightInd w:val="0"/>
                    <w:snapToGrid w:val="0"/>
                    <w:jc w:val="center"/>
                  </w:pPr>
                  <w:r>
                    <w:t>化粪池</w:t>
                  </w:r>
                </w:p>
              </w:tc>
              <w:tc>
                <w:tcPr>
                  <w:tcW w:w="2604" w:type="pct"/>
                  <w:vMerge w:val="continue"/>
                  <w:vAlign w:val="center"/>
                </w:tcPr>
                <w:p w14:paraId="200E3BD9">
                  <w:pPr>
                    <w:adjustRightInd w:val="0"/>
                    <w:snapToGrid w:val="0"/>
                  </w:pPr>
                </w:p>
              </w:tc>
              <w:tc>
                <w:tcPr>
                  <w:tcW w:w="568" w:type="pct"/>
                  <w:vMerge w:val="continue"/>
                  <w:vAlign w:val="center"/>
                </w:tcPr>
                <w:p w14:paraId="4A61001D">
                  <w:pPr>
                    <w:jc w:val="center"/>
                  </w:pPr>
                </w:p>
              </w:tc>
            </w:tr>
            <w:tr w14:paraId="4C06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650" w:type="pct"/>
                  <w:vMerge w:val="continue"/>
                  <w:vAlign w:val="center"/>
                </w:tcPr>
                <w:p w14:paraId="336193A3">
                  <w:pPr>
                    <w:adjustRightInd w:val="0"/>
                    <w:snapToGrid w:val="0"/>
                    <w:jc w:val="center"/>
                  </w:pPr>
                </w:p>
              </w:tc>
              <w:tc>
                <w:tcPr>
                  <w:tcW w:w="627" w:type="pct"/>
                  <w:vMerge w:val="continue"/>
                  <w:vAlign w:val="center"/>
                </w:tcPr>
                <w:p w14:paraId="0B496F30">
                  <w:pPr>
                    <w:adjustRightInd w:val="0"/>
                    <w:snapToGrid w:val="0"/>
                    <w:jc w:val="center"/>
                  </w:pPr>
                </w:p>
              </w:tc>
              <w:tc>
                <w:tcPr>
                  <w:tcW w:w="551" w:type="pct"/>
                  <w:vAlign w:val="center"/>
                </w:tcPr>
                <w:p w14:paraId="180A562A">
                  <w:pPr>
                    <w:adjustRightInd w:val="0"/>
                    <w:snapToGrid w:val="0"/>
                    <w:jc w:val="center"/>
                  </w:pPr>
                  <w:r>
                    <w:t>中水暂</w:t>
                  </w:r>
                </w:p>
                <w:p w14:paraId="16A51CF0">
                  <w:pPr>
                    <w:adjustRightInd w:val="0"/>
                    <w:snapToGrid w:val="0"/>
                    <w:jc w:val="center"/>
                  </w:pPr>
                  <w:r>
                    <w:t>存池</w:t>
                  </w:r>
                </w:p>
              </w:tc>
              <w:tc>
                <w:tcPr>
                  <w:tcW w:w="2604" w:type="pct"/>
                  <w:vMerge w:val="continue"/>
                  <w:vAlign w:val="center"/>
                </w:tcPr>
                <w:p w14:paraId="77DF8A59">
                  <w:pPr>
                    <w:adjustRightInd w:val="0"/>
                    <w:snapToGrid w:val="0"/>
                  </w:pPr>
                </w:p>
              </w:tc>
              <w:tc>
                <w:tcPr>
                  <w:tcW w:w="568" w:type="pct"/>
                  <w:vMerge w:val="continue"/>
                  <w:vAlign w:val="center"/>
                </w:tcPr>
                <w:p w14:paraId="7057811F">
                  <w:pPr>
                    <w:jc w:val="center"/>
                  </w:pPr>
                </w:p>
              </w:tc>
            </w:tr>
            <w:tr w14:paraId="052F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2412CF37">
                  <w:pPr>
                    <w:adjustRightInd w:val="0"/>
                    <w:snapToGrid w:val="0"/>
                    <w:jc w:val="center"/>
                  </w:pPr>
                </w:p>
              </w:tc>
              <w:tc>
                <w:tcPr>
                  <w:tcW w:w="627" w:type="pct"/>
                  <w:vMerge w:val="continue"/>
                  <w:vAlign w:val="center"/>
                </w:tcPr>
                <w:p w14:paraId="065B3A86">
                  <w:pPr>
                    <w:adjustRightInd w:val="0"/>
                    <w:snapToGrid w:val="0"/>
                    <w:jc w:val="center"/>
                  </w:pPr>
                </w:p>
              </w:tc>
              <w:tc>
                <w:tcPr>
                  <w:tcW w:w="551" w:type="pct"/>
                  <w:vAlign w:val="center"/>
                </w:tcPr>
                <w:p w14:paraId="1E98FDF6">
                  <w:pPr>
                    <w:adjustRightInd w:val="0"/>
                    <w:snapToGrid w:val="0"/>
                    <w:jc w:val="center"/>
                  </w:pPr>
                  <w:r>
                    <w:rPr>
                      <w:rFonts w:hint="eastAsia"/>
                    </w:rPr>
                    <w:t>一体化污水处理设备</w:t>
                  </w:r>
                </w:p>
              </w:tc>
              <w:tc>
                <w:tcPr>
                  <w:tcW w:w="2604" w:type="pct"/>
                  <w:vMerge w:val="continue"/>
                  <w:vAlign w:val="center"/>
                </w:tcPr>
                <w:p w14:paraId="0B690548">
                  <w:pPr>
                    <w:adjustRightInd w:val="0"/>
                    <w:snapToGrid w:val="0"/>
                  </w:pPr>
                </w:p>
              </w:tc>
              <w:tc>
                <w:tcPr>
                  <w:tcW w:w="568" w:type="pct"/>
                  <w:vMerge w:val="continue"/>
                  <w:vAlign w:val="center"/>
                </w:tcPr>
                <w:p w14:paraId="55783A28">
                  <w:pPr>
                    <w:jc w:val="center"/>
                  </w:pPr>
                </w:p>
              </w:tc>
            </w:tr>
            <w:tr w14:paraId="5AAD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3C3C82C2">
                  <w:pPr>
                    <w:adjustRightInd w:val="0"/>
                    <w:snapToGrid w:val="0"/>
                    <w:jc w:val="center"/>
                  </w:pPr>
                </w:p>
              </w:tc>
              <w:tc>
                <w:tcPr>
                  <w:tcW w:w="627" w:type="pct"/>
                  <w:vMerge w:val="restart"/>
                  <w:vAlign w:val="center"/>
                </w:tcPr>
                <w:p w14:paraId="3B7B67B1">
                  <w:pPr>
                    <w:adjustRightInd w:val="0"/>
                    <w:snapToGrid w:val="0"/>
                    <w:jc w:val="center"/>
                  </w:pPr>
                  <w:r>
                    <w:t>环境风险</w:t>
                  </w:r>
                </w:p>
              </w:tc>
              <w:tc>
                <w:tcPr>
                  <w:tcW w:w="551" w:type="pct"/>
                  <w:vAlign w:val="center"/>
                </w:tcPr>
                <w:p w14:paraId="666A9F15">
                  <w:pPr>
                    <w:topLinePunct/>
                    <w:jc w:val="center"/>
                  </w:pPr>
                  <w:r>
                    <w:t>升压站</w:t>
                  </w:r>
                  <w:r>
                    <w:rPr>
                      <w:rFonts w:hint="eastAsia"/>
                    </w:rPr>
                    <w:t>集油坑和</w:t>
                  </w:r>
                  <w:r>
                    <w:t>事故油池</w:t>
                  </w:r>
                </w:p>
              </w:tc>
              <w:tc>
                <w:tcPr>
                  <w:tcW w:w="2604" w:type="pct"/>
                  <w:vAlign w:val="center"/>
                </w:tcPr>
                <w:p w14:paraId="2F6174F3">
                  <w:pPr>
                    <w:topLinePunct/>
                  </w:pPr>
                  <w:r>
                    <w:t>在</w:t>
                  </w:r>
                  <w:bookmarkStart w:id="76" w:name="_Hlk230180672"/>
                  <w:r>
                    <w:t>升压站主变压器下方附近设1个集油坑和1个事故油池</w:t>
                  </w:r>
                  <w:bookmarkEnd w:id="76"/>
                  <w:r>
                    <w:t>，事故油池与集油坑连通，设计满足《火力发电厂与变电站设计防火标准》GB50229-2019中11.3.4的相关要求，</w:t>
                  </w:r>
                  <w:bookmarkStart w:id="77" w:name="_Hlk230180680"/>
                  <w:r>
                    <w:t>集油坑的容积为10m</w:t>
                  </w:r>
                  <w:r>
                    <w:rPr>
                      <w:vertAlign w:val="superscript"/>
                    </w:rPr>
                    <w:t>3</w:t>
                  </w:r>
                  <w:r>
                    <w:t>，事故油池容积为50m</w:t>
                  </w:r>
                  <w:r>
                    <w:rPr>
                      <w:vertAlign w:val="superscript"/>
                    </w:rPr>
                    <w:t>3</w:t>
                  </w:r>
                  <w:r>
                    <w:t>，</w:t>
                  </w:r>
                  <w:bookmarkEnd w:id="77"/>
                  <w:r>
                    <w:rPr>
                      <w:bCs/>
                    </w:rPr>
                    <w:t>采用钢筋混凝土结构，池底及四周池壁防渗混凝土为C30P8，</w:t>
                  </w:r>
                  <w:r>
                    <w:t>浇筑20cm进行硬化，</w:t>
                  </w:r>
                  <w:r>
                    <w:rPr>
                      <w:bCs/>
                    </w:rPr>
                    <w:t>防渗系数为0.261×10</w:t>
                  </w:r>
                  <w:r>
                    <w:rPr>
                      <w:bCs/>
                      <w:vertAlign w:val="superscript"/>
                    </w:rPr>
                    <w:t>-8</w:t>
                  </w:r>
                  <w:r>
                    <w:rPr>
                      <w:bCs/>
                    </w:rPr>
                    <w:t>cm/s，满足渗透系数≤1.0×10</w:t>
                  </w:r>
                  <w:r>
                    <w:rPr>
                      <w:bCs/>
                      <w:vertAlign w:val="superscript"/>
                    </w:rPr>
                    <w:t>-7</w:t>
                  </w:r>
                  <w:r>
                    <w:rPr>
                      <w:bCs/>
                    </w:rPr>
                    <w:t>cm/s。</w:t>
                  </w:r>
                  <w:r>
                    <w:t>确保事故油在存储的过程中不会渗漏。</w:t>
                  </w:r>
                </w:p>
              </w:tc>
              <w:tc>
                <w:tcPr>
                  <w:tcW w:w="568" w:type="pct"/>
                  <w:vAlign w:val="center"/>
                </w:tcPr>
                <w:p w14:paraId="14604EB4">
                  <w:pPr>
                    <w:jc w:val="center"/>
                  </w:pPr>
                  <w:r>
                    <w:t>新建</w:t>
                  </w:r>
                </w:p>
              </w:tc>
            </w:tr>
            <w:tr w14:paraId="6E6B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49C3A90B">
                  <w:pPr>
                    <w:adjustRightInd w:val="0"/>
                    <w:snapToGrid w:val="0"/>
                    <w:jc w:val="center"/>
                  </w:pPr>
                </w:p>
              </w:tc>
              <w:tc>
                <w:tcPr>
                  <w:tcW w:w="627" w:type="pct"/>
                  <w:vMerge w:val="continue"/>
                  <w:vAlign w:val="center"/>
                </w:tcPr>
                <w:p w14:paraId="2A47FFB4">
                  <w:pPr>
                    <w:adjustRightInd w:val="0"/>
                    <w:snapToGrid w:val="0"/>
                    <w:jc w:val="center"/>
                  </w:pPr>
                </w:p>
              </w:tc>
              <w:tc>
                <w:tcPr>
                  <w:tcW w:w="551" w:type="pct"/>
                  <w:vAlign w:val="center"/>
                </w:tcPr>
                <w:p w14:paraId="010C104D">
                  <w:pPr>
                    <w:adjustRightInd w:val="0"/>
                    <w:snapToGrid w:val="0"/>
                    <w:jc w:val="center"/>
                  </w:pPr>
                  <w:r>
                    <w:rPr>
                      <w:rFonts w:hint="eastAsia"/>
                    </w:rPr>
                    <w:t>箱变事故池</w:t>
                  </w:r>
                </w:p>
              </w:tc>
              <w:tc>
                <w:tcPr>
                  <w:tcW w:w="2604" w:type="pct"/>
                  <w:vAlign w:val="center"/>
                </w:tcPr>
                <w:p w14:paraId="3A2AAC67">
                  <w:bookmarkStart w:id="78" w:name="_Hlk230180702"/>
                  <w:r>
                    <w:t>在每个箱变靠近油箱侧均设置一个容积为2.5m</w:t>
                  </w:r>
                  <w:r>
                    <w:rPr>
                      <w:vertAlign w:val="superscript"/>
                    </w:rPr>
                    <w:t>3</w:t>
                  </w:r>
                  <w:r>
                    <w:t>的事故油收集池，共计21个</w:t>
                  </w:r>
                  <w:bookmarkEnd w:id="78"/>
                  <w:r>
                    <w:t>，设计满足《火力发电厂与变电站设计防火标准》GB50229-2019中11.3.4的相关要求。</w:t>
                  </w:r>
                  <w:r>
                    <w:rPr>
                      <w:bCs/>
                    </w:rPr>
                    <w:t>采用钢筋混凝土结构，池底及四周池壁防渗混凝土为C30P8，</w:t>
                  </w:r>
                  <w:r>
                    <w:t>浇筑20cm进行硬化，</w:t>
                  </w:r>
                  <w:r>
                    <w:rPr>
                      <w:bCs/>
                    </w:rPr>
                    <w:t>防渗系数为0.261×10</w:t>
                  </w:r>
                  <w:r>
                    <w:rPr>
                      <w:bCs/>
                      <w:vertAlign w:val="superscript"/>
                    </w:rPr>
                    <w:t>-8</w:t>
                  </w:r>
                  <w:r>
                    <w:rPr>
                      <w:bCs/>
                    </w:rPr>
                    <w:t>cm/s，满足渗透系数≤1.0×10</w:t>
                  </w:r>
                  <w:r>
                    <w:rPr>
                      <w:bCs/>
                      <w:vertAlign w:val="superscript"/>
                    </w:rPr>
                    <w:t>-7</w:t>
                  </w:r>
                  <w:r>
                    <w:rPr>
                      <w:bCs/>
                    </w:rPr>
                    <w:t>cm/s。箱变事故池的容积为2.5m</w:t>
                  </w:r>
                  <w:r>
                    <w:rPr>
                      <w:bCs/>
                      <w:vertAlign w:val="superscript"/>
                    </w:rPr>
                    <w:t>3</w:t>
                  </w:r>
                  <w:r>
                    <w:rPr>
                      <w:bCs/>
                    </w:rPr>
                    <w:t>，</w:t>
                  </w:r>
                  <w:r>
                    <w:t>确保事故油在存储的过程中不会渗漏。</w:t>
                  </w:r>
                </w:p>
              </w:tc>
              <w:tc>
                <w:tcPr>
                  <w:tcW w:w="568" w:type="pct"/>
                  <w:vAlign w:val="center"/>
                </w:tcPr>
                <w:p w14:paraId="2368D4D9">
                  <w:pPr>
                    <w:jc w:val="center"/>
                  </w:pPr>
                  <w:r>
                    <w:t>新建</w:t>
                  </w:r>
                </w:p>
              </w:tc>
            </w:tr>
            <w:tr w14:paraId="68FA7CF4">
              <w:tblPrEx>
                <w:tblCellMar>
                  <w:top w:w="0" w:type="dxa"/>
                  <w:left w:w="28" w:type="dxa"/>
                  <w:bottom w:w="0" w:type="dxa"/>
                  <w:right w:w="28" w:type="dxa"/>
                </w:tblCellMar>
              </w:tblPrEx>
              <w:trPr>
                <w:trHeight w:val="283" w:hRule="atLeast"/>
              </w:trPr>
              <w:tc>
                <w:tcPr>
                  <w:tcW w:w="650" w:type="pct"/>
                  <w:vMerge w:val="continue"/>
                  <w:vAlign w:val="center"/>
                </w:tcPr>
                <w:p w14:paraId="7266B950">
                  <w:pPr>
                    <w:adjustRightInd w:val="0"/>
                    <w:snapToGrid w:val="0"/>
                    <w:jc w:val="center"/>
                  </w:pPr>
                </w:p>
              </w:tc>
              <w:tc>
                <w:tcPr>
                  <w:tcW w:w="627" w:type="pct"/>
                  <w:vMerge w:val="continue"/>
                  <w:vAlign w:val="center"/>
                </w:tcPr>
                <w:p w14:paraId="434FDC97">
                  <w:pPr>
                    <w:adjustRightInd w:val="0"/>
                    <w:snapToGrid w:val="0"/>
                    <w:jc w:val="center"/>
                  </w:pPr>
                </w:p>
              </w:tc>
              <w:tc>
                <w:tcPr>
                  <w:tcW w:w="551" w:type="pct"/>
                  <w:vAlign w:val="center"/>
                </w:tcPr>
                <w:p w14:paraId="222C191F">
                  <w:pPr>
                    <w:adjustRightInd w:val="0"/>
                    <w:snapToGrid w:val="0"/>
                    <w:jc w:val="center"/>
                  </w:pPr>
                  <w:r>
                    <w:rPr>
                      <w:rFonts w:hint="eastAsia"/>
                    </w:rPr>
                    <w:t>应急事故池</w:t>
                  </w:r>
                </w:p>
              </w:tc>
              <w:tc>
                <w:tcPr>
                  <w:tcW w:w="2604" w:type="pct"/>
                  <w:vAlign w:val="center"/>
                </w:tcPr>
                <w:p w14:paraId="1023AEBF">
                  <w:r>
                    <w:t>应急事故池的容积不小于10m</w:t>
                  </w:r>
                  <w:r>
                    <w:rPr>
                      <w:vertAlign w:val="superscript"/>
                    </w:rPr>
                    <w:t>3</w:t>
                  </w:r>
                  <w:r>
                    <w:t>，且防渗采用池底及四周池壁防渗混凝土为C30P8，浇筑20cm进行硬化，防渗系数为0.261×10</w:t>
                  </w:r>
                  <w:r>
                    <w:rPr>
                      <w:vertAlign w:val="superscript"/>
                    </w:rPr>
                    <w:t>-8</w:t>
                  </w:r>
                  <w:r>
                    <w:t>cm/s，满足渗透系数≤1.0×10</w:t>
                  </w:r>
                  <w:r>
                    <w:rPr>
                      <w:vertAlign w:val="superscript"/>
                    </w:rPr>
                    <w:t>-7</w:t>
                  </w:r>
                  <w:r>
                    <w:t>cm/s。确保事故油在存储的过程中不会渗漏。升压站除了主变事故油池、集油坑、危废间和箱变事故池为重点防渗，其余均为一般防渗。</w:t>
                  </w:r>
                </w:p>
              </w:tc>
              <w:tc>
                <w:tcPr>
                  <w:tcW w:w="568" w:type="pct"/>
                  <w:vAlign w:val="center"/>
                </w:tcPr>
                <w:p w14:paraId="14A3722B">
                  <w:pPr>
                    <w:jc w:val="center"/>
                  </w:pPr>
                  <w:r>
                    <w:rPr>
                      <w:rFonts w:hint="eastAsia"/>
                    </w:rPr>
                    <w:t>新建</w:t>
                  </w:r>
                </w:p>
              </w:tc>
            </w:tr>
            <w:tr w14:paraId="4C5BA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1B6168AF">
                  <w:pPr>
                    <w:adjustRightInd w:val="0"/>
                    <w:snapToGrid w:val="0"/>
                    <w:jc w:val="center"/>
                  </w:pPr>
                </w:p>
              </w:tc>
              <w:tc>
                <w:tcPr>
                  <w:tcW w:w="1178" w:type="pct"/>
                  <w:gridSpan w:val="2"/>
                  <w:vAlign w:val="center"/>
                </w:tcPr>
                <w:p w14:paraId="256D023F">
                  <w:pPr>
                    <w:adjustRightInd w:val="0"/>
                    <w:snapToGrid w:val="0"/>
                    <w:jc w:val="center"/>
                    <w:rPr>
                      <w:rFonts w:hint="eastAsia"/>
                    </w:rPr>
                  </w:pPr>
                  <w:r>
                    <w:t>绿化</w:t>
                  </w:r>
                  <w:r>
                    <w:rPr>
                      <w:rFonts w:hint="eastAsia"/>
                    </w:rPr>
                    <w:t>工程</w:t>
                  </w:r>
                </w:p>
              </w:tc>
              <w:tc>
                <w:tcPr>
                  <w:tcW w:w="2604" w:type="pct"/>
                  <w:vAlign w:val="center"/>
                </w:tcPr>
                <w:p w14:paraId="2F2DD874">
                  <w:pPr>
                    <w:adjustRightInd w:val="0"/>
                    <w:snapToGrid w:val="0"/>
                  </w:pPr>
                  <w:r>
                    <w:t>结合水土保持措施采取植物措施。</w:t>
                  </w:r>
                </w:p>
              </w:tc>
              <w:tc>
                <w:tcPr>
                  <w:tcW w:w="568" w:type="pct"/>
                  <w:vAlign w:val="center"/>
                </w:tcPr>
                <w:p w14:paraId="760D6EA7">
                  <w:pPr>
                    <w:adjustRightInd w:val="0"/>
                    <w:snapToGrid w:val="0"/>
                    <w:jc w:val="center"/>
                  </w:pPr>
                  <w:r>
                    <w:t>新建</w:t>
                  </w:r>
                </w:p>
              </w:tc>
            </w:tr>
            <w:tr w14:paraId="2BBAB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restart"/>
                  <w:vAlign w:val="center"/>
                </w:tcPr>
                <w:p w14:paraId="0D17626D">
                  <w:pPr>
                    <w:adjustRightInd w:val="0"/>
                    <w:snapToGrid w:val="0"/>
                    <w:jc w:val="center"/>
                  </w:pPr>
                  <w:r>
                    <w:t>临时工程</w:t>
                  </w:r>
                </w:p>
              </w:tc>
              <w:tc>
                <w:tcPr>
                  <w:tcW w:w="1178" w:type="pct"/>
                  <w:gridSpan w:val="2"/>
                  <w:vAlign w:val="center"/>
                </w:tcPr>
                <w:p w14:paraId="4B5E7DF5">
                  <w:pPr>
                    <w:pStyle w:val="83"/>
                    <w:spacing w:before="24" w:after="24"/>
                  </w:pPr>
                  <w:r>
                    <w:t>施工生产生活区</w:t>
                  </w:r>
                </w:p>
              </w:tc>
              <w:tc>
                <w:tcPr>
                  <w:tcW w:w="2604" w:type="pct"/>
                  <w:vAlign w:val="center"/>
                </w:tcPr>
                <w:p w14:paraId="5D36B1C6">
                  <w:pPr>
                    <w:pStyle w:val="83"/>
                    <w:spacing w:before="24" w:after="24"/>
                    <w:jc w:val="both"/>
                    <w:rPr>
                      <w:rFonts w:ascii="Times New Roman"/>
                    </w:rPr>
                  </w:pPr>
                  <w:r>
                    <w:rPr>
                      <w:rFonts w:hint="eastAsia" w:ascii="Times New Roman"/>
                    </w:rPr>
                    <w:t>本工程工期较短，且工程区距离会泽县较近，交通方便，不考虑在现场设业主营地、承包商营地、机械修配间等。施工所需的这些设施，拟利用当地资源。在施工现场（L</w:t>
                  </w:r>
                  <w:r>
                    <w:rPr>
                      <w:rFonts w:ascii="Times New Roman"/>
                    </w:rPr>
                    <w:t>12</w:t>
                  </w:r>
                  <w:r>
                    <w:rPr>
                      <w:rFonts w:hint="eastAsia" w:ascii="Times New Roman"/>
                    </w:rPr>
                    <w:t>阵列区、L</w:t>
                  </w:r>
                  <w:r>
                    <w:rPr>
                      <w:rFonts w:ascii="Times New Roman"/>
                    </w:rPr>
                    <w:t>13</w:t>
                  </w:r>
                  <w:r>
                    <w:rPr>
                      <w:rFonts w:hint="eastAsia" w:ascii="Times New Roman"/>
                    </w:rPr>
                    <w:t>阵列区）主要设置的临建设施有：施工生活区、综合加工厂、综合仓库</w:t>
                  </w:r>
                  <w:r>
                    <w:rPr>
                      <w:rFonts w:ascii="Times New Roman"/>
                    </w:rPr>
                    <w:t>。施工生产生活区建筑面积约为</w:t>
                  </w:r>
                  <w:bookmarkStart w:id="79" w:name="OLE_LINK46"/>
                  <w:r>
                    <w:rPr>
                      <w:rFonts w:ascii="Times New Roman"/>
                    </w:rPr>
                    <w:t>2700m</w:t>
                  </w:r>
                  <w:r>
                    <w:rPr>
                      <w:rFonts w:ascii="Times New Roman"/>
                      <w:vertAlign w:val="superscript"/>
                    </w:rPr>
                    <w:t>2</w:t>
                  </w:r>
                  <w:bookmarkEnd w:id="79"/>
                  <w:r>
                    <w:rPr>
                      <w:rFonts w:ascii="Times New Roman"/>
                    </w:rPr>
                    <w:t>，占地面积约为5400m</w:t>
                  </w:r>
                  <w:r>
                    <w:rPr>
                      <w:rFonts w:ascii="Times New Roman"/>
                      <w:vertAlign w:val="superscript"/>
                    </w:rPr>
                    <w:t>2</w:t>
                  </w:r>
                  <w:r>
                    <w:rPr>
                      <w:rFonts w:ascii="Times New Roman"/>
                    </w:rPr>
                    <w:t>。</w:t>
                  </w:r>
                </w:p>
                <w:p w14:paraId="41B4031D">
                  <w:bookmarkStart w:id="80" w:name="_Hlk230180821"/>
                  <w:r>
                    <w:rPr>
                      <w:rFonts w:hint="eastAsia"/>
                    </w:rPr>
                    <w:t>施工生产生活区设1座旱厕处理粪便污水</w:t>
                  </w:r>
                  <w:bookmarkEnd w:id="80"/>
                  <w:r>
                    <w:rPr>
                      <w:rFonts w:hint="eastAsia"/>
                    </w:rPr>
                    <w:t>，旱厕委托当地村民定期清掏用作农肥。</w:t>
                  </w:r>
                </w:p>
              </w:tc>
              <w:tc>
                <w:tcPr>
                  <w:tcW w:w="568" w:type="pct"/>
                  <w:vAlign w:val="center"/>
                </w:tcPr>
                <w:p w14:paraId="371210A8">
                  <w:pPr>
                    <w:autoSpaceDE w:val="0"/>
                    <w:autoSpaceDN w:val="0"/>
                    <w:adjustRightInd w:val="0"/>
                    <w:jc w:val="center"/>
                  </w:pPr>
                  <w:r>
                    <w:t>新建</w:t>
                  </w:r>
                </w:p>
              </w:tc>
            </w:tr>
            <w:tr w14:paraId="6E42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1A05E998">
                  <w:pPr>
                    <w:adjustRightInd w:val="0"/>
                    <w:snapToGrid w:val="0"/>
                    <w:jc w:val="center"/>
                  </w:pPr>
                </w:p>
              </w:tc>
              <w:tc>
                <w:tcPr>
                  <w:tcW w:w="1178" w:type="pct"/>
                  <w:gridSpan w:val="2"/>
                  <w:vAlign w:val="center"/>
                </w:tcPr>
                <w:p w14:paraId="12023A21">
                  <w:pPr>
                    <w:pStyle w:val="83"/>
                    <w:spacing w:before="24" w:after="24"/>
                  </w:pPr>
                  <w:r>
                    <w:t>弃渣场区</w:t>
                  </w:r>
                </w:p>
              </w:tc>
              <w:tc>
                <w:tcPr>
                  <w:tcW w:w="2604" w:type="pct"/>
                  <w:vAlign w:val="center"/>
                </w:tcPr>
                <w:p w14:paraId="4C7636FD">
                  <w:pPr>
                    <w:pStyle w:val="83"/>
                    <w:spacing w:before="24" w:after="24"/>
                    <w:jc w:val="both"/>
                  </w:pPr>
                  <w:r>
                    <w:rPr>
                      <w:rFonts w:hint="eastAsia"/>
                    </w:rPr>
                    <w:t>不设置永久</w:t>
                  </w:r>
                  <w:r>
                    <w:t>弃渣场</w:t>
                  </w:r>
                  <w:r>
                    <w:rPr>
                      <w:rFonts w:hint="eastAsia"/>
                    </w:rPr>
                    <w:t>。</w:t>
                  </w:r>
                </w:p>
              </w:tc>
              <w:tc>
                <w:tcPr>
                  <w:tcW w:w="568" w:type="pct"/>
                  <w:vAlign w:val="center"/>
                </w:tcPr>
                <w:p w14:paraId="2E1A0A59">
                  <w:pPr>
                    <w:pStyle w:val="83"/>
                    <w:spacing w:beforeLines="0" w:afterLines="0" w:line="240" w:lineRule="auto"/>
                  </w:pPr>
                  <w:r>
                    <w:t>/</w:t>
                  </w:r>
                </w:p>
              </w:tc>
            </w:tr>
            <w:tr w14:paraId="07C3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786129B1">
                  <w:pPr>
                    <w:adjustRightInd w:val="0"/>
                    <w:snapToGrid w:val="0"/>
                    <w:jc w:val="center"/>
                  </w:pPr>
                </w:p>
              </w:tc>
              <w:tc>
                <w:tcPr>
                  <w:tcW w:w="1178" w:type="pct"/>
                  <w:gridSpan w:val="2"/>
                  <w:vAlign w:val="center"/>
                </w:tcPr>
                <w:p w14:paraId="6DF1CACE">
                  <w:pPr>
                    <w:pStyle w:val="83"/>
                    <w:spacing w:before="24" w:after="24"/>
                  </w:pPr>
                  <w:r>
                    <w:t>临时表土堆场</w:t>
                  </w:r>
                </w:p>
              </w:tc>
              <w:tc>
                <w:tcPr>
                  <w:tcW w:w="2604" w:type="pct"/>
                  <w:vAlign w:val="center"/>
                </w:tcPr>
                <w:p w14:paraId="51F067CE">
                  <w:pPr>
                    <w:pStyle w:val="83"/>
                    <w:adjustRightInd/>
                    <w:snapToGrid/>
                    <w:spacing w:beforeLines="0" w:afterLines="0" w:line="240" w:lineRule="auto"/>
                    <w:jc w:val="both"/>
                  </w:pPr>
                  <w:r>
                    <w:rPr>
                      <w:rFonts w:ascii="Times New Roman"/>
                    </w:rPr>
                    <w:t>表土堆存场1</w:t>
                  </w:r>
                  <w:r>
                    <w:rPr>
                      <w:rFonts w:hint="eastAsia" w:ascii="Times New Roman"/>
                    </w:rPr>
                    <w:t>2</w:t>
                  </w:r>
                  <w:r>
                    <w:rPr>
                      <w:rFonts w:ascii="Times New Roman"/>
                    </w:rPr>
                    <w:t>个，其中直埋电缆区、架空线路、施工生产生活区、升压站区各1个，道路工程区</w:t>
                  </w:r>
                  <w:r>
                    <w:rPr>
                      <w:rFonts w:hint="eastAsia" w:ascii="Times New Roman"/>
                    </w:rPr>
                    <w:t>8</w:t>
                  </w:r>
                  <w:r>
                    <w:rPr>
                      <w:rFonts w:ascii="Times New Roman"/>
                    </w:rPr>
                    <w:t>个，直埋电缆区沿沟槽两侧堆置，堆高不超过0.5m，其余区域堆高2-3m，堆存坡比1</w:t>
                  </w:r>
                  <w:r>
                    <w:rPr>
                      <w:rFonts w:hint="eastAsia" w:ascii="Times New Roman"/>
                    </w:rPr>
                    <w:t>:</w:t>
                  </w:r>
                  <w:r>
                    <w:rPr>
                      <w:rFonts w:ascii="Times New Roman"/>
                    </w:rPr>
                    <w:t>1.8，总堆存容量2.11万m</w:t>
                  </w:r>
                  <w:r>
                    <w:rPr>
                      <w:rFonts w:ascii="Times New Roman"/>
                      <w:vertAlign w:val="superscript"/>
                    </w:rPr>
                    <w:t>3</w:t>
                  </w:r>
                  <w:r>
                    <w:rPr>
                      <w:rFonts w:ascii="Times New Roman"/>
                    </w:rPr>
                    <w:t>，实际堆存量1.77万m</w:t>
                  </w:r>
                  <w:r>
                    <w:rPr>
                      <w:rFonts w:ascii="Times New Roman"/>
                      <w:vertAlign w:val="superscript"/>
                    </w:rPr>
                    <w:t>3</w:t>
                  </w:r>
                  <w:r>
                    <w:rPr>
                      <w:rFonts w:ascii="Times New Roman"/>
                    </w:rPr>
                    <w:t>（松方）。</w:t>
                  </w:r>
                </w:p>
              </w:tc>
              <w:tc>
                <w:tcPr>
                  <w:tcW w:w="568" w:type="pct"/>
                  <w:vAlign w:val="center"/>
                </w:tcPr>
                <w:p w14:paraId="58F9818F">
                  <w:pPr>
                    <w:pStyle w:val="83"/>
                    <w:spacing w:beforeLines="0" w:afterLines="0" w:line="240" w:lineRule="auto"/>
                  </w:pPr>
                  <w:r>
                    <w:t>新建</w:t>
                  </w:r>
                </w:p>
              </w:tc>
            </w:tr>
            <w:tr w14:paraId="6873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restart"/>
                  <w:vAlign w:val="center"/>
                </w:tcPr>
                <w:p w14:paraId="24D587BB">
                  <w:pPr>
                    <w:adjustRightInd w:val="0"/>
                    <w:snapToGrid w:val="0"/>
                    <w:jc w:val="center"/>
                  </w:pPr>
                  <w:r>
                    <w:rPr>
                      <w:rFonts w:hint="eastAsia"/>
                    </w:rPr>
                    <w:t>依托工程</w:t>
                  </w:r>
                </w:p>
              </w:tc>
              <w:tc>
                <w:tcPr>
                  <w:tcW w:w="1178" w:type="pct"/>
                  <w:gridSpan w:val="2"/>
                  <w:vAlign w:val="center"/>
                </w:tcPr>
                <w:p w14:paraId="692910C0">
                  <w:pPr>
                    <w:pStyle w:val="83"/>
                    <w:spacing w:before="24" w:after="24"/>
                  </w:pPr>
                  <w:r>
                    <w:rPr>
                      <w:rFonts w:hint="eastAsia"/>
                    </w:rPr>
                    <w:t>生活区</w:t>
                  </w:r>
                  <w:bookmarkStart w:id="81" w:name="OLE_LINK77"/>
                  <w:r>
                    <w:rPr>
                      <w:rFonts w:hint="eastAsia"/>
                    </w:rPr>
                    <w:t>综合楼</w:t>
                  </w:r>
                  <w:bookmarkEnd w:id="81"/>
                </w:p>
              </w:tc>
              <w:tc>
                <w:tcPr>
                  <w:tcW w:w="2604" w:type="pct"/>
                  <w:vAlign w:val="center"/>
                </w:tcPr>
                <w:p w14:paraId="00DC223F">
                  <w:pPr>
                    <w:pStyle w:val="83"/>
                    <w:adjustRightInd/>
                    <w:snapToGrid/>
                    <w:spacing w:beforeLines="0" w:afterLines="0" w:line="240" w:lineRule="auto"/>
                    <w:jc w:val="both"/>
                    <w:rPr>
                      <w:rFonts w:ascii="Times New Roman"/>
                    </w:rPr>
                  </w:pPr>
                  <w:r>
                    <w:rPr>
                      <w:rFonts w:ascii="Times New Roman"/>
                    </w:rPr>
                    <w:t>目前以礼河三级电站生活区综合楼占地面积约400</w:t>
                  </w:r>
                  <w:r>
                    <w:rPr>
                      <w:rFonts w:hint="eastAsia" w:ascii="Times New Roman"/>
                    </w:rPr>
                    <w:t>m</w:t>
                  </w:r>
                  <w:r>
                    <w:rPr>
                      <w:rFonts w:hint="eastAsia" w:ascii="Times New Roman"/>
                      <w:vertAlign w:val="superscript"/>
                    </w:rPr>
                    <w:t>2</w:t>
                  </w:r>
                  <w:r>
                    <w:rPr>
                      <w:rFonts w:ascii="Times New Roman"/>
                    </w:rPr>
                    <w:t>，建筑层数为4层，总房间数22间；功能分区清晰明确，1层为10kV配电室，承担电站及升压站部分配电功能，3层为三级电站水电运行值守室及行政办公区，其余楼层可统筹用于绿坪光伏项目人员临时办公及住宿。</w:t>
                  </w:r>
                </w:p>
              </w:tc>
              <w:tc>
                <w:tcPr>
                  <w:tcW w:w="568" w:type="pct"/>
                  <w:vAlign w:val="center"/>
                </w:tcPr>
                <w:p w14:paraId="0557A504">
                  <w:pPr>
                    <w:pStyle w:val="83"/>
                    <w:spacing w:beforeLines="0" w:afterLines="0" w:line="240" w:lineRule="auto"/>
                    <w:rPr>
                      <w:rFonts w:hint="eastAsia"/>
                    </w:rPr>
                  </w:pPr>
                  <w:r>
                    <w:rPr>
                      <w:rFonts w:hint="eastAsia"/>
                    </w:rPr>
                    <w:t>依托</w:t>
                  </w:r>
                </w:p>
              </w:tc>
            </w:tr>
            <w:tr w14:paraId="2B24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650" w:type="pct"/>
                  <w:vMerge w:val="continue"/>
                  <w:vAlign w:val="center"/>
                </w:tcPr>
                <w:p w14:paraId="51A9FE53">
                  <w:pPr>
                    <w:adjustRightInd w:val="0"/>
                    <w:snapToGrid w:val="0"/>
                    <w:jc w:val="center"/>
                    <w:rPr>
                      <w:rFonts w:hint="eastAsia"/>
                    </w:rPr>
                  </w:pPr>
                </w:p>
              </w:tc>
              <w:tc>
                <w:tcPr>
                  <w:tcW w:w="1178" w:type="pct"/>
                  <w:gridSpan w:val="2"/>
                  <w:vAlign w:val="center"/>
                </w:tcPr>
                <w:p w14:paraId="2D887DE5">
                  <w:pPr>
                    <w:pStyle w:val="83"/>
                    <w:spacing w:before="24" w:after="24"/>
                    <w:rPr>
                      <w:rFonts w:hint="eastAsia"/>
                    </w:rPr>
                  </w:pPr>
                  <w:r>
                    <w:rPr>
                      <w:rFonts w:hint="eastAsia"/>
                    </w:rPr>
                    <w:t>食堂</w:t>
                  </w:r>
                </w:p>
              </w:tc>
              <w:tc>
                <w:tcPr>
                  <w:tcW w:w="2604" w:type="pct"/>
                  <w:vAlign w:val="center"/>
                </w:tcPr>
                <w:p w14:paraId="61824CE0">
                  <w:pPr>
                    <w:pStyle w:val="83"/>
                    <w:adjustRightInd/>
                    <w:snapToGrid/>
                    <w:spacing w:beforeLines="0" w:afterLines="0" w:line="240" w:lineRule="auto"/>
                    <w:jc w:val="both"/>
                    <w:rPr>
                      <w:rFonts w:ascii="Times New Roman"/>
                    </w:rPr>
                  </w:pPr>
                  <w:r>
                    <w:rPr>
                      <w:rFonts w:hint="eastAsia" w:ascii="Times New Roman"/>
                    </w:rPr>
                    <w:t>目前</w:t>
                  </w:r>
                  <w:r>
                    <w:rPr>
                      <w:rFonts w:ascii="Times New Roman"/>
                    </w:rPr>
                    <w:t>以礼河三级电站</w:t>
                  </w:r>
                  <w:r>
                    <w:rPr>
                      <w:rFonts w:hint="eastAsia" w:ascii="Times New Roman"/>
                    </w:rPr>
                    <w:t>综合楼内设置有食堂，食堂使用能源为电、液化气，设置</w:t>
                  </w:r>
                  <w:r>
                    <w:rPr>
                      <w:rFonts w:ascii="Times New Roman"/>
                    </w:rPr>
                    <w:t>1</w:t>
                  </w:r>
                  <w:r>
                    <w:rPr>
                      <w:rFonts w:hint="eastAsia" w:ascii="Times New Roman"/>
                    </w:rPr>
                    <w:t>个灶头，后续绿坪村光伏发电项目投产运营，厂区内运维人员共用食堂。</w:t>
                  </w:r>
                </w:p>
              </w:tc>
              <w:tc>
                <w:tcPr>
                  <w:tcW w:w="568" w:type="pct"/>
                  <w:vAlign w:val="center"/>
                </w:tcPr>
                <w:p w14:paraId="3C53EF9A">
                  <w:pPr>
                    <w:pStyle w:val="83"/>
                    <w:spacing w:beforeLines="0" w:afterLines="0" w:line="240" w:lineRule="auto"/>
                    <w:rPr>
                      <w:rFonts w:hint="eastAsia"/>
                    </w:rPr>
                  </w:pPr>
                  <w:r>
                    <w:rPr>
                      <w:rFonts w:hint="eastAsia"/>
                    </w:rPr>
                    <w:t>依托</w:t>
                  </w:r>
                </w:p>
              </w:tc>
            </w:tr>
            <w:tr w14:paraId="058A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06" w:hRule="atLeast"/>
              </w:trPr>
              <w:tc>
                <w:tcPr>
                  <w:tcW w:w="650" w:type="pct"/>
                  <w:vMerge w:val="continue"/>
                  <w:vAlign w:val="center"/>
                </w:tcPr>
                <w:p w14:paraId="1363884B">
                  <w:pPr>
                    <w:adjustRightInd w:val="0"/>
                    <w:snapToGrid w:val="0"/>
                    <w:jc w:val="center"/>
                    <w:rPr>
                      <w:rFonts w:hint="eastAsia"/>
                    </w:rPr>
                  </w:pPr>
                </w:p>
              </w:tc>
              <w:tc>
                <w:tcPr>
                  <w:tcW w:w="1178" w:type="pct"/>
                  <w:gridSpan w:val="2"/>
                  <w:vAlign w:val="center"/>
                </w:tcPr>
                <w:p w14:paraId="7DA7B36F">
                  <w:pPr>
                    <w:pStyle w:val="83"/>
                    <w:spacing w:before="24" w:after="24"/>
                    <w:rPr>
                      <w:rFonts w:hint="eastAsia"/>
                    </w:rPr>
                  </w:pPr>
                  <w:r>
                    <w:rPr>
                      <w:rFonts w:hint="eastAsia" w:ascii="Times New Roman"/>
                    </w:rPr>
                    <w:t>生活垃圾处置</w:t>
                  </w:r>
                </w:p>
              </w:tc>
              <w:tc>
                <w:tcPr>
                  <w:tcW w:w="2604" w:type="pct"/>
                  <w:vAlign w:val="center"/>
                </w:tcPr>
                <w:p w14:paraId="669C8CDA">
                  <w:pPr>
                    <w:pStyle w:val="83"/>
                    <w:adjustRightInd/>
                    <w:snapToGrid/>
                    <w:spacing w:beforeLines="0" w:afterLines="0" w:line="240" w:lineRule="auto"/>
                    <w:jc w:val="both"/>
                    <w:rPr>
                      <w:rFonts w:hint="eastAsia" w:ascii="Times New Roman"/>
                    </w:rPr>
                  </w:pPr>
                  <w:r>
                    <w:rPr>
                      <w:rFonts w:hint="eastAsia" w:ascii="Times New Roman"/>
                    </w:rPr>
                    <w:t>以礼河三级电站配置运行人员</w:t>
                  </w:r>
                  <w:r>
                    <w:rPr>
                      <w:rFonts w:ascii="Times New Roman"/>
                    </w:rPr>
                    <w:t>12</w:t>
                  </w:r>
                  <w:r>
                    <w:rPr>
                      <w:rFonts w:hint="eastAsia" w:ascii="Times New Roman"/>
                    </w:rPr>
                    <w:t>人，绿坪光伏项目配置运行人员</w:t>
                  </w:r>
                  <w:r>
                    <w:rPr>
                      <w:rFonts w:ascii="Times New Roman"/>
                    </w:rPr>
                    <w:t>1</w:t>
                  </w:r>
                  <w:r>
                    <w:rPr>
                      <w:rFonts w:hint="eastAsia" w:ascii="Times New Roman"/>
                    </w:rPr>
                    <w:t>人，合计配置工作人员为</w:t>
                  </w:r>
                  <w:r>
                    <w:rPr>
                      <w:rFonts w:ascii="Times New Roman"/>
                    </w:rPr>
                    <w:t>13</w:t>
                  </w:r>
                  <w:r>
                    <w:rPr>
                      <w:rFonts w:hint="eastAsia" w:ascii="Times New Roman"/>
                    </w:rPr>
                    <w:t>人，均在项目内食宿，项目产生的生活垃圾主要为平时工作人员用的生活废品，包括食堂菜叶、废纸、包装袋，项目内的生活垃圾分类收集后回收利用，不能利用的部分袋装后放入项目办公生活区的垃圾桶内，定期运至就近村庄的垃圾收集点，由当地环卫部门处置。</w:t>
                  </w:r>
                </w:p>
              </w:tc>
              <w:tc>
                <w:tcPr>
                  <w:tcW w:w="568" w:type="pct"/>
                  <w:vAlign w:val="center"/>
                </w:tcPr>
                <w:p w14:paraId="630542E7">
                  <w:pPr>
                    <w:pStyle w:val="83"/>
                    <w:spacing w:beforeLines="0" w:afterLines="0" w:line="240" w:lineRule="auto"/>
                    <w:rPr>
                      <w:rFonts w:hint="eastAsia"/>
                    </w:rPr>
                  </w:pPr>
                  <w:r>
                    <w:rPr>
                      <w:rFonts w:hint="eastAsia"/>
                    </w:rPr>
                    <w:t>依托</w:t>
                  </w:r>
                </w:p>
              </w:tc>
            </w:tr>
          </w:tbl>
          <w:p w14:paraId="59FE2527">
            <w:pPr>
              <w:pStyle w:val="112"/>
              <w:adjustRightInd/>
              <w:snapToGrid/>
              <w:spacing w:line="360" w:lineRule="auto"/>
              <w:ind w:firstLine="480" w:firstLineChars="200"/>
              <w:rPr>
                <w:rFonts w:ascii="Times New Roman"/>
                <w:snapToGrid/>
                <w:spacing w:val="0"/>
                <w:sz w:val="24"/>
              </w:rPr>
            </w:pPr>
            <w:r>
              <w:rPr>
                <w:rFonts w:hint="eastAsia" w:ascii="Times New Roman"/>
                <w:snapToGrid/>
                <w:spacing w:val="0"/>
                <w:sz w:val="24"/>
              </w:rPr>
              <w:t>本项目主要设备见表2</w:t>
            </w:r>
            <w:r>
              <w:rPr>
                <w:rFonts w:ascii="Times New Roman"/>
                <w:snapToGrid/>
                <w:spacing w:val="0"/>
                <w:sz w:val="24"/>
              </w:rPr>
              <w:t>.2.2-2</w:t>
            </w:r>
            <w:r>
              <w:rPr>
                <w:rFonts w:hint="eastAsia" w:ascii="Times New Roman"/>
                <w:snapToGrid/>
                <w:spacing w:val="0"/>
                <w:sz w:val="24"/>
              </w:rPr>
              <w:t>。</w:t>
            </w:r>
          </w:p>
          <w:p w14:paraId="48861655">
            <w:pPr>
              <w:pStyle w:val="219"/>
              <w:spacing w:before="0" w:beforeLines="0"/>
              <w:rPr>
                <w:rFonts w:hint="eastAsia"/>
                <w:sz w:val="24"/>
                <w:szCs w:val="24"/>
              </w:rPr>
            </w:pPr>
            <w:r>
              <w:rPr>
                <w:rFonts w:hint="eastAsia"/>
                <w:sz w:val="24"/>
                <w:szCs w:val="24"/>
              </w:rPr>
              <w:t>表2</w:t>
            </w:r>
            <w:r>
              <w:rPr>
                <w:sz w:val="24"/>
                <w:szCs w:val="24"/>
              </w:rPr>
              <w:t xml:space="preserve">.2.2-2  </w:t>
            </w:r>
            <w:r>
              <w:rPr>
                <w:rFonts w:hint="eastAsia"/>
                <w:sz w:val="24"/>
                <w:szCs w:val="24"/>
              </w:rPr>
              <w:t>项目主要设备一览表</w:t>
            </w:r>
          </w:p>
          <w:tbl>
            <w:tblPr>
              <w:tblStyle w:val="30"/>
              <w:tblpPr w:leftFromText="180" w:rightFromText="180" w:vertAnchor="text" w:horzAnchor="page" w:tblpXSpec="center" w:tblpY="367"/>
              <w:tblOverlap w:val="never"/>
              <w:tblW w:w="8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4"/>
              <w:gridCol w:w="2552"/>
              <w:gridCol w:w="3769"/>
              <w:gridCol w:w="595"/>
              <w:gridCol w:w="610"/>
            </w:tblGrid>
            <w:tr w14:paraId="246C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21BC8BC5">
                  <w:pPr>
                    <w:jc w:val="center"/>
                    <w:rPr>
                      <w:rFonts w:cs="Arial"/>
                      <w:szCs w:val="24"/>
                    </w:rPr>
                  </w:pPr>
                  <w:r>
                    <w:rPr>
                      <w:rFonts w:hint="eastAsia" w:cs="Arial"/>
                      <w:szCs w:val="24"/>
                    </w:rPr>
                    <w:t>序号</w:t>
                  </w:r>
                </w:p>
              </w:tc>
              <w:tc>
                <w:tcPr>
                  <w:tcW w:w="2552" w:type="dxa"/>
                  <w:tcMar>
                    <w:top w:w="15" w:type="dxa"/>
                    <w:left w:w="15" w:type="dxa"/>
                    <w:right w:w="15" w:type="dxa"/>
                  </w:tcMar>
                  <w:vAlign w:val="center"/>
                </w:tcPr>
                <w:p w14:paraId="02A6F81A">
                  <w:pPr>
                    <w:jc w:val="center"/>
                    <w:rPr>
                      <w:rFonts w:cs="Arial"/>
                      <w:szCs w:val="24"/>
                    </w:rPr>
                  </w:pPr>
                  <w:r>
                    <w:rPr>
                      <w:rFonts w:hint="eastAsia" w:cs="Arial"/>
                      <w:szCs w:val="24"/>
                    </w:rPr>
                    <w:t>名 称</w:t>
                  </w:r>
                </w:p>
              </w:tc>
              <w:tc>
                <w:tcPr>
                  <w:tcW w:w="3769" w:type="dxa"/>
                  <w:tcMar>
                    <w:top w:w="15" w:type="dxa"/>
                    <w:left w:w="15" w:type="dxa"/>
                    <w:right w:w="15" w:type="dxa"/>
                  </w:tcMar>
                  <w:vAlign w:val="center"/>
                </w:tcPr>
                <w:p w14:paraId="2F5BF6C4">
                  <w:pPr>
                    <w:jc w:val="center"/>
                    <w:rPr>
                      <w:rFonts w:cs="Arial"/>
                      <w:szCs w:val="24"/>
                    </w:rPr>
                  </w:pPr>
                  <w:r>
                    <w:rPr>
                      <w:rFonts w:hint="eastAsia" w:cs="Arial"/>
                      <w:szCs w:val="24"/>
                    </w:rPr>
                    <w:t>型号规格</w:t>
                  </w:r>
                </w:p>
              </w:tc>
              <w:tc>
                <w:tcPr>
                  <w:tcW w:w="595" w:type="dxa"/>
                  <w:tcMar>
                    <w:top w:w="15" w:type="dxa"/>
                    <w:left w:w="15" w:type="dxa"/>
                    <w:right w:w="15" w:type="dxa"/>
                  </w:tcMar>
                  <w:vAlign w:val="center"/>
                </w:tcPr>
                <w:p w14:paraId="0FAC8A66">
                  <w:pPr>
                    <w:jc w:val="center"/>
                    <w:rPr>
                      <w:rFonts w:cs="Arial"/>
                      <w:szCs w:val="24"/>
                    </w:rPr>
                  </w:pPr>
                  <w:r>
                    <w:rPr>
                      <w:rFonts w:hint="eastAsia" w:cs="Arial"/>
                      <w:szCs w:val="24"/>
                    </w:rPr>
                    <w:t>单 位</w:t>
                  </w:r>
                </w:p>
              </w:tc>
              <w:tc>
                <w:tcPr>
                  <w:tcW w:w="610" w:type="dxa"/>
                  <w:tcMar>
                    <w:top w:w="15" w:type="dxa"/>
                    <w:left w:w="15" w:type="dxa"/>
                    <w:right w:w="15" w:type="dxa"/>
                  </w:tcMar>
                  <w:vAlign w:val="center"/>
                </w:tcPr>
                <w:p w14:paraId="6E30F540">
                  <w:pPr>
                    <w:jc w:val="center"/>
                    <w:rPr>
                      <w:rFonts w:cs="Arial"/>
                      <w:szCs w:val="24"/>
                    </w:rPr>
                  </w:pPr>
                  <w:r>
                    <w:rPr>
                      <w:rFonts w:hint="eastAsia" w:cs="Arial"/>
                      <w:szCs w:val="24"/>
                    </w:rPr>
                    <w:t>数 量</w:t>
                  </w:r>
                </w:p>
              </w:tc>
            </w:tr>
            <w:tr w14:paraId="3366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05083BBF">
                  <w:pPr>
                    <w:jc w:val="center"/>
                    <w:rPr>
                      <w:rFonts w:cs="Arial"/>
                      <w:szCs w:val="24"/>
                    </w:rPr>
                  </w:pPr>
                  <w:r>
                    <w:rPr>
                      <w:rFonts w:hint="eastAsia" w:cs="Arial"/>
                      <w:szCs w:val="24"/>
                    </w:rPr>
                    <w:t>一</w:t>
                  </w:r>
                </w:p>
              </w:tc>
              <w:tc>
                <w:tcPr>
                  <w:tcW w:w="2552" w:type="dxa"/>
                  <w:tcMar>
                    <w:top w:w="15" w:type="dxa"/>
                    <w:left w:w="15" w:type="dxa"/>
                    <w:right w:w="15" w:type="dxa"/>
                  </w:tcMar>
                  <w:vAlign w:val="center"/>
                </w:tcPr>
                <w:p w14:paraId="46AF8FB1">
                  <w:pPr>
                    <w:jc w:val="center"/>
                    <w:rPr>
                      <w:rFonts w:cs="Arial"/>
                      <w:szCs w:val="24"/>
                    </w:rPr>
                  </w:pPr>
                  <w:r>
                    <w:rPr>
                      <w:rFonts w:hint="eastAsia" w:cs="Arial"/>
                      <w:szCs w:val="24"/>
                    </w:rPr>
                    <w:t>光伏阵列部分</w:t>
                  </w:r>
                </w:p>
              </w:tc>
              <w:tc>
                <w:tcPr>
                  <w:tcW w:w="3769" w:type="dxa"/>
                  <w:tcMar>
                    <w:top w:w="15" w:type="dxa"/>
                    <w:left w:w="15" w:type="dxa"/>
                    <w:right w:w="15" w:type="dxa"/>
                  </w:tcMar>
                  <w:vAlign w:val="center"/>
                </w:tcPr>
                <w:p w14:paraId="717AD6B6">
                  <w:pPr>
                    <w:jc w:val="center"/>
                    <w:rPr>
                      <w:rFonts w:cs="Arial"/>
                      <w:szCs w:val="24"/>
                    </w:rPr>
                  </w:pPr>
                </w:p>
              </w:tc>
              <w:tc>
                <w:tcPr>
                  <w:tcW w:w="595" w:type="dxa"/>
                  <w:tcMar>
                    <w:top w:w="15" w:type="dxa"/>
                    <w:left w:w="15" w:type="dxa"/>
                    <w:right w:w="15" w:type="dxa"/>
                  </w:tcMar>
                  <w:vAlign w:val="center"/>
                </w:tcPr>
                <w:p w14:paraId="77CA8EE4">
                  <w:pPr>
                    <w:jc w:val="center"/>
                    <w:rPr>
                      <w:rFonts w:cs="Arial"/>
                      <w:szCs w:val="24"/>
                    </w:rPr>
                  </w:pPr>
                </w:p>
              </w:tc>
              <w:tc>
                <w:tcPr>
                  <w:tcW w:w="610" w:type="dxa"/>
                  <w:tcMar>
                    <w:top w:w="15" w:type="dxa"/>
                    <w:left w:w="15" w:type="dxa"/>
                    <w:right w:w="15" w:type="dxa"/>
                  </w:tcMar>
                  <w:vAlign w:val="center"/>
                </w:tcPr>
                <w:p w14:paraId="09A587E6">
                  <w:pPr>
                    <w:jc w:val="center"/>
                    <w:rPr>
                      <w:rFonts w:cs="Arial"/>
                      <w:szCs w:val="24"/>
                    </w:rPr>
                  </w:pPr>
                </w:p>
              </w:tc>
            </w:tr>
            <w:tr w14:paraId="28CB9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16EC9966">
                  <w:pPr>
                    <w:jc w:val="center"/>
                    <w:rPr>
                      <w:rFonts w:cs="Arial"/>
                      <w:szCs w:val="24"/>
                    </w:rPr>
                  </w:pPr>
                  <w:r>
                    <w:rPr>
                      <w:rFonts w:cs="Arial"/>
                      <w:szCs w:val="24"/>
                    </w:rPr>
                    <w:t>1</w:t>
                  </w:r>
                </w:p>
              </w:tc>
              <w:tc>
                <w:tcPr>
                  <w:tcW w:w="2552" w:type="dxa"/>
                  <w:tcMar>
                    <w:top w:w="15" w:type="dxa"/>
                    <w:left w:w="15" w:type="dxa"/>
                    <w:right w:w="15" w:type="dxa"/>
                  </w:tcMar>
                  <w:vAlign w:val="center"/>
                </w:tcPr>
                <w:p w14:paraId="19C5C44F">
                  <w:pPr>
                    <w:jc w:val="center"/>
                    <w:rPr>
                      <w:rFonts w:cs="Arial"/>
                      <w:szCs w:val="24"/>
                    </w:rPr>
                  </w:pPr>
                  <w:r>
                    <w:rPr>
                      <w:rFonts w:hint="eastAsia" w:cs="Arial"/>
                      <w:szCs w:val="24"/>
                    </w:rPr>
                    <w:t>单晶硅电池板</w:t>
                  </w:r>
                </w:p>
              </w:tc>
              <w:tc>
                <w:tcPr>
                  <w:tcW w:w="3769" w:type="dxa"/>
                  <w:tcMar>
                    <w:top w:w="15" w:type="dxa"/>
                    <w:left w:w="15" w:type="dxa"/>
                    <w:right w:w="15" w:type="dxa"/>
                  </w:tcMar>
                  <w:vAlign w:val="center"/>
                </w:tcPr>
                <w:p w14:paraId="0611B602">
                  <w:pPr>
                    <w:jc w:val="center"/>
                    <w:rPr>
                      <w:rFonts w:cs="Arial"/>
                      <w:szCs w:val="24"/>
                    </w:rPr>
                  </w:pPr>
                  <w:r>
                    <w:rPr>
                      <w:rFonts w:hint="eastAsia" w:cs="Arial"/>
                      <w:szCs w:val="24"/>
                    </w:rPr>
                    <w:t>720Wp</w:t>
                  </w:r>
                </w:p>
              </w:tc>
              <w:tc>
                <w:tcPr>
                  <w:tcW w:w="595" w:type="dxa"/>
                  <w:tcMar>
                    <w:top w:w="15" w:type="dxa"/>
                    <w:left w:w="15" w:type="dxa"/>
                    <w:right w:w="15" w:type="dxa"/>
                  </w:tcMar>
                  <w:vAlign w:val="center"/>
                </w:tcPr>
                <w:p w14:paraId="2CCC2A45">
                  <w:pPr>
                    <w:jc w:val="center"/>
                    <w:rPr>
                      <w:rFonts w:cs="Arial"/>
                      <w:szCs w:val="24"/>
                    </w:rPr>
                  </w:pPr>
                  <w:r>
                    <w:rPr>
                      <w:rFonts w:hint="eastAsia" w:cs="Arial"/>
                      <w:szCs w:val="24"/>
                    </w:rPr>
                    <w:t>块</w:t>
                  </w:r>
                </w:p>
              </w:tc>
              <w:tc>
                <w:tcPr>
                  <w:tcW w:w="610" w:type="dxa"/>
                  <w:tcMar>
                    <w:top w:w="15" w:type="dxa"/>
                    <w:left w:w="15" w:type="dxa"/>
                    <w:right w:w="15" w:type="dxa"/>
                  </w:tcMar>
                  <w:vAlign w:val="center"/>
                </w:tcPr>
                <w:p w14:paraId="18AF4377">
                  <w:pPr>
                    <w:jc w:val="center"/>
                    <w:rPr>
                      <w:rFonts w:cs="Arial"/>
                      <w:szCs w:val="24"/>
                    </w:rPr>
                  </w:pPr>
                  <w:bookmarkStart w:id="82" w:name="OLE_LINK96"/>
                  <w:r>
                    <w:rPr>
                      <w:rFonts w:hint="eastAsia" w:cs="Arial"/>
                      <w:szCs w:val="24"/>
                    </w:rPr>
                    <w:t>85722</w:t>
                  </w:r>
                  <w:bookmarkEnd w:id="82"/>
                </w:p>
              </w:tc>
            </w:tr>
            <w:tr w14:paraId="1410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704" w:type="dxa"/>
                  <w:tcMar>
                    <w:top w:w="15" w:type="dxa"/>
                    <w:left w:w="15" w:type="dxa"/>
                    <w:right w:w="15" w:type="dxa"/>
                  </w:tcMar>
                  <w:vAlign w:val="center"/>
                </w:tcPr>
                <w:p w14:paraId="34211A8A">
                  <w:pPr>
                    <w:jc w:val="center"/>
                    <w:rPr>
                      <w:rFonts w:cs="Arial"/>
                      <w:szCs w:val="24"/>
                    </w:rPr>
                  </w:pPr>
                  <w:r>
                    <w:rPr>
                      <w:rFonts w:cs="Arial"/>
                      <w:szCs w:val="24"/>
                    </w:rPr>
                    <w:t>2</w:t>
                  </w:r>
                </w:p>
              </w:tc>
              <w:tc>
                <w:tcPr>
                  <w:tcW w:w="2552" w:type="dxa"/>
                  <w:tcMar>
                    <w:top w:w="15" w:type="dxa"/>
                    <w:left w:w="15" w:type="dxa"/>
                    <w:right w:w="15" w:type="dxa"/>
                  </w:tcMar>
                  <w:vAlign w:val="center"/>
                </w:tcPr>
                <w:p w14:paraId="57890607">
                  <w:pPr>
                    <w:jc w:val="center"/>
                    <w:rPr>
                      <w:rFonts w:cs="Arial"/>
                      <w:szCs w:val="24"/>
                    </w:rPr>
                  </w:pPr>
                  <w:r>
                    <w:rPr>
                      <w:rFonts w:hint="eastAsia" w:cs="Arial"/>
                      <w:szCs w:val="24"/>
                    </w:rPr>
                    <w:t>电池板至逆变器电缆</w:t>
                  </w:r>
                </w:p>
              </w:tc>
              <w:tc>
                <w:tcPr>
                  <w:tcW w:w="3769" w:type="dxa"/>
                  <w:tcMar>
                    <w:top w:w="15" w:type="dxa"/>
                    <w:left w:w="15" w:type="dxa"/>
                    <w:right w:w="15" w:type="dxa"/>
                  </w:tcMar>
                  <w:vAlign w:val="center"/>
                </w:tcPr>
                <w:p w14:paraId="57259190">
                  <w:pPr>
                    <w:jc w:val="center"/>
                    <w:rPr>
                      <w:rFonts w:cs="Arial"/>
                      <w:szCs w:val="24"/>
                    </w:rPr>
                  </w:pPr>
                  <w:r>
                    <w:rPr>
                      <w:rFonts w:cs="Arial"/>
                      <w:szCs w:val="24"/>
                    </w:rPr>
                    <w:t>H1Z2Z2-K -1×4mm2，DC1500V</w:t>
                  </w:r>
                </w:p>
              </w:tc>
              <w:tc>
                <w:tcPr>
                  <w:tcW w:w="595" w:type="dxa"/>
                  <w:tcMar>
                    <w:top w:w="15" w:type="dxa"/>
                    <w:left w:w="15" w:type="dxa"/>
                    <w:right w:w="15" w:type="dxa"/>
                  </w:tcMar>
                  <w:vAlign w:val="center"/>
                </w:tcPr>
                <w:p w14:paraId="06467A89">
                  <w:pPr>
                    <w:jc w:val="center"/>
                    <w:rPr>
                      <w:rFonts w:cs="Arial"/>
                      <w:szCs w:val="24"/>
                    </w:rPr>
                  </w:pPr>
                  <w:r>
                    <w:rPr>
                      <w:rFonts w:cs="Arial"/>
                      <w:szCs w:val="24"/>
                    </w:rPr>
                    <w:t>km</w:t>
                  </w:r>
                </w:p>
              </w:tc>
              <w:tc>
                <w:tcPr>
                  <w:tcW w:w="610" w:type="dxa"/>
                  <w:tcMar>
                    <w:top w:w="15" w:type="dxa"/>
                    <w:left w:w="15" w:type="dxa"/>
                    <w:right w:w="15" w:type="dxa"/>
                  </w:tcMar>
                  <w:vAlign w:val="center"/>
                </w:tcPr>
                <w:p w14:paraId="64AE1305">
                  <w:pPr>
                    <w:jc w:val="center"/>
                    <w:rPr>
                      <w:rFonts w:cs="Arial"/>
                      <w:szCs w:val="24"/>
                    </w:rPr>
                  </w:pPr>
                  <w:r>
                    <w:rPr>
                      <w:rFonts w:hint="eastAsia" w:cs="Arial"/>
                      <w:szCs w:val="24"/>
                    </w:rPr>
                    <w:t>445</w:t>
                  </w:r>
                </w:p>
              </w:tc>
            </w:tr>
            <w:tr w14:paraId="7C37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2B8AAEF3">
                  <w:pPr>
                    <w:jc w:val="center"/>
                    <w:rPr>
                      <w:rFonts w:cs="Arial"/>
                      <w:szCs w:val="24"/>
                    </w:rPr>
                  </w:pPr>
                  <w:r>
                    <w:rPr>
                      <w:rFonts w:cs="Arial"/>
                      <w:szCs w:val="24"/>
                    </w:rPr>
                    <w:t>3</w:t>
                  </w:r>
                </w:p>
              </w:tc>
              <w:tc>
                <w:tcPr>
                  <w:tcW w:w="2552" w:type="dxa"/>
                  <w:tcMar>
                    <w:top w:w="15" w:type="dxa"/>
                    <w:left w:w="15" w:type="dxa"/>
                    <w:right w:w="15" w:type="dxa"/>
                  </w:tcMar>
                  <w:vAlign w:val="center"/>
                </w:tcPr>
                <w:p w14:paraId="7D882EA3">
                  <w:pPr>
                    <w:jc w:val="center"/>
                    <w:rPr>
                      <w:rFonts w:cs="Arial"/>
                      <w:szCs w:val="24"/>
                    </w:rPr>
                  </w:pPr>
                  <w:r>
                    <w:rPr>
                      <w:rFonts w:hint="eastAsia" w:cs="Arial"/>
                      <w:szCs w:val="24"/>
                    </w:rPr>
                    <w:t>电池板至逆变器电缆</w:t>
                  </w:r>
                </w:p>
              </w:tc>
              <w:tc>
                <w:tcPr>
                  <w:tcW w:w="3769" w:type="dxa"/>
                  <w:tcMar>
                    <w:top w:w="15" w:type="dxa"/>
                    <w:left w:w="15" w:type="dxa"/>
                    <w:right w:w="15" w:type="dxa"/>
                  </w:tcMar>
                  <w:vAlign w:val="center"/>
                </w:tcPr>
                <w:p w14:paraId="0DA72DC9">
                  <w:pPr>
                    <w:jc w:val="center"/>
                    <w:rPr>
                      <w:rFonts w:cs="Arial"/>
                      <w:szCs w:val="24"/>
                    </w:rPr>
                  </w:pPr>
                  <w:r>
                    <w:rPr>
                      <w:rFonts w:cs="Arial"/>
                      <w:szCs w:val="24"/>
                    </w:rPr>
                    <w:t>H1Z2Z2-K -1×</w:t>
                  </w:r>
                  <w:r>
                    <w:rPr>
                      <w:rFonts w:hint="eastAsia" w:cs="Arial"/>
                      <w:szCs w:val="24"/>
                    </w:rPr>
                    <w:t>6</w:t>
                  </w:r>
                  <w:r>
                    <w:rPr>
                      <w:rFonts w:cs="Arial"/>
                      <w:szCs w:val="24"/>
                    </w:rPr>
                    <w:t>mm2，DC1500V</w:t>
                  </w:r>
                </w:p>
              </w:tc>
              <w:tc>
                <w:tcPr>
                  <w:tcW w:w="595" w:type="dxa"/>
                  <w:tcMar>
                    <w:top w:w="15" w:type="dxa"/>
                    <w:left w:w="15" w:type="dxa"/>
                    <w:right w:w="15" w:type="dxa"/>
                  </w:tcMar>
                  <w:vAlign w:val="center"/>
                </w:tcPr>
                <w:p w14:paraId="043293CE">
                  <w:pPr>
                    <w:jc w:val="center"/>
                    <w:rPr>
                      <w:rFonts w:cs="Arial"/>
                      <w:szCs w:val="24"/>
                    </w:rPr>
                  </w:pPr>
                  <w:r>
                    <w:rPr>
                      <w:rFonts w:cs="Arial"/>
                      <w:szCs w:val="24"/>
                    </w:rPr>
                    <w:t>km</w:t>
                  </w:r>
                </w:p>
              </w:tc>
              <w:tc>
                <w:tcPr>
                  <w:tcW w:w="610" w:type="dxa"/>
                  <w:tcMar>
                    <w:top w:w="15" w:type="dxa"/>
                    <w:left w:w="15" w:type="dxa"/>
                    <w:right w:w="15" w:type="dxa"/>
                  </w:tcMar>
                  <w:vAlign w:val="center"/>
                </w:tcPr>
                <w:p w14:paraId="393D17E2">
                  <w:pPr>
                    <w:jc w:val="center"/>
                    <w:rPr>
                      <w:rFonts w:cs="Arial"/>
                      <w:szCs w:val="24"/>
                    </w:rPr>
                  </w:pPr>
                  <w:r>
                    <w:rPr>
                      <w:rFonts w:hint="eastAsia" w:cs="Arial"/>
                      <w:szCs w:val="24"/>
                    </w:rPr>
                    <w:t>111</w:t>
                  </w:r>
                </w:p>
              </w:tc>
            </w:tr>
            <w:tr w14:paraId="0C69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3D332324">
                  <w:pPr>
                    <w:jc w:val="center"/>
                    <w:rPr>
                      <w:rFonts w:cs="Arial"/>
                      <w:szCs w:val="24"/>
                    </w:rPr>
                  </w:pPr>
                  <w:r>
                    <w:rPr>
                      <w:rFonts w:cs="Arial"/>
                      <w:szCs w:val="24"/>
                    </w:rPr>
                    <w:t>4</w:t>
                  </w:r>
                </w:p>
              </w:tc>
              <w:tc>
                <w:tcPr>
                  <w:tcW w:w="2552" w:type="dxa"/>
                  <w:tcMar>
                    <w:top w:w="15" w:type="dxa"/>
                    <w:left w:w="15" w:type="dxa"/>
                    <w:right w:w="15" w:type="dxa"/>
                  </w:tcMar>
                  <w:vAlign w:val="center"/>
                </w:tcPr>
                <w:p w14:paraId="5613D739">
                  <w:pPr>
                    <w:jc w:val="center"/>
                    <w:rPr>
                      <w:rFonts w:cs="Arial"/>
                      <w:szCs w:val="24"/>
                    </w:rPr>
                  </w:pPr>
                  <w:r>
                    <w:rPr>
                      <w:rFonts w:cs="Arial"/>
                      <w:szCs w:val="24"/>
                    </w:rPr>
                    <w:t>PVC管</w:t>
                  </w:r>
                </w:p>
              </w:tc>
              <w:tc>
                <w:tcPr>
                  <w:tcW w:w="3769" w:type="dxa"/>
                  <w:tcMar>
                    <w:top w:w="15" w:type="dxa"/>
                    <w:left w:w="15" w:type="dxa"/>
                    <w:right w:w="15" w:type="dxa"/>
                  </w:tcMar>
                  <w:vAlign w:val="center"/>
                </w:tcPr>
                <w:p w14:paraId="5A3C60C0">
                  <w:pPr>
                    <w:jc w:val="center"/>
                    <w:rPr>
                      <w:rFonts w:cs="Arial"/>
                      <w:szCs w:val="24"/>
                    </w:rPr>
                  </w:pPr>
                  <w:r>
                    <w:rPr>
                      <w:rFonts w:cs="Arial"/>
                      <w:szCs w:val="24"/>
                    </w:rPr>
                    <w:t>Φ50</w:t>
                  </w:r>
                </w:p>
              </w:tc>
              <w:tc>
                <w:tcPr>
                  <w:tcW w:w="595" w:type="dxa"/>
                  <w:tcMar>
                    <w:top w:w="15" w:type="dxa"/>
                    <w:left w:w="15" w:type="dxa"/>
                    <w:right w:w="15" w:type="dxa"/>
                  </w:tcMar>
                  <w:vAlign w:val="center"/>
                </w:tcPr>
                <w:p w14:paraId="667E2821">
                  <w:pPr>
                    <w:jc w:val="center"/>
                    <w:rPr>
                      <w:rFonts w:cs="Arial"/>
                      <w:szCs w:val="24"/>
                    </w:rPr>
                  </w:pPr>
                  <w:r>
                    <w:rPr>
                      <w:rFonts w:cs="Arial"/>
                      <w:szCs w:val="24"/>
                    </w:rPr>
                    <w:t>km</w:t>
                  </w:r>
                </w:p>
              </w:tc>
              <w:tc>
                <w:tcPr>
                  <w:tcW w:w="610" w:type="dxa"/>
                  <w:tcMar>
                    <w:top w:w="15" w:type="dxa"/>
                    <w:left w:w="15" w:type="dxa"/>
                    <w:right w:w="15" w:type="dxa"/>
                  </w:tcMar>
                  <w:vAlign w:val="center"/>
                </w:tcPr>
                <w:p w14:paraId="0EBE1CE7">
                  <w:pPr>
                    <w:jc w:val="center"/>
                    <w:rPr>
                      <w:rFonts w:cs="Arial"/>
                      <w:szCs w:val="24"/>
                    </w:rPr>
                  </w:pPr>
                  <w:r>
                    <w:rPr>
                      <w:rFonts w:hint="eastAsia" w:cs="Arial"/>
                      <w:szCs w:val="24"/>
                    </w:rPr>
                    <w:t>15</w:t>
                  </w:r>
                </w:p>
              </w:tc>
            </w:tr>
            <w:tr w14:paraId="5555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288C47E9">
                  <w:pPr>
                    <w:jc w:val="center"/>
                    <w:rPr>
                      <w:rFonts w:cs="Arial"/>
                      <w:szCs w:val="24"/>
                    </w:rPr>
                  </w:pPr>
                  <w:r>
                    <w:rPr>
                      <w:rFonts w:hint="eastAsia" w:cs="Arial"/>
                      <w:szCs w:val="24"/>
                    </w:rPr>
                    <w:t>5</w:t>
                  </w:r>
                </w:p>
              </w:tc>
              <w:tc>
                <w:tcPr>
                  <w:tcW w:w="2552" w:type="dxa"/>
                  <w:tcMar>
                    <w:top w:w="15" w:type="dxa"/>
                    <w:left w:w="15" w:type="dxa"/>
                    <w:right w:w="15" w:type="dxa"/>
                  </w:tcMar>
                  <w:vAlign w:val="center"/>
                </w:tcPr>
                <w:p w14:paraId="1EB48656">
                  <w:pPr>
                    <w:jc w:val="center"/>
                    <w:rPr>
                      <w:rFonts w:cs="Arial"/>
                      <w:szCs w:val="24"/>
                    </w:rPr>
                  </w:pPr>
                  <w:r>
                    <w:rPr>
                      <w:rFonts w:hint="eastAsia" w:cs="Arial"/>
                      <w:szCs w:val="24"/>
                    </w:rPr>
                    <w:t>电缆桥架</w:t>
                  </w:r>
                </w:p>
              </w:tc>
              <w:tc>
                <w:tcPr>
                  <w:tcW w:w="3769" w:type="dxa"/>
                  <w:tcMar>
                    <w:top w:w="15" w:type="dxa"/>
                    <w:left w:w="15" w:type="dxa"/>
                    <w:right w:w="15" w:type="dxa"/>
                  </w:tcMar>
                  <w:vAlign w:val="center"/>
                </w:tcPr>
                <w:p w14:paraId="46EFF193">
                  <w:pPr>
                    <w:jc w:val="center"/>
                    <w:rPr>
                      <w:rFonts w:cs="Arial"/>
                      <w:szCs w:val="24"/>
                    </w:rPr>
                  </w:pPr>
                </w:p>
              </w:tc>
              <w:tc>
                <w:tcPr>
                  <w:tcW w:w="595" w:type="dxa"/>
                  <w:tcMar>
                    <w:top w:w="15" w:type="dxa"/>
                    <w:left w:w="15" w:type="dxa"/>
                    <w:right w:w="15" w:type="dxa"/>
                  </w:tcMar>
                  <w:vAlign w:val="center"/>
                </w:tcPr>
                <w:p w14:paraId="3A1EDC4B">
                  <w:pPr>
                    <w:jc w:val="center"/>
                    <w:rPr>
                      <w:rFonts w:cs="Arial"/>
                      <w:szCs w:val="24"/>
                    </w:rPr>
                  </w:pPr>
                </w:p>
              </w:tc>
              <w:tc>
                <w:tcPr>
                  <w:tcW w:w="610" w:type="dxa"/>
                  <w:tcMar>
                    <w:top w:w="15" w:type="dxa"/>
                    <w:left w:w="15" w:type="dxa"/>
                    <w:right w:w="15" w:type="dxa"/>
                  </w:tcMar>
                  <w:vAlign w:val="center"/>
                </w:tcPr>
                <w:p w14:paraId="5363B84D">
                  <w:pPr>
                    <w:jc w:val="center"/>
                    <w:rPr>
                      <w:rFonts w:cs="Arial"/>
                      <w:szCs w:val="24"/>
                    </w:rPr>
                  </w:pPr>
                </w:p>
              </w:tc>
            </w:tr>
            <w:tr w14:paraId="740DD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rPr>
              <w:tc>
                <w:tcPr>
                  <w:tcW w:w="704" w:type="dxa"/>
                  <w:tcMar>
                    <w:top w:w="15" w:type="dxa"/>
                    <w:left w:w="15" w:type="dxa"/>
                    <w:right w:w="15" w:type="dxa"/>
                  </w:tcMar>
                  <w:vAlign w:val="center"/>
                </w:tcPr>
                <w:p w14:paraId="14DFB12A">
                  <w:pPr>
                    <w:jc w:val="center"/>
                    <w:rPr>
                      <w:rFonts w:cs="Arial"/>
                      <w:szCs w:val="24"/>
                    </w:rPr>
                  </w:pPr>
                  <w:r>
                    <w:rPr>
                      <w:rFonts w:hint="eastAsia" w:cs="Arial"/>
                      <w:szCs w:val="24"/>
                    </w:rPr>
                    <w:t>（1）</w:t>
                  </w:r>
                </w:p>
              </w:tc>
              <w:tc>
                <w:tcPr>
                  <w:tcW w:w="2552" w:type="dxa"/>
                  <w:tcMar>
                    <w:top w:w="15" w:type="dxa"/>
                    <w:left w:w="15" w:type="dxa"/>
                    <w:right w:w="15" w:type="dxa"/>
                  </w:tcMar>
                  <w:vAlign w:val="center"/>
                </w:tcPr>
                <w:p w14:paraId="10A311A1">
                  <w:pPr>
                    <w:jc w:val="center"/>
                    <w:rPr>
                      <w:rFonts w:cs="Arial"/>
                      <w:szCs w:val="24"/>
                    </w:rPr>
                  </w:pPr>
                  <w:r>
                    <w:rPr>
                      <w:rFonts w:hint="eastAsia" w:cs="Arial"/>
                      <w:szCs w:val="24"/>
                    </w:rPr>
                    <w:t>槽盒及配套支架</w:t>
                  </w:r>
                </w:p>
              </w:tc>
              <w:tc>
                <w:tcPr>
                  <w:tcW w:w="3769" w:type="dxa"/>
                  <w:tcMar>
                    <w:top w:w="15" w:type="dxa"/>
                    <w:left w:w="15" w:type="dxa"/>
                    <w:right w:w="15" w:type="dxa"/>
                  </w:tcMar>
                  <w:vAlign w:val="center"/>
                </w:tcPr>
                <w:p w14:paraId="433824E8">
                  <w:pPr>
                    <w:jc w:val="center"/>
                    <w:rPr>
                      <w:rFonts w:cs="Arial"/>
                      <w:szCs w:val="24"/>
                    </w:rPr>
                  </w:pPr>
                  <w:r>
                    <w:rPr>
                      <w:rFonts w:hint="eastAsia" w:cs="Arial"/>
                      <w:szCs w:val="24"/>
                    </w:rPr>
                    <w:t>宽</w:t>
                  </w:r>
                  <w:r>
                    <w:rPr>
                      <w:rFonts w:cs="Arial"/>
                      <w:szCs w:val="24"/>
                    </w:rPr>
                    <w:t>200mm，高100mm，厚1.5mm，热镀锌</w:t>
                  </w:r>
                </w:p>
              </w:tc>
              <w:tc>
                <w:tcPr>
                  <w:tcW w:w="595" w:type="dxa"/>
                  <w:tcMar>
                    <w:top w:w="15" w:type="dxa"/>
                    <w:left w:w="15" w:type="dxa"/>
                    <w:right w:w="15" w:type="dxa"/>
                  </w:tcMar>
                  <w:vAlign w:val="center"/>
                </w:tcPr>
                <w:p w14:paraId="692C8781">
                  <w:pPr>
                    <w:jc w:val="center"/>
                    <w:rPr>
                      <w:rFonts w:cs="Arial"/>
                      <w:szCs w:val="24"/>
                    </w:rPr>
                  </w:pPr>
                  <w:r>
                    <w:rPr>
                      <w:rFonts w:cs="Arial"/>
                      <w:szCs w:val="24"/>
                    </w:rPr>
                    <w:t>km</w:t>
                  </w:r>
                </w:p>
              </w:tc>
              <w:tc>
                <w:tcPr>
                  <w:tcW w:w="610" w:type="dxa"/>
                  <w:tcMar>
                    <w:top w:w="15" w:type="dxa"/>
                    <w:left w:w="15" w:type="dxa"/>
                    <w:right w:w="15" w:type="dxa"/>
                  </w:tcMar>
                  <w:vAlign w:val="center"/>
                </w:tcPr>
                <w:p w14:paraId="2F665396">
                  <w:pPr>
                    <w:jc w:val="center"/>
                    <w:rPr>
                      <w:rFonts w:cs="Arial"/>
                      <w:szCs w:val="24"/>
                    </w:rPr>
                  </w:pPr>
                  <w:r>
                    <w:rPr>
                      <w:rFonts w:hint="eastAsia" w:cs="Arial"/>
                      <w:szCs w:val="24"/>
                    </w:rPr>
                    <w:t>10</w:t>
                  </w:r>
                </w:p>
              </w:tc>
            </w:tr>
            <w:tr w14:paraId="6150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2E918763">
                  <w:pPr>
                    <w:jc w:val="center"/>
                    <w:rPr>
                      <w:rFonts w:cs="Arial"/>
                      <w:szCs w:val="24"/>
                    </w:rPr>
                  </w:pPr>
                  <w:r>
                    <w:rPr>
                      <w:rFonts w:hint="eastAsia" w:cs="Arial"/>
                      <w:szCs w:val="24"/>
                    </w:rPr>
                    <w:t>（2）</w:t>
                  </w:r>
                </w:p>
              </w:tc>
              <w:tc>
                <w:tcPr>
                  <w:tcW w:w="2552" w:type="dxa"/>
                  <w:tcMar>
                    <w:top w:w="15" w:type="dxa"/>
                    <w:left w:w="15" w:type="dxa"/>
                    <w:right w:w="15" w:type="dxa"/>
                  </w:tcMar>
                  <w:vAlign w:val="center"/>
                </w:tcPr>
                <w:p w14:paraId="71F85697">
                  <w:pPr>
                    <w:jc w:val="center"/>
                    <w:rPr>
                      <w:rFonts w:cs="Arial"/>
                      <w:szCs w:val="24"/>
                    </w:rPr>
                  </w:pPr>
                  <w:r>
                    <w:rPr>
                      <w:rFonts w:hint="eastAsia" w:cs="Arial"/>
                      <w:szCs w:val="24"/>
                    </w:rPr>
                    <w:t>槽盒及配套支架</w:t>
                  </w:r>
                </w:p>
              </w:tc>
              <w:tc>
                <w:tcPr>
                  <w:tcW w:w="3769" w:type="dxa"/>
                  <w:tcMar>
                    <w:top w:w="15" w:type="dxa"/>
                    <w:left w:w="15" w:type="dxa"/>
                    <w:right w:w="15" w:type="dxa"/>
                  </w:tcMar>
                  <w:vAlign w:val="center"/>
                </w:tcPr>
                <w:p w14:paraId="139C2F60">
                  <w:pPr>
                    <w:jc w:val="center"/>
                    <w:rPr>
                      <w:rFonts w:cs="Arial"/>
                      <w:szCs w:val="24"/>
                    </w:rPr>
                  </w:pPr>
                  <w:r>
                    <w:rPr>
                      <w:rFonts w:hint="eastAsia" w:cs="Arial"/>
                      <w:szCs w:val="24"/>
                    </w:rPr>
                    <w:t>宽</w:t>
                  </w:r>
                  <w:r>
                    <w:rPr>
                      <w:rFonts w:cs="Arial"/>
                      <w:szCs w:val="24"/>
                    </w:rPr>
                    <w:t>400mm，高100mm，厚2mm，热镀锌</w:t>
                  </w:r>
                </w:p>
              </w:tc>
              <w:tc>
                <w:tcPr>
                  <w:tcW w:w="595" w:type="dxa"/>
                  <w:tcMar>
                    <w:top w:w="15" w:type="dxa"/>
                    <w:left w:w="15" w:type="dxa"/>
                    <w:right w:w="15" w:type="dxa"/>
                  </w:tcMar>
                  <w:vAlign w:val="center"/>
                </w:tcPr>
                <w:p w14:paraId="1EE48BC6">
                  <w:pPr>
                    <w:jc w:val="center"/>
                    <w:rPr>
                      <w:rFonts w:cs="Arial"/>
                      <w:szCs w:val="24"/>
                    </w:rPr>
                  </w:pPr>
                  <w:r>
                    <w:rPr>
                      <w:rFonts w:cs="Arial"/>
                      <w:szCs w:val="24"/>
                    </w:rPr>
                    <w:t>km</w:t>
                  </w:r>
                </w:p>
              </w:tc>
              <w:tc>
                <w:tcPr>
                  <w:tcW w:w="610" w:type="dxa"/>
                  <w:tcMar>
                    <w:top w:w="15" w:type="dxa"/>
                    <w:left w:w="15" w:type="dxa"/>
                    <w:right w:w="15" w:type="dxa"/>
                  </w:tcMar>
                  <w:vAlign w:val="center"/>
                </w:tcPr>
                <w:p w14:paraId="33FCED7B">
                  <w:pPr>
                    <w:jc w:val="center"/>
                    <w:rPr>
                      <w:rFonts w:cs="Arial"/>
                      <w:szCs w:val="24"/>
                    </w:rPr>
                  </w:pPr>
                  <w:r>
                    <w:rPr>
                      <w:rFonts w:hint="eastAsia" w:cs="Arial"/>
                      <w:szCs w:val="24"/>
                    </w:rPr>
                    <w:t>6</w:t>
                  </w:r>
                </w:p>
              </w:tc>
            </w:tr>
            <w:tr w14:paraId="0495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064B9F71">
                  <w:pPr>
                    <w:jc w:val="center"/>
                    <w:rPr>
                      <w:rFonts w:cs="Arial"/>
                      <w:szCs w:val="24"/>
                    </w:rPr>
                  </w:pPr>
                  <w:r>
                    <w:rPr>
                      <w:rFonts w:hint="eastAsia" w:cs="Arial"/>
                      <w:szCs w:val="24"/>
                    </w:rPr>
                    <w:t>（3）</w:t>
                  </w:r>
                </w:p>
              </w:tc>
              <w:tc>
                <w:tcPr>
                  <w:tcW w:w="2552" w:type="dxa"/>
                  <w:tcMar>
                    <w:top w:w="15" w:type="dxa"/>
                    <w:left w:w="15" w:type="dxa"/>
                    <w:right w:w="15" w:type="dxa"/>
                  </w:tcMar>
                  <w:vAlign w:val="center"/>
                </w:tcPr>
                <w:p w14:paraId="18CBF1A8">
                  <w:pPr>
                    <w:jc w:val="center"/>
                    <w:rPr>
                      <w:rFonts w:cs="Arial"/>
                      <w:szCs w:val="24"/>
                    </w:rPr>
                  </w:pPr>
                  <w:r>
                    <w:rPr>
                      <w:rFonts w:hint="eastAsia" w:cs="Arial"/>
                      <w:szCs w:val="24"/>
                    </w:rPr>
                    <w:t>槽盒及配套支架</w:t>
                  </w:r>
                </w:p>
              </w:tc>
              <w:tc>
                <w:tcPr>
                  <w:tcW w:w="3769" w:type="dxa"/>
                  <w:tcMar>
                    <w:top w:w="15" w:type="dxa"/>
                    <w:left w:w="15" w:type="dxa"/>
                    <w:right w:w="15" w:type="dxa"/>
                  </w:tcMar>
                  <w:vAlign w:val="center"/>
                </w:tcPr>
                <w:p w14:paraId="6A62F752">
                  <w:pPr>
                    <w:jc w:val="center"/>
                    <w:rPr>
                      <w:rFonts w:cs="Arial"/>
                      <w:szCs w:val="24"/>
                    </w:rPr>
                  </w:pPr>
                  <w:r>
                    <w:rPr>
                      <w:rFonts w:hint="eastAsia" w:cs="Arial"/>
                      <w:szCs w:val="24"/>
                    </w:rPr>
                    <w:t>宽</w:t>
                  </w:r>
                  <w:r>
                    <w:rPr>
                      <w:rFonts w:cs="Arial"/>
                      <w:szCs w:val="24"/>
                    </w:rPr>
                    <w:t>600mm，高150mm，厚2mm，热镀锌</w:t>
                  </w:r>
                </w:p>
              </w:tc>
              <w:tc>
                <w:tcPr>
                  <w:tcW w:w="595" w:type="dxa"/>
                  <w:tcMar>
                    <w:top w:w="15" w:type="dxa"/>
                    <w:left w:w="15" w:type="dxa"/>
                    <w:right w:w="15" w:type="dxa"/>
                  </w:tcMar>
                  <w:vAlign w:val="center"/>
                </w:tcPr>
                <w:p w14:paraId="1F7D324D">
                  <w:pPr>
                    <w:jc w:val="center"/>
                    <w:rPr>
                      <w:rFonts w:cs="Arial"/>
                      <w:szCs w:val="24"/>
                    </w:rPr>
                  </w:pPr>
                  <w:r>
                    <w:rPr>
                      <w:rFonts w:cs="Arial"/>
                      <w:szCs w:val="24"/>
                    </w:rPr>
                    <w:t>km</w:t>
                  </w:r>
                </w:p>
              </w:tc>
              <w:tc>
                <w:tcPr>
                  <w:tcW w:w="610" w:type="dxa"/>
                  <w:tcMar>
                    <w:top w:w="15" w:type="dxa"/>
                    <w:left w:w="15" w:type="dxa"/>
                    <w:right w:w="15" w:type="dxa"/>
                  </w:tcMar>
                  <w:vAlign w:val="center"/>
                </w:tcPr>
                <w:p w14:paraId="4E0CDB1C">
                  <w:pPr>
                    <w:jc w:val="center"/>
                    <w:rPr>
                      <w:rFonts w:cs="Arial"/>
                      <w:szCs w:val="24"/>
                    </w:rPr>
                  </w:pPr>
                  <w:r>
                    <w:rPr>
                      <w:rFonts w:hint="eastAsia" w:cs="Arial"/>
                      <w:szCs w:val="24"/>
                    </w:rPr>
                    <w:t>4</w:t>
                  </w:r>
                </w:p>
              </w:tc>
            </w:tr>
            <w:tr w14:paraId="42E3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039D45FF">
                  <w:pPr>
                    <w:jc w:val="center"/>
                    <w:rPr>
                      <w:rFonts w:cs="Arial"/>
                      <w:szCs w:val="24"/>
                    </w:rPr>
                  </w:pPr>
                  <w:r>
                    <w:rPr>
                      <w:rFonts w:hint="eastAsia" w:cs="Arial"/>
                      <w:szCs w:val="24"/>
                    </w:rPr>
                    <w:t>二</w:t>
                  </w:r>
                </w:p>
              </w:tc>
              <w:tc>
                <w:tcPr>
                  <w:tcW w:w="2552" w:type="dxa"/>
                  <w:tcMar>
                    <w:top w:w="15" w:type="dxa"/>
                    <w:left w:w="15" w:type="dxa"/>
                    <w:right w:w="15" w:type="dxa"/>
                  </w:tcMar>
                  <w:vAlign w:val="center"/>
                </w:tcPr>
                <w:p w14:paraId="5E1B7969">
                  <w:pPr>
                    <w:jc w:val="center"/>
                    <w:rPr>
                      <w:rFonts w:cs="Arial"/>
                      <w:szCs w:val="24"/>
                    </w:rPr>
                  </w:pPr>
                  <w:r>
                    <w:rPr>
                      <w:rFonts w:hint="eastAsia" w:cs="Arial"/>
                      <w:szCs w:val="24"/>
                    </w:rPr>
                    <w:t>逆变升压部分</w:t>
                  </w:r>
                </w:p>
              </w:tc>
              <w:tc>
                <w:tcPr>
                  <w:tcW w:w="3769" w:type="dxa"/>
                  <w:tcMar>
                    <w:top w:w="15" w:type="dxa"/>
                    <w:left w:w="15" w:type="dxa"/>
                    <w:right w:w="15" w:type="dxa"/>
                  </w:tcMar>
                  <w:vAlign w:val="center"/>
                </w:tcPr>
                <w:p w14:paraId="2D34CCFA">
                  <w:pPr>
                    <w:jc w:val="center"/>
                    <w:rPr>
                      <w:rFonts w:cs="Arial"/>
                      <w:szCs w:val="24"/>
                    </w:rPr>
                  </w:pPr>
                </w:p>
              </w:tc>
              <w:tc>
                <w:tcPr>
                  <w:tcW w:w="595" w:type="dxa"/>
                  <w:tcMar>
                    <w:top w:w="15" w:type="dxa"/>
                    <w:left w:w="15" w:type="dxa"/>
                    <w:right w:w="15" w:type="dxa"/>
                  </w:tcMar>
                  <w:vAlign w:val="center"/>
                </w:tcPr>
                <w:p w14:paraId="7661FCFA">
                  <w:pPr>
                    <w:jc w:val="center"/>
                    <w:rPr>
                      <w:rFonts w:cs="Arial"/>
                      <w:szCs w:val="24"/>
                    </w:rPr>
                  </w:pPr>
                </w:p>
              </w:tc>
              <w:tc>
                <w:tcPr>
                  <w:tcW w:w="610" w:type="dxa"/>
                  <w:tcMar>
                    <w:top w:w="15" w:type="dxa"/>
                    <w:left w:w="15" w:type="dxa"/>
                    <w:right w:w="15" w:type="dxa"/>
                  </w:tcMar>
                  <w:vAlign w:val="center"/>
                </w:tcPr>
                <w:p w14:paraId="0D177149">
                  <w:pPr>
                    <w:jc w:val="center"/>
                    <w:rPr>
                      <w:rFonts w:cs="Arial"/>
                      <w:szCs w:val="24"/>
                    </w:rPr>
                  </w:pPr>
                </w:p>
              </w:tc>
            </w:tr>
            <w:tr w14:paraId="7082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48B8D391">
                  <w:pPr>
                    <w:jc w:val="center"/>
                    <w:rPr>
                      <w:rFonts w:cs="Arial"/>
                      <w:szCs w:val="24"/>
                    </w:rPr>
                  </w:pPr>
                  <w:r>
                    <w:rPr>
                      <w:rFonts w:cs="Arial"/>
                      <w:szCs w:val="24"/>
                    </w:rPr>
                    <w:t>1</w:t>
                  </w:r>
                </w:p>
              </w:tc>
              <w:tc>
                <w:tcPr>
                  <w:tcW w:w="2552" w:type="dxa"/>
                  <w:tcMar>
                    <w:top w:w="15" w:type="dxa"/>
                    <w:left w:w="15" w:type="dxa"/>
                    <w:right w:w="15" w:type="dxa"/>
                  </w:tcMar>
                  <w:vAlign w:val="center"/>
                </w:tcPr>
                <w:p w14:paraId="024F6A94">
                  <w:pPr>
                    <w:jc w:val="center"/>
                    <w:rPr>
                      <w:rFonts w:cs="Arial"/>
                      <w:szCs w:val="24"/>
                    </w:rPr>
                  </w:pPr>
                  <w:r>
                    <w:rPr>
                      <w:rFonts w:hint="eastAsia" w:cs="Arial"/>
                      <w:szCs w:val="24"/>
                    </w:rPr>
                    <w:t>组串逆变器</w:t>
                  </w:r>
                </w:p>
              </w:tc>
              <w:tc>
                <w:tcPr>
                  <w:tcW w:w="3769" w:type="dxa"/>
                  <w:tcMar>
                    <w:top w:w="15" w:type="dxa"/>
                    <w:left w:w="15" w:type="dxa"/>
                    <w:right w:w="15" w:type="dxa"/>
                  </w:tcMar>
                  <w:vAlign w:val="center"/>
                </w:tcPr>
                <w:p w14:paraId="30570BFF">
                  <w:pPr>
                    <w:jc w:val="center"/>
                    <w:rPr>
                      <w:rFonts w:cs="Arial"/>
                      <w:szCs w:val="24"/>
                    </w:rPr>
                  </w:pPr>
                  <w:r>
                    <w:rPr>
                      <w:rFonts w:hint="eastAsia" w:cs="Arial"/>
                      <w:szCs w:val="24"/>
                    </w:rPr>
                    <w:t>320kW</w:t>
                  </w:r>
                </w:p>
              </w:tc>
              <w:tc>
                <w:tcPr>
                  <w:tcW w:w="595" w:type="dxa"/>
                  <w:tcMar>
                    <w:top w:w="15" w:type="dxa"/>
                    <w:left w:w="15" w:type="dxa"/>
                    <w:right w:w="15" w:type="dxa"/>
                  </w:tcMar>
                  <w:vAlign w:val="center"/>
                </w:tcPr>
                <w:p w14:paraId="7F3D2792">
                  <w:pPr>
                    <w:jc w:val="center"/>
                    <w:rPr>
                      <w:rFonts w:cs="Arial"/>
                      <w:szCs w:val="24"/>
                    </w:rPr>
                  </w:pPr>
                  <w:r>
                    <w:rPr>
                      <w:rFonts w:hint="eastAsia" w:cs="Arial"/>
                      <w:szCs w:val="24"/>
                    </w:rPr>
                    <w:t>台</w:t>
                  </w:r>
                </w:p>
              </w:tc>
              <w:tc>
                <w:tcPr>
                  <w:tcW w:w="610" w:type="dxa"/>
                  <w:tcMar>
                    <w:top w:w="15" w:type="dxa"/>
                    <w:left w:w="15" w:type="dxa"/>
                    <w:right w:w="15" w:type="dxa"/>
                  </w:tcMar>
                  <w:vAlign w:val="center"/>
                </w:tcPr>
                <w:p w14:paraId="0D33E4D2">
                  <w:pPr>
                    <w:jc w:val="center"/>
                    <w:rPr>
                      <w:rFonts w:cs="Arial"/>
                      <w:szCs w:val="24"/>
                    </w:rPr>
                  </w:pPr>
                  <w:r>
                    <w:rPr>
                      <w:rFonts w:hint="eastAsia" w:cs="Arial"/>
                      <w:szCs w:val="24"/>
                    </w:rPr>
                    <w:t>157</w:t>
                  </w:r>
                </w:p>
              </w:tc>
            </w:tr>
            <w:tr w14:paraId="0D80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vMerge w:val="restart"/>
                  <w:tcMar>
                    <w:top w:w="15" w:type="dxa"/>
                    <w:left w:w="15" w:type="dxa"/>
                    <w:right w:w="15" w:type="dxa"/>
                  </w:tcMar>
                  <w:vAlign w:val="center"/>
                </w:tcPr>
                <w:p w14:paraId="4E110A08">
                  <w:pPr>
                    <w:jc w:val="center"/>
                    <w:rPr>
                      <w:rFonts w:cs="Arial"/>
                      <w:szCs w:val="24"/>
                    </w:rPr>
                  </w:pPr>
                  <w:r>
                    <w:rPr>
                      <w:rFonts w:hint="eastAsia" w:cs="Arial"/>
                      <w:szCs w:val="24"/>
                    </w:rPr>
                    <w:t>2</w:t>
                  </w:r>
                </w:p>
              </w:tc>
              <w:tc>
                <w:tcPr>
                  <w:tcW w:w="2552" w:type="dxa"/>
                  <w:vMerge w:val="restart"/>
                  <w:tcMar>
                    <w:top w:w="15" w:type="dxa"/>
                    <w:left w:w="15" w:type="dxa"/>
                    <w:right w:w="15" w:type="dxa"/>
                  </w:tcMar>
                  <w:vAlign w:val="center"/>
                </w:tcPr>
                <w:p w14:paraId="0F3C6F41">
                  <w:pPr>
                    <w:jc w:val="center"/>
                    <w:rPr>
                      <w:rFonts w:cs="Arial"/>
                      <w:szCs w:val="24"/>
                    </w:rPr>
                  </w:pPr>
                  <w:r>
                    <w:rPr>
                      <w:rFonts w:hint="eastAsia" w:cs="Arial"/>
                      <w:szCs w:val="24"/>
                    </w:rPr>
                    <w:t>35kV箱式升压变电站</w:t>
                  </w:r>
                </w:p>
              </w:tc>
              <w:tc>
                <w:tcPr>
                  <w:tcW w:w="3769" w:type="dxa"/>
                  <w:tcMar>
                    <w:top w:w="15" w:type="dxa"/>
                    <w:left w:w="15" w:type="dxa"/>
                    <w:right w:w="15" w:type="dxa"/>
                  </w:tcMar>
                  <w:vAlign w:val="center"/>
                </w:tcPr>
                <w:p w14:paraId="76AA2DE9">
                  <w:pPr>
                    <w:jc w:val="center"/>
                    <w:rPr>
                      <w:rFonts w:cs="Arial"/>
                      <w:szCs w:val="24"/>
                    </w:rPr>
                  </w:pPr>
                  <w:r>
                    <w:rPr>
                      <w:rFonts w:hint="eastAsia" w:cs="Arial"/>
                      <w:szCs w:val="24"/>
                    </w:rPr>
                    <w:t>华变，1000kVA-37kV/0.8kV</w:t>
                  </w:r>
                </w:p>
              </w:tc>
              <w:tc>
                <w:tcPr>
                  <w:tcW w:w="595" w:type="dxa"/>
                  <w:tcMar>
                    <w:top w:w="15" w:type="dxa"/>
                    <w:left w:w="15" w:type="dxa"/>
                    <w:right w:w="15" w:type="dxa"/>
                  </w:tcMar>
                  <w:vAlign w:val="center"/>
                </w:tcPr>
                <w:p w14:paraId="501FB64C">
                  <w:pPr>
                    <w:jc w:val="center"/>
                    <w:rPr>
                      <w:rFonts w:cs="Arial"/>
                      <w:szCs w:val="24"/>
                    </w:rPr>
                  </w:pPr>
                  <w:r>
                    <w:rPr>
                      <w:rFonts w:hint="eastAsia" w:cs="Arial"/>
                      <w:szCs w:val="24"/>
                    </w:rPr>
                    <w:t>台</w:t>
                  </w:r>
                </w:p>
              </w:tc>
              <w:tc>
                <w:tcPr>
                  <w:tcW w:w="610" w:type="dxa"/>
                  <w:tcMar>
                    <w:top w:w="15" w:type="dxa"/>
                    <w:left w:w="15" w:type="dxa"/>
                    <w:right w:w="15" w:type="dxa"/>
                  </w:tcMar>
                  <w:vAlign w:val="center"/>
                </w:tcPr>
                <w:p w14:paraId="1A419210">
                  <w:pPr>
                    <w:jc w:val="center"/>
                    <w:rPr>
                      <w:rFonts w:cs="Arial"/>
                      <w:szCs w:val="24"/>
                    </w:rPr>
                  </w:pPr>
                  <w:r>
                    <w:rPr>
                      <w:rFonts w:hint="eastAsia" w:cs="Arial"/>
                      <w:szCs w:val="24"/>
                    </w:rPr>
                    <w:t>2</w:t>
                  </w:r>
                </w:p>
              </w:tc>
            </w:tr>
            <w:tr w14:paraId="7900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vMerge w:val="continue"/>
                  <w:tcMar>
                    <w:top w:w="15" w:type="dxa"/>
                    <w:left w:w="15" w:type="dxa"/>
                    <w:right w:w="15" w:type="dxa"/>
                  </w:tcMar>
                  <w:vAlign w:val="center"/>
                </w:tcPr>
                <w:p w14:paraId="18B8B841">
                  <w:pPr>
                    <w:jc w:val="center"/>
                    <w:rPr>
                      <w:rFonts w:cs="Arial"/>
                      <w:szCs w:val="24"/>
                    </w:rPr>
                  </w:pPr>
                </w:p>
              </w:tc>
              <w:tc>
                <w:tcPr>
                  <w:tcW w:w="2552" w:type="dxa"/>
                  <w:vMerge w:val="continue"/>
                  <w:tcMar>
                    <w:top w:w="15" w:type="dxa"/>
                    <w:left w:w="15" w:type="dxa"/>
                    <w:right w:w="15" w:type="dxa"/>
                  </w:tcMar>
                  <w:vAlign w:val="center"/>
                </w:tcPr>
                <w:p w14:paraId="206329C6">
                  <w:pPr>
                    <w:jc w:val="center"/>
                    <w:rPr>
                      <w:rFonts w:cs="Arial"/>
                      <w:szCs w:val="24"/>
                    </w:rPr>
                  </w:pPr>
                </w:p>
              </w:tc>
              <w:tc>
                <w:tcPr>
                  <w:tcW w:w="3769" w:type="dxa"/>
                  <w:tcMar>
                    <w:top w:w="15" w:type="dxa"/>
                    <w:left w:w="15" w:type="dxa"/>
                    <w:right w:w="15" w:type="dxa"/>
                  </w:tcMar>
                  <w:vAlign w:val="center"/>
                </w:tcPr>
                <w:p w14:paraId="52FB2954">
                  <w:pPr>
                    <w:jc w:val="center"/>
                    <w:rPr>
                      <w:rFonts w:cs="Arial"/>
                      <w:szCs w:val="24"/>
                    </w:rPr>
                  </w:pPr>
                  <w:r>
                    <w:rPr>
                      <w:rFonts w:hint="eastAsia" w:cs="Arial"/>
                      <w:szCs w:val="24"/>
                    </w:rPr>
                    <w:t>华变，1300kVA-37kV/0.8kV</w:t>
                  </w:r>
                </w:p>
              </w:tc>
              <w:tc>
                <w:tcPr>
                  <w:tcW w:w="595" w:type="dxa"/>
                  <w:tcMar>
                    <w:top w:w="15" w:type="dxa"/>
                    <w:left w:w="15" w:type="dxa"/>
                    <w:right w:w="15" w:type="dxa"/>
                  </w:tcMar>
                  <w:vAlign w:val="center"/>
                </w:tcPr>
                <w:p w14:paraId="34C02A87">
                  <w:pPr>
                    <w:jc w:val="center"/>
                    <w:rPr>
                      <w:rFonts w:cs="Arial"/>
                      <w:szCs w:val="24"/>
                    </w:rPr>
                  </w:pPr>
                  <w:r>
                    <w:rPr>
                      <w:rFonts w:hint="eastAsia" w:cs="Arial"/>
                      <w:szCs w:val="24"/>
                    </w:rPr>
                    <w:t>台</w:t>
                  </w:r>
                </w:p>
              </w:tc>
              <w:tc>
                <w:tcPr>
                  <w:tcW w:w="610" w:type="dxa"/>
                  <w:tcMar>
                    <w:top w:w="15" w:type="dxa"/>
                    <w:left w:w="15" w:type="dxa"/>
                    <w:right w:w="15" w:type="dxa"/>
                  </w:tcMar>
                  <w:vAlign w:val="center"/>
                </w:tcPr>
                <w:p w14:paraId="13C8319F">
                  <w:pPr>
                    <w:jc w:val="center"/>
                    <w:rPr>
                      <w:rFonts w:cs="Arial"/>
                      <w:szCs w:val="24"/>
                    </w:rPr>
                  </w:pPr>
                  <w:r>
                    <w:rPr>
                      <w:rFonts w:hint="eastAsia" w:cs="Arial"/>
                      <w:szCs w:val="24"/>
                    </w:rPr>
                    <w:t>2</w:t>
                  </w:r>
                </w:p>
              </w:tc>
            </w:tr>
            <w:tr w14:paraId="0B53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vMerge w:val="continue"/>
                  <w:tcMar>
                    <w:top w:w="15" w:type="dxa"/>
                    <w:left w:w="15" w:type="dxa"/>
                    <w:right w:w="15" w:type="dxa"/>
                  </w:tcMar>
                  <w:vAlign w:val="center"/>
                </w:tcPr>
                <w:p w14:paraId="15E4CB58">
                  <w:pPr>
                    <w:jc w:val="center"/>
                    <w:rPr>
                      <w:rFonts w:cs="Arial"/>
                      <w:szCs w:val="24"/>
                    </w:rPr>
                  </w:pPr>
                </w:p>
              </w:tc>
              <w:tc>
                <w:tcPr>
                  <w:tcW w:w="2552" w:type="dxa"/>
                  <w:vMerge w:val="continue"/>
                  <w:tcMar>
                    <w:top w:w="15" w:type="dxa"/>
                    <w:left w:w="15" w:type="dxa"/>
                    <w:right w:w="15" w:type="dxa"/>
                  </w:tcMar>
                  <w:vAlign w:val="center"/>
                </w:tcPr>
                <w:p w14:paraId="0ECA0291">
                  <w:pPr>
                    <w:jc w:val="center"/>
                    <w:rPr>
                      <w:rFonts w:cs="Arial"/>
                      <w:szCs w:val="24"/>
                    </w:rPr>
                  </w:pPr>
                </w:p>
              </w:tc>
              <w:tc>
                <w:tcPr>
                  <w:tcW w:w="3769" w:type="dxa"/>
                  <w:tcMar>
                    <w:top w:w="15" w:type="dxa"/>
                    <w:left w:w="15" w:type="dxa"/>
                    <w:right w:w="15" w:type="dxa"/>
                  </w:tcMar>
                  <w:vAlign w:val="center"/>
                </w:tcPr>
                <w:p w14:paraId="27C89A33">
                  <w:pPr>
                    <w:jc w:val="center"/>
                    <w:rPr>
                      <w:rFonts w:cs="Arial"/>
                      <w:szCs w:val="24"/>
                    </w:rPr>
                  </w:pPr>
                  <w:r>
                    <w:rPr>
                      <w:rFonts w:hint="eastAsia" w:cs="Arial"/>
                      <w:szCs w:val="24"/>
                    </w:rPr>
                    <w:t>华变，1600kVA-37kV/0.8kV</w:t>
                  </w:r>
                </w:p>
              </w:tc>
              <w:tc>
                <w:tcPr>
                  <w:tcW w:w="595" w:type="dxa"/>
                  <w:tcMar>
                    <w:top w:w="15" w:type="dxa"/>
                    <w:left w:w="15" w:type="dxa"/>
                    <w:right w:w="15" w:type="dxa"/>
                  </w:tcMar>
                  <w:vAlign w:val="center"/>
                </w:tcPr>
                <w:p w14:paraId="2816B10C">
                  <w:pPr>
                    <w:jc w:val="center"/>
                    <w:rPr>
                      <w:rFonts w:cs="Arial"/>
                      <w:szCs w:val="24"/>
                    </w:rPr>
                  </w:pPr>
                  <w:r>
                    <w:rPr>
                      <w:rFonts w:hint="eastAsia" w:cs="Arial"/>
                      <w:szCs w:val="24"/>
                    </w:rPr>
                    <w:t>台</w:t>
                  </w:r>
                </w:p>
              </w:tc>
              <w:tc>
                <w:tcPr>
                  <w:tcW w:w="610" w:type="dxa"/>
                  <w:tcMar>
                    <w:top w:w="15" w:type="dxa"/>
                    <w:left w:w="15" w:type="dxa"/>
                    <w:right w:w="15" w:type="dxa"/>
                  </w:tcMar>
                  <w:vAlign w:val="center"/>
                </w:tcPr>
                <w:p w14:paraId="616DC68A">
                  <w:pPr>
                    <w:jc w:val="center"/>
                    <w:rPr>
                      <w:rFonts w:cs="Arial"/>
                      <w:szCs w:val="24"/>
                    </w:rPr>
                  </w:pPr>
                  <w:r>
                    <w:rPr>
                      <w:rFonts w:hint="eastAsia" w:cs="Arial"/>
                      <w:szCs w:val="24"/>
                    </w:rPr>
                    <w:t>3</w:t>
                  </w:r>
                </w:p>
              </w:tc>
            </w:tr>
            <w:tr w14:paraId="58A5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704" w:type="dxa"/>
                  <w:vMerge w:val="continue"/>
                  <w:tcMar>
                    <w:top w:w="15" w:type="dxa"/>
                    <w:left w:w="15" w:type="dxa"/>
                    <w:right w:w="15" w:type="dxa"/>
                  </w:tcMar>
                  <w:vAlign w:val="center"/>
                </w:tcPr>
                <w:p w14:paraId="1F7B395C">
                  <w:pPr>
                    <w:jc w:val="center"/>
                    <w:rPr>
                      <w:rFonts w:cs="Arial"/>
                      <w:szCs w:val="24"/>
                    </w:rPr>
                  </w:pPr>
                </w:p>
              </w:tc>
              <w:tc>
                <w:tcPr>
                  <w:tcW w:w="2552" w:type="dxa"/>
                  <w:vMerge w:val="continue"/>
                  <w:tcMar>
                    <w:top w:w="15" w:type="dxa"/>
                    <w:left w:w="15" w:type="dxa"/>
                    <w:right w:w="15" w:type="dxa"/>
                  </w:tcMar>
                  <w:vAlign w:val="center"/>
                </w:tcPr>
                <w:p w14:paraId="2457186A">
                  <w:pPr>
                    <w:jc w:val="center"/>
                    <w:rPr>
                      <w:rFonts w:cs="Arial"/>
                      <w:szCs w:val="24"/>
                    </w:rPr>
                  </w:pPr>
                </w:p>
              </w:tc>
              <w:tc>
                <w:tcPr>
                  <w:tcW w:w="3769" w:type="dxa"/>
                  <w:tcMar>
                    <w:top w:w="15" w:type="dxa"/>
                    <w:left w:w="15" w:type="dxa"/>
                    <w:right w:w="15" w:type="dxa"/>
                  </w:tcMar>
                  <w:vAlign w:val="center"/>
                </w:tcPr>
                <w:p w14:paraId="334CC4EE">
                  <w:pPr>
                    <w:jc w:val="center"/>
                    <w:rPr>
                      <w:rFonts w:cs="Arial"/>
                      <w:szCs w:val="24"/>
                    </w:rPr>
                  </w:pPr>
                  <w:r>
                    <w:rPr>
                      <w:rFonts w:hint="eastAsia" w:cs="Arial"/>
                      <w:szCs w:val="24"/>
                    </w:rPr>
                    <w:t>华变，2000kVA-37kV/0.8kV</w:t>
                  </w:r>
                </w:p>
              </w:tc>
              <w:tc>
                <w:tcPr>
                  <w:tcW w:w="595" w:type="dxa"/>
                  <w:tcMar>
                    <w:top w:w="15" w:type="dxa"/>
                    <w:left w:w="15" w:type="dxa"/>
                    <w:right w:w="15" w:type="dxa"/>
                  </w:tcMar>
                  <w:vAlign w:val="center"/>
                </w:tcPr>
                <w:p w14:paraId="4FD69A30">
                  <w:pPr>
                    <w:jc w:val="center"/>
                    <w:rPr>
                      <w:rFonts w:cs="Arial"/>
                      <w:szCs w:val="24"/>
                    </w:rPr>
                  </w:pPr>
                  <w:r>
                    <w:rPr>
                      <w:rFonts w:hint="eastAsia" w:cs="Arial"/>
                      <w:szCs w:val="24"/>
                    </w:rPr>
                    <w:t>台</w:t>
                  </w:r>
                </w:p>
              </w:tc>
              <w:tc>
                <w:tcPr>
                  <w:tcW w:w="610" w:type="dxa"/>
                  <w:tcMar>
                    <w:top w:w="15" w:type="dxa"/>
                    <w:left w:w="15" w:type="dxa"/>
                    <w:right w:w="15" w:type="dxa"/>
                  </w:tcMar>
                  <w:vAlign w:val="center"/>
                </w:tcPr>
                <w:p w14:paraId="7FA65EB7">
                  <w:pPr>
                    <w:jc w:val="center"/>
                    <w:rPr>
                      <w:rFonts w:cs="Arial"/>
                      <w:szCs w:val="24"/>
                    </w:rPr>
                  </w:pPr>
                  <w:r>
                    <w:rPr>
                      <w:rFonts w:hint="eastAsia" w:cs="Arial"/>
                      <w:szCs w:val="24"/>
                    </w:rPr>
                    <w:t>1</w:t>
                  </w:r>
                </w:p>
              </w:tc>
            </w:tr>
            <w:tr w14:paraId="39A4E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704" w:type="dxa"/>
                  <w:vMerge w:val="continue"/>
                  <w:tcMar>
                    <w:top w:w="15" w:type="dxa"/>
                    <w:left w:w="15" w:type="dxa"/>
                    <w:right w:w="15" w:type="dxa"/>
                  </w:tcMar>
                  <w:vAlign w:val="center"/>
                </w:tcPr>
                <w:p w14:paraId="331C0BBC">
                  <w:pPr>
                    <w:jc w:val="center"/>
                    <w:rPr>
                      <w:rFonts w:cs="Arial"/>
                      <w:szCs w:val="24"/>
                    </w:rPr>
                  </w:pPr>
                </w:p>
              </w:tc>
              <w:tc>
                <w:tcPr>
                  <w:tcW w:w="2552" w:type="dxa"/>
                  <w:vMerge w:val="continue"/>
                  <w:tcMar>
                    <w:top w:w="15" w:type="dxa"/>
                    <w:left w:w="15" w:type="dxa"/>
                    <w:right w:w="15" w:type="dxa"/>
                  </w:tcMar>
                  <w:vAlign w:val="center"/>
                </w:tcPr>
                <w:p w14:paraId="5CB047C7">
                  <w:pPr>
                    <w:jc w:val="center"/>
                    <w:rPr>
                      <w:rFonts w:cs="Arial"/>
                      <w:szCs w:val="24"/>
                    </w:rPr>
                  </w:pPr>
                </w:p>
              </w:tc>
              <w:tc>
                <w:tcPr>
                  <w:tcW w:w="3769" w:type="dxa"/>
                  <w:tcMar>
                    <w:top w:w="15" w:type="dxa"/>
                    <w:left w:w="15" w:type="dxa"/>
                    <w:right w:w="15" w:type="dxa"/>
                  </w:tcMar>
                  <w:vAlign w:val="center"/>
                </w:tcPr>
                <w:p w14:paraId="75ED9215">
                  <w:pPr>
                    <w:jc w:val="center"/>
                    <w:rPr>
                      <w:rFonts w:cs="Arial"/>
                      <w:szCs w:val="24"/>
                    </w:rPr>
                  </w:pPr>
                  <w:r>
                    <w:rPr>
                      <w:rFonts w:hint="eastAsia" w:cs="Arial"/>
                      <w:szCs w:val="24"/>
                    </w:rPr>
                    <w:t>华变，2300kVA-37kV/0.8kV</w:t>
                  </w:r>
                </w:p>
              </w:tc>
              <w:tc>
                <w:tcPr>
                  <w:tcW w:w="595" w:type="dxa"/>
                  <w:tcMar>
                    <w:top w:w="15" w:type="dxa"/>
                    <w:left w:w="15" w:type="dxa"/>
                    <w:right w:w="15" w:type="dxa"/>
                  </w:tcMar>
                  <w:vAlign w:val="center"/>
                </w:tcPr>
                <w:p w14:paraId="244603A2">
                  <w:pPr>
                    <w:jc w:val="center"/>
                    <w:rPr>
                      <w:rFonts w:cs="Arial"/>
                      <w:szCs w:val="24"/>
                    </w:rPr>
                  </w:pPr>
                  <w:r>
                    <w:rPr>
                      <w:rFonts w:hint="eastAsia" w:cs="Arial"/>
                      <w:szCs w:val="24"/>
                    </w:rPr>
                    <w:t>台</w:t>
                  </w:r>
                </w:p>
              </w:tc>
              <w:tc>
                <w:tcPr>
                  <w:tcW w:w="610" w:type="dxa"/>
                  <w:tcMar>
                    <w:top w:w="15" w:type="dxa"/>
                    <w:left w:w="15" w:type="dxa"/>
                    <w:right w:w="15" w:type="dxa"/>
                  </w:tcMar>
                  <w:vAlign w:val="center"/>
                </w:tcPr>
                <w:p w14:paraId="3274CECF">
                  <w:pPr>
                    <w:jc w:val="center"/>
                    <w:rPr>
                      <w:rFonts w:cs="Arial"/>
                      <w:szCs w:val="24"/>
                    </w:rPr>
                  </w:pPr>
                  <w:r>
                    <w:rPr>
                      <w:rFonts w:hint="eastAsia" w:cs="Arial"/>
                      <w:szCs w:val="24"/>
                    </w:rPr>
                    <w:t>2</w:t>
                  </w:r>
                </w:p>
              </w:tc>
            </w:tr>
            <w:tr w14:paraId="1946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704" w:type="dxa"/>
                  <w:vMerge w:val="continue"/>
                  <w:tcMar>
                    <w:top w:w="15" w:type="dxa"/>
                    <w:left w:w="15" w:type="dxa"/>
                    <w:right w:w="15" w:type="dxa"/>
                  </w:tcMar>
                  <w:vAlign w:val="center"/>
                </w:tcPr>
                <w:p w14:paraId="29117AC7">
                  <w:pPr>
                    <w:jc w:val="center"/>
                    <w:rPr>
                      <w:rFonts w:cs="Arial"/>
                      <w:szCs w:val="24"/>
                    </w:rPr>
                  </w:pPr>
                </w:p>
              </w:tc>
              <w:tc>
                <w:tcPr>
                  <w:tcW w:w="2552" w:type="dxa"/>
                  <w:vMerge w:val="continue"/>
                  <w:tcMar>
                    <w:top w:w="15" w:type="dxa"/>
                    <w:left w:w="15" w:type="dxa"/>
                    <w:right w:w="15" w:type="dxa"/>
                  </w:tcMar>
                  <w:vAlign w:val="center"/>
                </w:tcPr>
                <w:p w14:paraId="137BA0FC">
                  <w:pPr>
                    <w:jc w:val="center"/>
                    <w:rPr>
                      <w:rFonts w:cs="Arial"/>
                      <w:szCs w:val="24"/>
                    </w:rPr>
                  </w:pPr>
                </w:p>
              </w:tc>
              <w:tc>
                <w:tcPr>
                  <w:tcW w:w="3769" w:type="dxa"/>
                  <w:tcMar>
                    <w:top w:w="15" w:type="dxa"/>
                    <w:left w:w="15" w:type="dxa"/>
                    <w:right w:w="15" w:type="dxa"/>
                  </w:tcMar>
                  <w:vAlign w:val="center"/>
                </w:tcPr>
                <w:p w14:paraId="0A2C5DBD">
                  <w:pPr>
                    <w:jc w:val="center"/>
                    <w:rPr>
                      <w:rFonts w:cs="Arial"/>
                      <w:szCs w:val="24"/>
                    </w:rPr>
                  </w:pPr>
                  <w:r>
                    <w:rPr>
                      <w:rFonts w:hint="eastAsia" w:cs="Arial"/>
                      <w:szCs w:val="24"/>
                    </w:rPr>
                    <w:t>华变，2600kVA-37kV/0.8kV</w:t>
                  </w:r>
                </w:p>
              </w:tc>
              <w:tc>
                <w:tcPr>
                  <w:tcW w:w="595" w:type="dxa"/>
                  <w:tcMar>
                    <w:top w:w="15" w:type="dxa"/>
                    <w:left w:w="15" w:type="dxa"/>
                    <w:right w:w="15" w:type="dxa"/>
                  </w:tcMar>
                  <w:vAlign w:val="center"/>
                </w:tcPr>
                <w:p w14:paraId="45D393CB">
                  <w:pPr>
                    <w:jc w:val="center"/>
                    <w:rPr>
                      <w:rFonts w:cs="Arial"/>
                      <w:szCs w:val="24"/>
                    </w:rPr>
                  </w:pPr>
                  <w:r>
                    <w:rPr>
                      <w:rFonts w:hint="eastAsia" w:cs="Arial"/>
                      <w:szCs w:val="24"/>
                    </w:rPr>
                    <w:t>台</w:t>
                  </w:r>
                </w:p>
              </w:tc>
              <w:tc>
                <w:tcPr>
                  <w:tcW w:w="610" w:type="dxa"/>
                  <w:tcMar>
                    <w:top w:w="15" w:type="dxa"/>
                    <w:left w:w="15" w:type="dxa"/>
                    <w:right w:w="15" w:type="dxa"/>
                  </w:tcMar>
                  <w:vAlign w:val="center"/>
                </w:tcPr>
                <w:p w14:paraId="3C796E7A">
                  <w:pPr>
                    <w:jc w:val="center"/>
                    <w:rPr>
                      <w:rFonts w:cs="Arial"/>
                      <w:szCs w:val="24"/>
                    </w:rPr>
                  </w:pPr>
                  <w:r>
                    <w:rPr>
                      <w:rFonts w:hint="eastAsia" w:cs="Arial"/>
                      <w:szCs w:val="24"/>
                    </w:rPr>
                    <w:t>4</w:t>
                  </w:r>
                </w:p>
              </w:tc>
            </w:tr>
            <w:tr w14:paraId="178C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704" w:type="dxa"/>
                  <w:vMerge w:val="continue"/>
                  <w:tcMar>
                    <w:top w:w="15" w:type="dxa"/>
                    <w:left w:w="15" w:type="dxa"/>
                    <w:right w:w="15" w:type="dxa"/>
                  </w:tcMar>
                  <w:vAlign w:val="center"/>
                </w:tcPr>
                <w:p w14:paraId="45C68BF6">
                  <w:pPr>
                    <w:jc w:val="center"/>
                    <w:rPr>
                      <w:rFonts w:cs="Arial"/>
                      <w:szCs w:val="24"/>
                    </w:rPr>
                  </w:pPr>
                </w:p>
              </w:tc>
              <w:tc>
                <w:tcPr>
                  <w:tcW w:w="2552" w:type="dxa"/>
                  <w:vMerge w:val="continue"/>
                  <w:tcMar>
                    <w:top w:w="15" w:type="dxa"/>
                    <w:left w:w="15" w:type="dxa"/>
                    <w:right w:w="15" w:type="dxa"/>
                  </w:tcMar>
                  <w:vAlign w:val="center"/>
                </w:tcPr>
                <w:p w14:paraId="363F4494">
                  <w:pPr>
                    <w:jc w:val="center"/>
                    <w:rPr>
                      <w:rFonts w:cs="Arial"/>
                      <w:szCs w:val="24"/>
                    </w:rPr>
                  </w:pPr>
                </w:p>
              </w:tc>
              <w:tc>
                <w:tcPr>
                  <w:tcW w:w="3769" w:type="dxa"/>
                  <w:tcMar>
                    <w:top w:w="15" w:type="dxa"/>
                    <w:left w:w="15" w:type="dxa"/>
                    <w:right w:w="15" w:type="dxa"/>
                  </w:tcMar>
                  <w:vAlign w:val="center"/>
                </w:tcPr>
                <w:p w14:paraId="4CB03A0B">
                  <w:pPr>
                    <w:jc w:val="center"/>
                    <w:rPr>
                      <w:rFonts w:cs="Arial"/>
                      <w:szCs w:val="24"/>
                    </w:rPr>
                  </w:pPr>
                  <w:r>
                    <w:rPr>
                      <w:rFonts w:hint="eastAsia" w:cs="Arial"/>
                      <w:szCs w:val="24"/>
                    </w:rPr>
                    <w:t>华变，3200kVA-37kV/0.8kV</w:t>
                  </w:r>
                </w:p>
              </w:tc>
              <w:tc>
                <w:tcPr>
                  <w:tcW w:w="595" w:type="dxa"/>
                  <w:tcMar>
                    <w:top w:w="15" w:type="dxa"/>
                    <w:left w:w="15" w:type="dxa"/>
                    <w:right w:w="15" w:type="dxa"/>
                  </w:tcMar>
                  <w:vAlign w:val="center"/>
                </w:tcPr>
                <w:p w14:paraId="2307A125">
                  <w:pPr>
                    <w:jc w:val="center"/>
                    <w:rPr>
                      <w:rFonts w:cs="Arial"/>
                      <w:szCs w:val="24"/>
                    </w:rPr>
                  </w:pPr>
                  <w:r>
                    <w:rPr>
                      <w:rFonts w:hint="eastAsia" w:cs="Arial"/>
                      <w:szCs w:val="24"/>
                    </w:rPr>
                    <w:t>台</w:t>
                  </w:r>
                </w:p>
              </w:tc>
              <w:tc>
                <w:tcPr>
                  <w:tcW w:w="610" w:type="dxa"/>
                  <w:tcMar>
                    <w:top w:w="15" w:type="dxa"/>
                    <w:left w:w="15" w:type="dxa"/>
                    <w:right w:w="15" w:type="dxa"/>
                  </w:tcMar>
                  <w:vAlign w:val="center"/>
                </w:tcPr>
                <w:p w14:paraId="62ACE492">
                  <w:pPr>
                    <w:jc w:val="center"/>
                    <w:rPr>
                      <w:rFonts w:cs="Arial"/>
                      <w:szCs w:val="24"/>
                    </w:rPr>
                  </w:pPr>
                  <w:r>
                    <w:rPr>
                      <w:rFonts w:hint="eastAsia" w:cs="Arial"/>
                      <w:szCs w:val="24"/>
                    </w:rPr>
                    <w:t>3</w:t>
                  </w:r>
                </w:p>
              </w:tc>
            </w:tr>
            <w:tr w14:paraId="7755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704" w:type="dxa"/>
                  <w:vMerge w:val="continue"/>
                  <w:tcMar>
                    <w:top w:w="15" w:type="dxa"/>
                    <w:left w:w="15" w:type="dxa"/>
                    <w:right w:w="15" w:type="dxa"/>
                  </w:tcMar>
                  <w:vAlign w:val="center"/>
                </w:tcPr>
                <w:p w14:paraId="4102B49A">
                  <w:pPr>
                    <w:jc w:val="center"/>
                    <w:rPr>
                      <w:rFonts w:cs="Arial"/>
                      <w:szCs w:val="24"/>
                    </w:rPr>
                  </w:pPr>
                </w:p>
              </w:tc>
              <w:tc>
                <w:tcPr>
                  <w:tcW w:w="2552" w:type="dxa"/>
                  <w:vMerge w:val="continue"/>
                  <w:tcMar>
                    <w:top w:w="15" w:type="dxa"/>
                    <w:left w:w="15" w:type="dxa"/>
                    <w:right w:w="15" w:type="dxa"/>
                  </w:tcMar>
                  <w:vAlign w:val="center"/>
                </w:tcPr>
                <w:p w14:paraId="0F7D41E0">
                  <w:pPr>
                    <w:jc w:val="center"/>
                    <w:rPr>
                      <w:rFonts w:cs="Arial"/>
                      <w:szCs w:val="24"/>
                    </w:rPr>
                  </w:pPr>
                </w:p>
              </w:tc>
              <w:tc>
                <w:tcPr>
                  <w:tcW w:w="3769" w:type="dxa"/>
                  <w:tcMar>
                    <w:top w:w="15" w:type="dxa"/>
                    <w:left w:w="15" w:type="dxa"/>
                    <w:right w:w="15" w:type="dxa"/>
                  </w:tcMar>
                  <w:vAlign w:val="center"/>
                </w:tcPr>
                <w:p w14:paraId="0D343C73">
                  <w:pPr>
                    <w:jc w:val="center"/>
                    <w:rPr>
                      <w:rFonts w:cs="Arial"/>
                      <w:szCs w:val="24"/>
                    </w:rPr>
                  </w:pPr>
                  <w:r>
                    <w:rPr>
                      <w:rFonts w:hint="eastAsia" w:cs="Arial"/>
                      <w:szCs w:val="24"/>
                    </w:rPr>
                    <w:t>华变，3600kVA-37kV/0.8kV</w:t>
                  </w:r>
                </w:p>
              </w:tc>
              <w:tc>
                <w:tcPr>
                  <w:tcW w:w="595" w:type="dxa"/>
                  <w:tcMar>
                    <w:top w:w="15" w:type="dxa"/>
                    <w:left w:w="15" w:type="dxa"/>
                    <w:right w:w="15" w:type="dxa"/>
                  </w:tcMar>
                  <w:vAlign w:val="center"/>
                </w:tcPr>
                <w:p w14:paraId="4C13DA74">
                  <w:pPr>
                    <w:jc w:val="center"/>
                    <w:rPr>
                      <w:rFonts w:cs="Arial"/>
                      <w:szCs w:val="24"/>
                    </w:rPr>
                  </w:pPr>
                  <w:r>
                    <w:rPr>
                      <w:rFonts w:hint="eastAsia" w:cs="Arial"/>
                      <w:szCs w:val="24"/>
                    </w:rPr>
                    <w:t>台</w:t>
                  </w:r>
                </w:p>
              </w:tc>
              <w:tc>
                <w:tcPr>
                  <w:tcW w:w="610" w:type="dxa"/>
                  <w:tcMar>
                    <w:top w:w="15" w:type="dxa"/>
                    <w:left w:w="15" w:type="dxa"/>
                    <w:right w:w="15" w:type="dxa"/>
                  </w:tcMar>
                  <w:vAlign w:val="center"/>
                </w:tcPr>
                <w:p w14:paraId="5D98D1E7">
                  <w:pPr>
                    <w:jc w:val="center"/>
                    <w:rPr>
                      <w:rFonts w:cs="Arial"/>
                      <w:szCs w:val="24"/>
                    </w:rPr>
                  </w:pPr>
                  <w:r>
                    <w:rPr>
                      <w:rFonts w:hint="eastAsia" w:cs="Arial"/>
                      <w:szCs w:val="24"/>
                    </w:rPr>
                    <w:t>2</w:t>
                  </w:r>
                </w:p>
              </w:tc>
            </w:tr>
            <w:tr w14:paraId="19EC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704" w:type="dxa"/>
                  <w:vMerge w:val="continue"/>
                  <w:tcMar>
                    <w:top w:w="15" w:type="dxa"/>
                    <w:left w:w="15" w:type="dxa"/>
                    <w:right w:w="15" w:type="dxa"/>
                  </w:tcMar>
                  <w:vAlign w:val="center"/>
                </w:tcPr>
                <w:p w14:paraId="19A6A7B8">
                  <w:pPr>
                    <w:jc w:val="center"/>
                    <w:rPr>
                      <w:rFonts w:cs="Arial"/>
                      <w:szCs w:val="24"/>
                    </w:rPr>
                  </w:pPr>
                </w:p>
              </w:tc>
              <w:tc>
                <w:tcPr>
                  <w:tcW w:w="2552" w:type="dxa"/>
                  <w:vMerge w:val="continue"/>
                  <w:tcMar>
                    <w:top w:w="15" w:type="dxa"/>
                    <w:left w:w="15" w:type="dxa"/>
                    <w:right w:w="15" w:type="dxa"/>
                  </w:tcMar>
                  <w:vAlign w:val="center"/>
                </w:tcPr>
                <w:p w14:paraId="4511B214">
                  <w:pPr>
                    <w:jc w:val="center"/>
                    <w:rPr>
                      <w:rFonts w:cs="Arial"/>
                      <w:szCs w:val="24"/>
                    </w:rPr>
                  </w:pPr>
                </w:p>
              </w:tc>
              <w:tc>
                <w:tcPr>
                  <w:tcW w:w="3769" w:type="dxa"/>
                  <w:tcMar>
                    <w:top w:w="15" w:type="dxa"/>
                    <w:left w:w="15" w:type="dxa"/>
                    <w:right w:w="15" w:type="dxa"/>
                  </w:tcMar>
                  <w:vAlign w:val="center"/>
                </w:tcPr>
                <w:p w14:paraId="5FD689EE">
                  <w:pPr>
                    <w:jc w:val="center"/>
                    <w:rPr>
                      <w:rFonts w:cs="Arial"/>
                      <w:szCs w:val="24"/>
                    </w:rPr>
                  </w:pPr>
                  <w:r>
                    <w:rPr>
                      <w:rFonts w:hint="eastAsia" w:cs="Arial"/>
                      <w:szCs w:val="24"/>
                    </w:rPr>
                    <w:t>华变，</w:t>
                  </w:r>
                  <w:bookmarkStart w:id="83" w:name="OLE_LINK97"/>
                  <w:r>
                    <w:rPr>
                      <w:rFonts w:hint="eastAsia" w:cs="Arial"/>
                      <w:szCs w:val="24"/>
                    </w:rPr>
                    <w:t>3900kVA</w:t>
                  </w:r>
                  <w:bookmarkEnd w:id="83"/>
                  <w:r>
                    <w:rPr>
                      <w:rFonts w:hint="eastAsia" w:cs="Arial"/>
                      <w:szCs w:val="24"/>
                    </w:rPr>
                    <w:t>-37kV/0.8kV</w:t>
                  </w:r>
                </w:p>
              </w:tc>
              <w:tc>
                <w:tcPr>
                  <w:tcW w:w="595" w:type="dxa"/>
                  <w:tcMar>
                    <w:top w:w="15" w:type="dxa"/>
                    <w:left w:w="15" w:type="dxa"/>
                    <w:right w:w="15" w:type="dxa"/>
                  </w:tcMar>
                  <w:vAlign w:val="center"/>
                </w:tcPr>
                <w:p w14:paraId="7276AB36">
                  <w:pPr>
                    <w:jc w:val="center"/>
                    <w:rPr>
                      <w:rFonts w:cs="Arial"/>
                      <w:szCs w:val="24"/>
                    </w:rPr>
                  </w:pPr>
                  <w:r>
                    <w:rPr>
                      <w:rFonts w:hint="eastAsia" w:cs="Arial"/>
                      <w:szCs w:val="24"/>
                    </w:rPr>
                    <w:t>台</w:t>
                  </w:r>
                </w:p>
              </w:tc>
              <w:tc>
                <w:tcPr>
                  <w:tcW w:w="610" w:type="dxa"/>
                  <w:tcMar>
                    <w:top w:w="15" w:type="dxa"/>
                    <w:left w:w="15" w:type="dxa"/>
                    <w:right w:w="15" w:type="dxa"/>
                  </w:tcMar>
                  <w:vAlign w:val="center"/>
                </w:tcPr>
                <w:p w14:paraId="5D5A7CB7">
                  <w:pPr>
                    <w:jc w:val="center"/>
                    <w:rPr>
                      <w:rFonts w:cs="Arial"/>
                      <w:szCs w:val="24"/>
                    </w:rPr>
                  </w:pPr>
                  <w:r>
                    <w:rPr>
                      <w:rFonts w:hint="eastAsia" w:cs="Arial"/>
                      <w:szCs w:val="24"/>
                    </w:rPr>
                    <w:t>2</w:t>
                  </w:r>
                </w:p>
              </w:tc>
            </w:tr>
            <w:tr w14:paraId="40FE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16BFC007">
                  <w:pPr>
                    <w:jc w:val="center"/>
                    <w:rPr>
                      <w:rFonts w:cs="Arial"/>
                      <w:szCs w:val="24"/>
                    </w:rPr>
                  </w:pPr>
                  <w:r>
                    <w:rPr>
                      <w:rFonts w:hint="eastAsia" w:cs="Arial"/>
                      <w:szCs w:val="24"/>
                    </w:rPr>
                    <w:t>3</w:t>
                  </w:r>
                </w:p>
              </w:tc>
              <w:tc>
                <w:tcPr>
                  <w:tcW w:w="2552" w:type="dxa"/>
                  <w:tcMar>
                    <w:top w:w="15" w:type="dxa"/>
                    <w:left w:w="15" w:type="dxa"/>
                    <w:right w:w="15" w:type="dxa"/>
                  </w:tcMar>
                  <w:vAlign w:val="center"/>
                </w:tcPr>
                <w:p w14:paraId="4B9AB6E2">
                  <w:pPr>
                    <w:jc w:val="center"/>
                    <w:rPr>
                      <w:rFonts w:cs="Arial"/>
                      <w:szCs w:val="24"/>
                    </w:rPr>
                  </w:pPr>
                  <w:r>
                    <w:rPr>
                      <w:rFonts w:hint="eastAsia" w:cs="Arial"/>
                      <w:szCs w:val="24"/>
                    </w:rPr>
                    <w:t>逆变器至箱变电缆</w:t>
                  </w:r>
                </w:p>
              </w:tc>
              <w:tc>
                <w:tcPr>
                  <w:tcW w:w="3769" w:type="dxa"/>
                  <w:tcMar>
                    <w:top w:w="15" w:type="dxa"/>
                    <w:left w:w="15" w:type="dxa"/>
                    <w:right w:w="15" w:type="dxa"/>
                  </w:tcMar>
                  <w:vAlign w:val="center"/>
                </w:tcPr>
                <w:p w14:paraId="47369FDD">
                  <w:pPr>
                    <w:jc w:val="center"/>
                    <w:rPr>
                      <w:rFonts w:cs="Arial"/>
                      <w:szCs w:val="24"/>
                    </w:rPr>
                  </w:pPr>
                  <w:r>
                    <w:rPr>
                      <w:rFonts w:hint="eastAsia" w:cs="Arial"/>
                      <w:szCs w:val="24"/>
                    </w:rPr>
                    <w:t>ZC-YJLV22-1.8/3kV-3×240</w:t>
                  </w:r>
                </w:p>
              </w:tc>
              <w:tc>
                <w:tcPr>
                  <w:tcW w:w="595" w:type="dxa"/>
                  <w:tcMar>
                    <w:top w:w="15" w:type="dxa"/>
                    <w:left w:w="15" w:type="dxa"/>
                    <w:right w:w="15" w:type="dxa"/>
                  </w:tcMar>
                  <w:vAlign w:val="center"/>
                </w:tcPr>
                <w:p w14:paraId="70D6CC53">
                  <w:pPr>
                    <w:jc w:val="center"/>
                    <w:rPr>
                      <w:rFonts w:cs="Arial"/>
                      <w:szCs w:val="24"/>
                    </w:rPr>
                  </w:pPr>
                  <w:r>
                    <w:rPr>
                      <w:rFonts w:cs="Arial"/>
                      <w:szCs w:val="24"/>
                    </w:rPr>
                    <w:t>km</w:t>
                  </w:r>
                </w:p>
              </w:tc>
              <w:tc>
                <w:tcPr>
                  <w:tcW w:w="610" w:type="dxa"/>
                  <w:tcMar>
                    <w:top w:w="15" w:type="dxa"/>
                    <w:left w:w="15" w:type="dxa"/>
                    <w:right w:w="15" w:type="dxa"/>
                  </w:tcMar>
                  <w:vAlign w:val="center"/>
                </w:tcPr>
                <w:p w14:paraId="095358CE">
                  <w:pPr>
                    <w:jc w:val="center"/>
                    <w:rPr>
                      <w:rFonts w:cs="Arial"/>
                      <w:szCs w:val="24"/>
                    </w:rPr>
                  </w:pPr>
                  <w:r>
                    <w:rPr>
                      <w:rFonts w:hint="eastAsia" w:cs="Arial"/>
                      <w:szCs w:val="24"/>
                    </w:rPr>
                    <w:t>24</w:t>
                  </w:r>
                </w:p>
              </w:tc>
            </w:tr>
            <w:tr w14:paraId="58F8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450193AF">
                  <w:pPr>
                    <w:jc w:val="center"/>
                    <w:rPr>
                      <w:rFonts w:cs="Arial"/>
                      <w:szCs w:val="24"/>
                    </w:rPr>
                  </w:pPr>
                  <w:r>
                    <w:rPr>
                      <w:rFonts w:hint="eastAsia" w:cs="Arial"/>
                      <w:szCs w:val="24"/>
                    </w:rPr>
                    <w:t>4</w:t>
                  </w:r>
                </w:p>
              </w:tc>
              <w:tc>
                <w:tcPr>
                  <w:tcW w:w="2552" w:type="dxa"/>
                  <w:tcMar>
                    <w:top w:w="15" w:type="dxa"/>
                    <w:left w:w="15" w:type="dxa"/>
                    <w:right w:w="15" w:type="dxa"/>
                  </w:tcMar>
                  <w:vAlign w:val="center"/>
                </w:tcPr>
                <w:p w14:paraId="46E12DA0">
                  <w:pPr>
                    <w:jc w:val="center"/>
                    <w:rPr>
                      <w:rFonts w:cs="Arial"/>
                      <w:szCs w:val="24"/>
                    </w:rPr>
                  </w:pPr>
                  <w:r>
                    <w:rPr>
                      <w:rFonts w:hint="eastAsia" w:cs="Arial"/>
                      <w:szCs w:val="24"/>
                    </w:rPr>
                    <w:t>逆变器至箱变电缆</w:t>
                  </w:r>
                </w:p>
              </w:tc>
              <w:tc>
                <w:tcPr>
                  <w:tcW w:w="3769" w:type="dxa"/>
                  <w:tcMar>
                    <w:top w:w="15" w:type="dxa"/>
                    <w:left w:w="15" w:type="dxa"/>
                    <w:right w:w="15" w:type="dxa"/>
                  </w:tcMar>
                  <w:vAlign w:val="center"/>
                </w:tcPr>
                <w:p w14:paraId="2364DEF1">
                  <w:pPr>
                    <w:jc w:val="center"/>
                    <w:rPr>
                      <w:rFonts w:cs="Arial"/>
                      <w:szCs w:val="24"/>
                    </w:rPr>
                  </w:pPr>
                  <w:r>
                    <w:rPr>
                      <w:rFonts w:hint="eastAsia" w:cs="Arial"/>
                      <w:szCs w:val="24"/>
                    </w:rPr>
                    <w:t>ZC-YJLV22-1.8/3kV-3×300</w:t>
                  </w:r>
                </w:p>
              </w:tc>
              <w:tc>
                <w:tcPr>
                  <w:tcW w:w="595" w:type="dxa"/>
                  <w:tcMar>
                    <w:top w:w="15" w:type="dxa"/>
                    <w:left w:w="15" w:type="dxa"/>
                    <w:right w:w="15" w:type="dxa"/>
                  </w:tcMar>
                  <w:vAlign w:val="center"/>
                </w:tcPr>
                <w:p w14:paraId="0964746B">
                  <w:pPr>
                    <w:jc w:val="center"/>
                    <w:rPr>
                      <w:rFonts w:cs="Arial"/>
                      <w:szCs w:val="24"/>
                    </w:rPr>
                  </w:pPr>
                  <w:r>
                    <w:rPr>
                      <w:rFonts w:cs="Arial"/>
                      <w:szCs w:val="24"/>
                    </w:rPr>
                    <w:t>km</w:t>
                  </w:r>
                </w:p>
              </w:tc>
              <w:tc>
                <w:tcPr>
                  <w:tcW w:w="610" w:type="dxa"/>
                  <w:tcMar>
                    <w:top w:w="15" w:type="dxa"/>
                    <w:left w:w="15" w:type="dxa"/>
                    <w:right w:w="15" w:type="dxa"/>
                  </w:tcMar>
                  <w:vAlign w:val="center"/>
                </w:tcPr>
                <w:p w14:paraId="6BD3628C">
                  <w:pPr>
                    <w:jc w:val="center"/>
                    <w:rPr>
                      <w:rFonts w:cs="Arial"/>
                      <w:szCs w:val="24"/>
                    </w:rPr>
                  </w:pPr>
                  <w:r>
                    <w:rPr>
                      <w:rFonts w:hint="eastAsia" w:cs="Arial"/>
                      <w:szCs w:val="24"/>
                    </w:rPr>
                    <w:t>16</w:t>
                  </w:r>
                </w:p>
              </w:tc>
            </w:tr>
            <w:tr w14:paraId="4450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06FF40E4">
                  <w:pPr>
                    <w:jc w:val="center"/>
                    <w:rPr>
                      <w:rFonts w:cs="Arial"/>
                      <w:szCs w:val="24"/>
                    </w:rPr>
                  </w:pPr>
                  <w:r>
                    <w:rPr>
                      <w:rFonts w:hint="eastAsia" w:cs="Arial"/>
                      <w:szCs w:val="24"/>
                    </w:rPr>
                    <w:t>5</w:t>
                  </w:r>
                </w:p>
              </w:tc>
              <w:tc>
                <w:tcPr>
                  <w:tcW w:w="2552" w:type="dxa"/>
                  <w:tcMar>
                    <w:top w:w="15" w:type="dxa"/>
                    <w:left w:w="15" w:type="dxa"/>
                    <w:right w:w="15" w:type="dxa"/>
                  </w:tcMar>
                  <w:vAlign w:val="center"/>
                </w:tcPr>
                <w:p w14:paraId="70FF6AD8">
                  <w:pPr>
                    <w:jc w:val="center"/>
                    <w:rPr>
                      <w:rFonts w:cs="Arial"/>
                      <w:szCs w:val="24"/>
                    </w:rPr>
                  </w:pPr>
                  <w:r>
                    <w:rPr>
                      <w:rFonts w:cs="Arial"/>
                      <w:color w:val="000000"/>
                      <w:szCs w:val="24"/>
                    </w:rPr>
                    <w:t>3kV铜铝过渡电缆终端头</w:t>
                  </w:r>
                </w:p>
              </w:tc>
              <w:tc>
                <w:tcPr>
                  <w:tcW w:w="3769" w:type="dxa"/>
                  <w:tcMar>
                    <w:top w:w="15" w:type="dxa"/>
                    <w:left w:w="15" w:type="dxa"/>
                    <w:right w:w="15" w:type="dxa"/>
                  </w:tcMar>
                  <w:vAlign w:val="center"/>
                </w:tcPr>
                <w:p w14:paraId="55640E09">
                  <w:pPr>
                    <w:jc w:val="center"/>
                    <w:rPr>
                      <w:rFonts w:cs="Arial"/>
                      <w:szCs w:val="24"/>
                    </w:rPr>
                  </w:pPr>
                  <w:r>
                    <w:rPr>
                      <w:rFonts w:hint="eastAsia" w:cs="Arial"/>
                      <w:szCs w:val="24"/>
                    </w:rPr>
                    <w:t>3×240</w:t>
                  </w:r>
                </w:p>
              </w:tc>
              <w:tc>
                <w:tcPr>
                  <w:tcW w:w="595" w:type="dxa"/>
                  <w:tcMar>
                    <w:top w:w="15" w:type="dxa"/>
                    <w:left w:w="15" w:type="dxa"/>
                    <w:right w:w="15" w:type="dxa"/>
                  </w:tcMar>
                  <w:vAlign w:val="center"/>
                </w:tcPr>
                <w:p w14:paraId="1F190407">
                  <w:pPr>
                    <w:jc w:val="center"/>
                    <w:rPr>
                      <w:rFonts w:cs="Arial"/>
                      <w:szCs w:val="24"/>
                    </w:rPr>
                  </w:pPr>
                  <w:r>
                    <w:rPr>
                      <w:rFonts w:hint="eastAsia" w:cs="Arial"/>
                      <w:szCs w:val="24"/>
                    </w:rPr>
                    <w:t>套</w:t>
                  </w:r>
                </w:p>
              </w:tc>
              <w:tc>
                <w:tcPr>
                  <w:tcW w:w="610" w:type="dxa"/>
                  <w:tcMar>
                    <w:top w:w="15" w:type="dxa"/>
                    <w:left w:w="15" w:type="dxa"/>
                    <w:right w:w="15" w:type="dxa"/>
                  </w:tcMar>
                  <w:vAlign w:val="center"/>
                </w:tcPr>
                <w:p w14:paraId="30F7D3C9">
                  <w:pPr>
                    <w:jc w:val="center"/>
                    <w:rPr>
                      <w:rFonts w:cs="Arial"/>
                      <w:szCs w:val="24"/>
                    </w:rPr>
                  </w:pPr>
                  <w:r>
                    <w:rPr>
                      <w:rFonts w:hint="eastAsia" w:cs="Arial"/>
                      <w:szCs w:val="24"/>
                    </w:rPr>
                    <w:t>180</w:t>
                  </w:r>
                </w:p>
              </w:tc>
            </w:tr>
            <w:tr w14:paraId="7E44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3E0F7018">
                  <w:pPr>
                    <w:jc w:val="center"/>
                    <w:rPr>
                      <w:rFonts w:cs="Arial"/>
                      <w:szCs w:val="24"/>
                    </w:rPr>
                  </w:pPr>
                  <w:r>
                    <w:rPr>
                      <w:rFonts w:hint="eastAsia" w:cs="Arial"/>
                      <w:szCs w:val="24"/>
                    </w:rPr>
                    <w:t>6</w:t>
                  </w:r>
                </w:p>
              </w:tc>
              <w:tc>
                <w:tcPr>
                  <w:tcW w:w="2552" w:type="dxa"/>
                  <w:tcMar>
                    <w:top w:w="15" w:type="dxa"/>
                    <w:left w:w="15" w:type="dxa"/>
                    <w:right w:w="15" w:type="dxa"/>
                  </w:tcMar>
                  <w:vAlign w:val="center"/>
                </w:tcPr>
                <w:p w14:paraId="420C1A82">
                  <w:pPr>
                    <w:jc w:val="center"/>
                    <w:rPr>
                      <w:rFonts w:cs="Arial"/>
                      <w:szCs w:val="24"/>
                    </w:rPr>
                  </w:pPr>
                  <w:r>
                    <w:rPr>
                      <w:rFonts w:cs="Arial"/>
                      <w:szCs w:val="24"/>
                    </w:rPr>
                    <w:t>3kV</w:t>
                  </w:r>
                  <w:r>
                    <w:rPr>
                      <w:rFonts w:cs="Arial"/>
                      <w:color w:val="000000"/>
                      <w:szCs w:val="24"/>
                    </w:rPr>
                    <w:t>铜铝过渡</w:t>
                  </w:r>
                  <w:r>
                    <w:rPr>
                      <w:rFonts w:cs="Arial"/>
                      <w:szCs w:val="24"/>
                    </w:rPr>
                    <w:t>电缆终端头</w:t>
                  </w:r>
                </w:p>
              </w:tc>
              <w:tc>
                <w:tcPr>
                  <w:tcW w:w="3769" w:type="dxa"/>
                  <w:tcMar>
                    <w:top w:w="15" w:type="dxa"/>
                    <w:left w:w="15" w:type="dxa"/>
                    <w:right w:w="15" w:type="dxa"/>
                  </w:tcMar>
                  <w:vAlign w:val="center"/>
                </w:tcPr>
                <w:p w14:paraId="754FBFD6">
                  <w:pPr>
                    <w:jc w:val="center"/>
                    <w:rPr>
                      <w:rFonts w:cs="Arial"/>
                      <w:szCs w:val="24"/>
                    </w:rPr>
                  </w:pPr>
                  <w:r>
                    <w:rPr>
                      <w:rFonts w:hint="eastAsia" w:cs="Arial"/>
                      <w:szCs w:val="24"/>
                    </w:rPr>
                    <w:t>3×300</w:t>
                  </w:r>
                </w:p>
              </w:tc>
              <w:tc>
                <w:tcPr>
                  <w:tcW w:w="595" w:type="dxa"/>
                  <w:tcMar>
                    <w:top w:w="15" w:type="dxa"/>
                    <w:left w:w="15" w:type="dxa"/>
                    <w:right w:w="15" w:type="dxa"/>
                  </w:tcMar>
                  <w:vAlign w:val="center"/>
                </w:tcPr>
                <w:p w14:paraId="534E4C3F">
                  <w:pPr>
                    <w:jc w:val="center"/>
                    <w:rPr>
                      <w:rFonts w:cs="Arial"/>
                      <w:szCs w:val="24"/>
                    </w:rPr>
                  </w:pPr>
                  <w:r>
                    <w:rPr>
                      <w:rFonts w:hint="eastAsia" w:cs="Arial"/>
                      <w:szCs w:val="24"/>
                    </w:rPr>
                    <w:t>套</w:t>
                  </w:r>
                </w:p>
              </w:tc>
              <w:tc>
                <w:tcPr>
                  <w:tcW w:w="610" w:type="dxa"/>
                  <w:tcMar>
                    <w:top w:w="15" w:type="dxa"/>
                    <w:left w:w="15" w:type="dxa"/>
                    <w:right w:w="15" w:type="dxa"/>
                  </w:tcMar>
                  <w:vAlign w:val="center"/>
                </w:tcPr>
                <w:p w14:paraId="5D039F88">
                  <w:pPr>
                    <w:jc w:val="center"/>
                    <w:rPr>
                      <w:rFonts w:cs="Arial"/>
                      <w:szCs w:val="24"/>
                    </w:rPr>
                  </w:pPr>
                  <w:r>
                    <w:rPr>
                      <w:rFonts w:hint="eastAsia" w:cs="Arial"/>
                      <w:szCs w:val="24"/>
                    </w:rPr>
                    <w:t>134</w:t>
                  </w:r>
                </w:p>
              </w:tc>
            </w:tr>
            <w:tr w14:paraId="6300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71D4B581">
                  <w:pPr>
                    <w:jc w:val="center"/>
                    <w:rPr>
                      <w:rFonts w:cs="Arial"/>
                      <w:szCs w:val="24"/>
                    </w:rPr>
                  </w:pPr>
                  <w:r>
                    <w:rPr>
                      <w:rFonts w:hint="eastAsia" w:cs="Arial"/>
                      <w:szCs w:val="24"/>
                    </w:rPr>
                    <w:t>7</w:t>
                  </w:r>
                </w:p>
              </w:tc>
              <w:tc>
                <w:tcPr>
                  <w:tcW w:w="2552" w:type="dxa"/>
                  <w:tcMar>
                    <w:top w:w="15" w:type="dxa"/>
                    <w:left w:w="15" w:type="dxa"/>
                    <w:right w:w="15" w:type="dxa"/>
                  </w:tcMar>
                  <w:vAlign w:val="center"/>
                </w:tcPr>
                <w:p w14:paraId="44CECB60">
                  <w:pPr>
                    <w:jc w:val="center"/>
                    <w:rPr>
                      <w:rFonts w:cs="Arial"/>
                      <w:szCs w:val="24"/>
                    </w:rPr>
                  </w:pPr>
                  <w:r>
                    <w:rPr>
                      <w:rFonts w:hint="eastAsia" w:cs="Arial"/>
                      <w:szCs w:val="24"/>
                    </w:rPr>
                    <w:t>通信柜通信线</w:t>
                  </w:r>
                </w:p>
              </w:tc>
              <w:tc>
                <w:tcPr>
                  <w:tcW w:w="3769" w:type="dxa"/>
                  <w:tcMar>
                    <w:top w:w="15" w:type="dxa"/>
                    <w:left w:w="15" w:type="dxa"/>
                    <w:right w:w="15" w:type="dxa"/>
                  </w:tcMar>
                  <w:vAlign w:val="center"/>
                </w:tcPr>
                <w:p w14:paraId="7A1FE523">
                  <w:pPr>
                    <w:jc w:val="center"/>
                    <w:rPr>
                      <w:rFonts w:cs="Arial"/>
                      <w:szCs w:val="24"/>
                    </w:rPr>
                  </w:pPr>
                  <w:r>
                    <w:rPr>
                      <w:rFonts w:cs="Arial"/>
                      <w:szCs w:val="24"/>
                    </w:rPr>
                    <w:t>Z</w:t>
                  </w:r>
                  <w:r>
                    <w:rPr>
                      <w:rFonts w:hint="eastAsia" w:cs="Arial"/>
                      <w:szCs w:val="24"/>
                    </w:rPr>
                    <w:t>C</w:t>
                  </w:r>
                  <w:r>
                    <w:rPr>
                      <w:rFonts w:cs="Arial"/>
                      <w:szCs w:val="24"/>
                    </w:rPr>
                    <w:t>-DJYP2VP2-22-2×2×1.0</w:t>
                  </w:r>
                </w:p>
              </w:tc>
              <w:tc>
                <w:tcPr>
                  <w:tcW w:w="595" w:type="dxa"/>
                  <w:tcMar>
                    <w:top w:w="15" w:type="dxa"/>
                    <w:left w:w="15" w:type="dxa"/>
                    <w:right w:w="15" w:type="dxa"/>
                  </w:tcMar>
                  <w:vAlign w:val="center"/>
                </w:tcPr>
                <w:p w14:paraId="3EFCCBDE">
                  <w:pPr>
                    <w:jc w:val="center"/>
                    <w:rPr>
                      <w:rFonts w:cs="Arial"/>
                      <w:szCs w:val="24"/>
                    </w:rPr>
                  </w:pPr>
                  <w:r>
                    <w:rPr>
                      <w:rFonts w:cs="Arial"/>
                      <w:szCs w:val="24"/>
                    </w:rPr>
                    <w:t>km</w:t>
                  </w:r>
                </w:p>
              </w:tc>
              <w:tc>
                <w:tcPr>
                  <w:tcW w:w="610" w:type="dxa"/>
                  <w:tcMar>
                    <w:top w:w="15" w:type="dxa"/>
                    <w:left w:w="15" w:type="dxa"/>
                    <w:right w:w="15" w:type="dxa"/>
                  </w:tcMar>
                  <w:vAlign w:val="center"/>
                </w:tcPr>
                <w:p w14:paraId="3AF20BC6">
                  <w:pPr>
                    <w:jc w:val="center"/>
                    <w:rPr>
                      <w:rFonts w:cs="Arial"/>
                      <w:szCs w:val="24"/>
                    </w:rPr>
                  </w:pPr>
                  <w:r>
                    <w:rPr>
                      <w:rFonts w:hint="eastAsia" w:cs="Arial"/>
                      <w:szCs w:val="24"/>
                    </w:rPr>
                    <w:t>0.4</w:t>
                  </w:r>
                </w:p>
              </w:tc>
            </w:tr>
            <w:tr w14:paraId="39AA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53B56991">
                  <w:pPr>
                    <w:jc w:val="center"/>
                    <w:rPr>
                      <w:rFonts w:cs="Arial"/>
                      <w:szCs w:val="24"/>
                    </w:rPr>
                  </w:pPr>
                  <w:r>
                    <w:rPr>
                      <w:rFonts w:hint="eastAsia" w:cs="Arial"/>
                      <w:szCs w:val="24"/>
                    </w:rPr>
                    <w:t>8</w:t>
                  </w:r>
                </w:p>
              </w:tc>
              <w:tc>
                <w:tcPr>
                  <w:tcW w:w="2552" w:type="dxa"/>
                  <w:tcMar>
                    <w:top w:w="15" w:type="dxa"/>
                    <w:left w:w="15" w:type="dxa"/>
                    <w:right w:w="15" w:type="dxa"/>
                  </w:tcMar>
                  <w:vAlign w:val="center"/>
                </w:tcPr>
                <w:p w14:paraId="550F49C7">
                  <w:pPr>
                    <w:jc w:val="center"/>
                    <w:rPr>
                      <w:rFonts w:cs="Arial"/>
                      <w:szCs w:val="24"/>
                    </w:rPr>
                  </w:pPr>
                  <w:r>
                    <w:rPr>
                      <w:rFonts w:hint="eastAsia" w:cs="Arial"/>
                      <w:szCs w:val="24"/>
                    </w:rPr>
                    <w:t>通信柜载波信号线</w:t>
                  </w:r>
                </w:p>
              </w:tc>
              <w:tc>
                <w:tcPr>
                  <w:tcW w:w="3769" w:type="dxa"/>
                  <w:tcMar>
                    <w:top w:w="15" w:type="dxa"/>
                    <w:left w:w="15" w:type="dxa"/>
                    <w:right w:w="15" w:type="dxa"/>
                  </w:tcMar>
                  <w:vAlign w:val="center"/>
                </w:tcPr>
                <w:p w14:paraId="054495B7">
                  <w:pPr>
                    <w:jc w:val="center"/>
                    <w:rPr>
                      <w:rFonts w:cs="Arial"/>
                      <w:szCs w:val="24"/>
                    </w:rPr>
                  </w:pPr>
                  <w:r>
                    <w:rPr>
                      <w:rFonts w:cs="Arial"/>
                      <w:szCs w:val="24"/>
                    </w:rPr>
                    <w:t>Z</w:t>
                  </w:r>
                  <w:r>
                    <w:rPr>
                      <w:rFonts w:hint="eastAsia" w:cs="Arial"/>
                      <w:szCs w:val="24"/>
                    </w:rPr>
                    <w:t>C</w:t>
                  </w:r>
                  <w:r>
                    <w:rPr>
                      <w:rFonts w:cs="Arial"/>
                      <w:szCs w:val="24"/>
                    </w:rPr>
                    <w:t>-YJV22-1.8/3kV-4×10mm</w:t>
                  </w:r>
                  <w:r>
                    <w:rPr>
                      <w:rFonts w:cs="Arial"/>
                      <w:szCs w:val="24"/>
                      <w:vertAlign w:val="superscript"/>
                    </w:rPr>
                    <w:t>2</w:t>
                  </w:r>
                </w:p>
              </w:tc>
              <w:tc>
                <w:tcPr>
                  <w:tcW w:w="595" w:type="dxa"/>
                  <w:tcMar>
                    <w:top w:w="15" w:type="dxa"/>
                    <w:left w:w="15" w:type="dxa"/>
                    <w:right w:w="15" w:type="dxa"/>
                  </w:tcMar>
                  <w:vAlign w:val="center"/>
                </w:tcPr>
                <w:p w14:paraId="393B464A">
                  <w:pPr>
                    <w:jc w:val="center"/>
                    <w:rPr>
                      <w:rFonts w:cs="Arial"/>
                      <w:szCs w:val="24"/>
                    </w:rPr>
                  </w:pPr>
                  <w:r>
                    <w:rPr>
                      <w:rFonts w:cs="Arial"/>
                      <w:szCs w:val="24"/>
                    </w:rPr>
                    <w:t>km</w:t>
                  </w:r>
                </w:p>
              </w:tc>
              <w:tc>
                <w:tcPr>
                  <w:tcW w:w="610" w:type="dxa"/>
                  <w:tcMar>
                    <w:top w:w="15" w:type="dxa"/>
                    <w:left w:w="15" w:type="dxa"/>
                    <w:right w:w="15" w:type="dxa"/>
                  </w:tcMar>
                  <w:vAlign w:val="center"/>
                </w:tcPr>
                <w:p w14:paraId="35048E27">
                  <w:pPr>
                    <w:jc w:val="center"/>
                    <w:rPr>
                      <w:rFonts w:cs="Arial"/>
                      <w:szCs w:val="24"/>
                    </w:rPr>
                  </w:pPr>
                  <w:r>
                    <w:rPr>
                      <w:rFonts w:hint="eastAsia" w:cs="Arial"/>
                      <w:szCs w:val="24"/>
                    </w:rPr>
                    <w:t>0.4</w:t>
                  </w:r>
                </w:p>
              </w:tc>
            </w:tr>
            <w:tr w14:paraId="5BAA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704" w:type="dxa"/>
                  <w:tcMar>
                    <w:top w:w="15" w:type="dxa"/>
                    <w:left w:w="15" w:type="dxa"/>
                    <w:right w:w="15" w:type="dxa"/>
                  </w:tcMar>
                  <w:vAlign w:val="center"/>
                </w:tcPr>
                <w:p w14:paraId="1EE8F3BE">
                  <w:pPr>
                    <w:jc w:val="center"/>
                    <w:rPr>
                      <w:rFonts w:cs="Arial"/>
                      <w:szCs w:val="24"/>
                    </w:rPr>
                  </w:pPr>
                  <w:r>
                    <w:rPr>
                      <w:rFonts w:hint="eastAsia" w:cs="Arial"/>
                      <w:szCs w:val="24"/>
                    </w:rPr>
                    <w:t>9</w:t>
                  </w:r>
                </w:p>
              </w:tc>
              <w:tc>
                <w:tcPr>
                  <w:tcW w:w="2552" w:type="dxa"/>
                  <w:tcMar>
                    <w:top w:w="15" w:type="dxa"/>
                    <w:left w:w="15" w:type="dxa"/>
                    <w:right w:w="15" w:type="dxa"/>
                  </w:tcMar>
                  <w:vAlign w:val="center"/>
                </w:tcPr>
                <w:p w14:paraId="626425C1">
                  <w:pPr>
                    <w:jc w:val="center"/>
                    <w:rPr>
                      <w:rFonts w:cs="Arial"/>
                      <w:szCs w:val="24"/>
                    </w:rPr>
                  </w:pPr>
                  <w:r>
                    <w:rPr>
                      <w:rFonts w:hint="eastAsia" w:cs="Arial"/>
                      <w:szCs w:val="24"/>
                    </w:rPr>
                    <w:t>通信柜电源线</w:t>
                  </w:r>
                </w:p>
              </w:tc>
              <w:tc>
                <w:tcPr>
                  <w:tcW w:w="3769" w:type="dxa"/>
                  <w:tcMar>
                    <w:top w:w="15" w:type="dxa"/>
                    <w:left w:w="15" w:type="dxa"/>
                    <w:right w:w="15" w:type="dxa"/>
                  </w:tcMar>
                  <w:vAlign w:val="center"/>
                </w:tcPr>
                <w:p w14:paraId="38096B66">
                  <w:pPr>
                    <w:jc w:val="center"/>
                    <w:rPr>
                      <w:rFonts w:cs="Arial"/>
                      <w:szCs w:val="24"/>
                    </w:rPr>
                  </w:pPr>
                  <w:r>
                    <w:rPr>
                      <w:rFonts w:cs="Arial"/>
                      <w:szCs w:val="24"/>
                    </w:rPr>
                    <w:t>Z</w:t>
                  </w:r>
                  <w:r>
                    <w:rPr>
                      <w:rFonts w:hint="eastAsia" w:cs="Arial"/>
                      <w:szCs w:val="24"/>
                    </w:rPr>
                    <w:t>C</w:t>
                  </w:r>
                  <w:r>
                    <w:rPr>
                      <w:rFonts w:cs="Arial"/>
                      <w:szCs w:val="24"/>
                    </w:rPr>
                    <w:t>-YJV22-0.6/1kV-3×6mm</w:t>
                  </w:r>
                  <w:r>
                    <w:rPr>
                      <w:rFonts w:cs="Arial"/>
                      <w:szCs w:val="24"/>
                      <w:vertAlign w:val="superscript"/>
                    </w:rPr>
                    <w:t>2</w:t>
                  </w:r>
                </w:p>
              </w:tc>
              <w:tc>
                <w:tcPr>
                  <w:tcW w:w="595" w:type="dxa"/>
                  <w:tcMar>
                    <w:top w:w="15" w:type="dxa"/>
                    <w:left w:w="15" w:type="dxa"/>
                    <w:right w:w="15" w:type="dxa"/>
                  </w:tcMar>
                  <w:vAlign w:val="center"/>
                </w:tcPr>
                <w:p w14:paraId="5160BE81">
                  <w:pPr>
                    <w:jc w:val="center"/>
                    <w:rPr>
                      <w:rFonts w:cs="Arial"/>
                      <w:szCs w:val="24"/>
                    </w:rPr>
                  </w:pPr>
                  <w:r>
                    <w:rPr>
                      <w:rFonts w:cs="Arial"/>
                      <w:szCs w:val="24"/>
                    </w:rPr>
                    <w:t>km</w:t>
                  </w:r>
                </w:p>
              </w:tc>
              <w:tc>
                <w:tcPr>
                  <w:tcW w:w="610" w:type="dxa"/>
                  <w:tcMar>
                    <w:top w:w="15" w:type="dxa"/>
                    <w:left w:w="15" w:type="dxa"/>
                    <w:right w:w="15" w:type="dxa"/>
                  </w:tcMar>
                  <w:vAlign w:val="center"/>
                </w:tcPr>
                <w:p w14:paraId="7A4B33D8">
                  <w:pPr>
                    <w:jc w:val="center"/>
                    <w:rPr>
                      <w:rFonts w:cs="Arial"/>
                      <w:szCs w:val="24"/>
                    </w:rPr>
                  </w:pPr>
                  <w:r>
                    <w:rPr>
                      <w:rFonts w:hint="eastAsia" w:cs="Arial"/>
                      <w:szCs w:val="24"/>
                    </w:rPr>
                    <w:t>0.4</w:t>
                  </w:r>
                </w:p>
              </w:tc>
            </w:tr>
            <w:tr w14:paraId="448D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704" w:type="dxa"/>
                  <w:tcMar>
                    <w:top w:w="15" w:type="dxa"/>
                    <w:left w:w="15" w:type="dxa"/>
                    <w:right w:w="15" w:type="dxa"/>
                  </w:tcMar>
                  <w:vAlign w:val="center"/>
                </w:tcPr>
                <w:p w14:paraId="411EDC85">
                  <w:pPr>
                    <w:jc w:val="center"/>
                    <w:rPr>
                      <w:rFonts w:cs="Arial"/>
                      <w:szCs w:val="24"/>
                    </w:rPr>
                  </w:pPr>
                  <w:r>
                    <w:rPr>
                      <w:rFonts w:hint="eastAsia" w:cs="Arial"/>
                      <w:szCs w:val="24"/>
                    </w:rPr>
                    <w:t>10</w:t>
                  </w:r>
                </w:p>
              </w:tc>
              <w:tc>
                <w:tcPr>
                  <w:tcW w:w="2552" w:type="dxa"/>
                  <w:tcMar>
                    <w:top w:w="15" w:type="dxa"/>
                    <w:left w:w="15" w:type="dxa"/>
                    <w:right w:w="15" w:type="dxa"/>
                  </w:tcMar>
                  <w:vAlign w:val="center"/>
                </w:tcPr>
                <w:p w14:paraId="332C963E">
                  <w:pPr>
                    <w:jc w:val="center"/>
                    <w:rPr>
                      <w:rFonts w:cs="Arial"/>
                      <w:szCs w:val="24"/>
                    </w:rPr>
                  </w:pPr>
                  <w:r>
                    <w:rPr>
                      <w:rFonts w:cs="Arial"/>
                      <w:szCs w:val="24"/>
                    </w:rPr>
                    <w:t>PVC管</w:t>
                  </w:r>
                </w:p>
              </w:tc>
              <w:tc>
                <w:tcPr>
                  <w:tcW w:w="3769" w:type="dxa"/>
                  <w:tcMar>
                    <w:top w:w="15" w:type="dxa"/>
                    <w:left w:w="15" w:type="dxa"/>
                    <w:right w:w="15" w:type="dxa"/>
                  </w:tcMar>
                  <w:vAlign w:val="center"/>
                </w:tcPr>
                <w:p w14:paraId="45248FF0">
                  <w:pPr>
                    <w:jc w:val="center"/>
                    <w:rPr>
                      <w:rFonts w:cs="Arial"/>
                      <w:szCs w:val="24"/>
                    </w:rPr>
                  </w:pPr>
                  <w:r>
                    <w:rPr>
                      <w:szCs w:val="24"/>
                    </w:rPr>
                    <w:t>Φ100</w:t>
                  </w:r>
                </w:p>
              </w:tc>
              <w:tc>
                <w:tcPr>
                  <w:tcW w:w="595" w:type="dxa"/>
                  <w:tcMar>
                    <w:top w:w="15" w:type="dxa"/>
                    <w:left w:w="15" w:type="dxa"/>
                    <w:right w:w="15" w:type="dxa"/>
                  </w:tcMar>
                  <w:vAlign w:val="center"/>
                </w:tcPr>
                <w:p w14:paraId="729E5CEE">
                  <w:pPr>
                    <w:jc w:val="center"/>
                    <w:rPr>
                      <w:rFonts w:cs="Arial"/>
                      <w:szCs w:val="24"/>
                    </w:rPr>
                  </w:pPr>
                  <w:r>
                    <w:rPr>
                      <w:rFonts w:cs="Arial"/>
                      <w:szCs w:val="24"/>
                    </w:rPr>
                    <w:t>km</w:t>
                  </w:r>
                </w:p>
              </w:tc>
              <w:tc>
                <w:tcPr>
                  <w:tcW w:w="610" w:type="dxa"/>
                  <w:tcMar>
                    <w:top w:w="15" w:type="dxa"/>
                    <w:left w:w="15" w:type="dxa"/>
                    <w:right w:w="15" w:type="dxa"/>
                  </w:tcMar>
                  <w:vAlign w:val="center"/>
                </w:tcPr>
                <w:p w14:paraId="647BE8E0">
                  <w:pPr>
                    <w:jc w:val="center"/>
                    <w:rPr>
                      <w:rFonts w:cs="Arial"/>
                      <w:szCs w:val="24"/>
                    </w:rPr>
                  </w:pPr>
                  <w:r>
                    <w:rPr>
                      <w:rFonts w:hint="eastAsia" w:cs="Arial"/>
                      <w:szCs w:val="24"/>
                    </w:rPr>
                    <w:t>1</w:t>
                  </w:r>
                </w:p>
              </w:tc>
            </w:tr>
            <w:tr w14:paraId="4128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704" w:type="dxa"/>
                  <w:tcMar>
                    <w:top w:w="15" w:type="dxa"/>
                    <w:left w:w="15" w:type="dxa"/>
                    <w:right w:w="15" w:type="dxa"/>
                  </w:tcMar>
                  <w:vAlign w:val="center"/>
                </w:tcPr>
                <w:p w14:paraId="4DB286A6">
                  <w:pPr>
                    <w:jc w:val="center"/>
                    <w:rPr>
                      <w:rFonts w:cs="Arial"/>
                      <w:szCs w:val="24"/>
                    </w:rPr>
                  </w:pPr>
                  <w:r>
                    <w:rPr>
                      <w:rFonts w:hint="eastAsia" w:cs="Arial"/>
                      <w:szCs w:val="24"/>
                    </w:rPr>
                    <w:t>11</w:t>
                  </w:r>
                </w:p>
              </w:tc>
              <w:tc>
                <w:tcPr>
                  <w:tcW w:w="2552" w:type="dxa"/>
                  <w:tcMar>
                    <w:top w:w="15" w:type="dxa"/>
                    <w:left w:w="15" w:type="dxa"/>
                    <w:right w:w="15" w:type="dxa"/>
                  </w:tcMar>
                  <w:vAlign w:val="center"/>
                </w:tcPr>
                <w:p w14:paraId="4FE16991">
                  <w:pPr>
                    <w:jc w:val="center"/>
                    <w:rPr>
                      <w:rFonts w:cs="Arial"/>
                      <w:szCs w:val="24"/>
                    </w:rPr>
                  </w:pPr>
                  <w:r>
                    <w:rPr>
                      <w:rFonts w:hint="eastAsia" w:cs="Arial"/>
                      <w:szCs w:val="24"/>
                    </w:rPr>
                    <w:t>通信柜</w:t>
                  </w:r>
                </w:p>
              </w:tc>
              <w:tc>
                <w:tcPr>
                  <w:tcW w:w="3769" w:type="dxa"/>
                  <w:tcMar>
                    <w:top w:w="15" w:type="dxa"/>
                    <w:left w:w="15" w:type="dxa"/>
                    <w:right w:w="15" w:type="dxa"/>
                  </w:tcMar>
                  <w:vAlign w:val="center"/>
                </w:tcPr>
                <w:p w14:paraId="6B4C0835">
                  <w:pPr>
                    <w:jc w:val="center"/>
                    <w:rPr>
                      <w:rFonts w:cs="Arial"/>
                      <w:szCs w:val="24"/>
                    </w:rPr>
                  </w:pPr>
                  <w:r>
                    <w:rPr>
                      <w:rFonts w:hint="eastAsia" w:cs="Arial"/>
                      <w:szCs w:val="24"/>
                    </w:rPr>
                    <w:t>含交换机、反</w:t>
                  </w:r>
                  <w:r>
                    <w:rPr>
                      <w:rFonts w:cs="Arial"/>
                      <w:szCs w:val="24"/>
                    </w:rPr>
                    <w:t>PID控制装置、数据管理装置等</w:t>
                  </w:r>
                </w:p>
              </w:tc>
              <w:tc>
                <w:tcPr>
                  <w:tcW w:w="595" w:type="dxa"/>
                  <w:tcMar>
                    <w:top w:w="15" w:type="dxa"/>
                    <w:left w:w="15" w:type="dxa"/>
                    <w:right w:w="15" w:type="dxa"/>
                  </w:tcMar>
                  <w:vAlign w:val="center"/>
                </w:tcPr>
                <w:p w14:paraId="3AD862A3">
                  <w:pPr>
                    <w:jc w:val="center"/>
                    <w:rPr>
                      <w:rFonts w:cs="Arial"/>
                      <w:szCs w:val="24"/>
                    </w:rPr>
                  </w:pPr>
                  <w:r>
                    <w:rPr>
                      <w:rFonts w:hint="eastAsia" w:cs="Arial"/>
                      <w:szCs w:val="24"/>
                    </w:rPr>
                    <w:t>台</w:t>
                  </w:r>
                </w:p>
              </w:tc>
              <w:tc>
                <w:tcPr>
                  <w:tcW w:w="610" w:type="dxa"/>
                  <w:tcMar>
                    <w:top w:w="15" w:type="dxa"/>
                    <w:left w:w="15" w:type="dxa"/>
                    <w:right w:w="15" w:type="dxa"/>
                  </w:tcMar>
                  <w:vAlign w:val="center"/>
                </w:tcPr>
                <w:p w14:paraId="1EA77EB4">
                  <w:pPr>
                    <w:jc w:val="center"/>
                    <w:rPr>
                      <w:rFonts w:cs="Arial"/>
                      <w:szCs w:val="24"/>
                    </w:rPr>
                  </w:pPr>
                  <w:r>
                    <w:rPr>
                      <w:rFonts w:hint="eastAsia" w:cs="Arial"/>
                      <w:szCs w:val="24"/>
                    </w:rPr>
                    <w:t>21</w:t>
                  </w:r>
                </w:p>
              </w:tc>
            </w:tr>
            <w:tr w14:paraId="1E00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704" w:type="dxa"/>
                  <w:tcMar>
                    <w:top w:w="15" w:type="dxa"/>
                    <w:left w:w="15" w:type="dxa"/>
                    <w:right w:w="15" w:type="dxa"/>
                  </w:tcMar>
                  <w:vAlign w:val="center"/>
                </w:tcPr>
                <w:p w14:paraId="37B93062">
                  <w:pPr>
                    <w:jc w:val="center"/>
                    <w:rPr>
                      <w:rFonts w:cs="Arial"/>
                      <w:szCs w:val="24"/>
                    </w:rPr>
                  </w:pPr>
                  <w:r>
                    <w:rPr>
                      <w:rFonts w:hint="eastAsia" w:cs="Arial"/>
                      <w:szCs w:val="24"/>
                    </w:rPr>
                    <w:t>三</w:t>
                  </w:r>
                </w:p>
              </w:tc>
              <w:tc>
                <w:tcPr>
                  <w:tcW w:w="2552" w:type="dxa"/>
                  <w:tcMar>
                    <w:top w:w="15" w:type="dxa"/>
                    <w:left w:w="15" w:type="dxa"/>
                    <w:right w:w="15" w:type="dxa"/>
                  </w:tcMar>
                  <w:vAlign w:val="center"/>
                </w:tcPr>
                <w:p w14:paraId="3D8A5139">
                  <w:pPr>
                    <w:jc w:val="center"/>
                    <w:rPr>
                      <w:rFonts w:cs="Arial"/>
                      <w:szCs w:val="24"/>
                    </w:rPr>
                  </w:pPr>
                  <w:r>
                    <w:rPr>
                      <w:rFonts w:hint="eastAsia" w:cs="Arial"/>
                      <w:szCs w:val="24"/>
                    </w:rPr>
                    <w:t>光伏场区接地</w:t>
                  </w:r>
                </w:p>
              </w:tc>
              <w:tc>
                <w:tcPr>
                  <w:tcW w:w="3769" w:type="dxa"/>
                  <w:tcMar>
                    <w:top w:w="15" w:type="dxa"/>
                    <w:left w:w="15" w:type="dxa"/>
                    <w:right w:w="15" w:type="dxa"/>
                  </w:tcMar>
                  <w:vAlign w:val="center"/>
                </w:tcPr>
                <w:p w14:paraId="1BA0829B">
                  <w:pPr>
                    <w:jc w:val="center"/>
                    <w:rPr>
                      <w:rFonts w:cs="Arial"/>
                      <w:szCs w:val="24"/>
                    </w:rPr>
                  </w:pPr>
                </w:p>
              </w:tc>
              <w:tc>
                <w:tcPr>
                  <w:tcW w:w="595" w:type="dxa"/>
                  <w:tcMar>
                    <w:top w:w="15" w:type="dxa"/>
                    <w:left w:w="15" w:type="dxa"/>
                    <w:right w:w="15" w:type="dxa"/>
                  </w:tcMar>
                  <w:vAlign w:val="center"/>
                </w:tcPr>
                <w:p w14:paraId="0C144D6D">
                  <w:pPr>
                    <w:jc w:val="center"/>
                    <w:rPr>
                      <w:rFonts w:cs="Arial"/>
                      <w:szCs w:val="24"/>
                    </w:rPr>
                  </w:pPr>
                </w:p>
              </w:tc>
              <w:tc>
                <w:tcPr>
                  <w:tcW w:w="610" w:type="dxa"/>
                  <w:tcMar>
                    <w:top w:w="15" w:type="dxa"/>
                    <w:left w:w="15" w:type="dxa"/>
                    <w:right w:w="15" w:type="dxa"/>
                  </w:tcMar>
                  <w:vAlign w:val="center"/>
                </w:tcPr>
                <w:p w14:paraId="7750B1D4">
                  <w:pPr>
                    <w:jc w:val="center"/>
                    <w:rPr>
                      <w:rFonts w:cs="Arial"/>
                      <w:szCs w:val="24"/>
                    </w:rPr>
                  </w:pPr>
                </w:p>
              </w:tc>
            </w:tr>
            <w:tr w14:paraId="533A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704" w:type="dxa"/>
                  <w:tcMar>
                    <w:top w:w="15" w:type="dxa"/>
                    <w:left w:w="15" w:type="dxa"/>
                    <w:right w:w="15" w:type="dxa"/>
                  </w:tcMar>
                  <w:vAlign w:val="center"/>
                </w:tcPr>
                <w:p w14:paraId="5D2A81AD">
                  <w:pPr>
                    <w:jc w:val="center"/>
                    <w:rPr>
                      <w:rFonts w:cs="Arial"/>
                      <w:szCs w:val="24"/>
                    </w:rPr>
                  </w:pPr>
                  <w:r>
                    <w:rPr>
                      <w:rFonts w:cs="Arial"/>
                      <w:szCs w:val="24"/>
                    </w:rPr>
                    <w:t>1</w:t>
                  </w:r>
                </w:p>
              </w:tc>
              <w:tc>
                <w:tcPr>
                  <w:tcW w:w="2552" w:type="dxa"/>
                  <w:tcMar>
                    <w:top w:w="15" w:type="dxa"/>
                    <w:left w:w="15" w:type="dxa"/>
                    <w:right w:w="15" w:type="dxa"/>
                  </w:tcMar>
                  <w:vAlign w:val="center"/>
                </w:tcPr>
                <w:p w14:paraId="73E0103F">
                  <w:pPr>
                    <w:jc w:val="center"/>
                    <w:rPr>
                      <w:rFonts w:cs="Arial"/>
                      <w:szCs w:val="24"/>
                    </w:rPr>
                  </w:pPr>
                  <w:r>
                    <w:rPr>
                      <w:rFonts w:hint="eastAsia" w:cs="Arial"/>
                      <w:szCs w:val="24"/>
                    </w:rPr>
                    <w:t>电池板接地线</w:t>
                  </w:r>
                </w:p>
              </w:tc>
              <w:tc>
                <w:tcPr>
                  <w:tcW w:w="3769" w:type="dxa"/>
                  <w:tcMar>
                    <w:top w:w="15" w:type="dxa"/>
                    <w:left w:w="15" w:type="dxa"/>
                    <w:right w:w="15" w:type="dxa"/>
                  </w:tcMar>
                  <w:vAlign w:val="center"/>
                </w:tcPr>
                <w:p w14:paraId="4FE4F3DB">
                  <w:pPr>
                    <w:jc w:val="center"/>
                    <w:rPr>
                      <w:rFonts w:cs="Arial"/>
                      <w:szCs w:val="24"/>
                    </w:rPr>
                  </w:pPr>
                  <w:r>
                    <w:rPr>
                      <w:rFonts w:cs="Arial"/>
                      <w:szCs w:val="24"/>
                    </w:rPr>
                    <w:t>BVR-1×4mm</w:t>
                  </w:r>
                  <w:r>
                    <w:rPr>
                      <w:rFonts w:cs="Arial"/>
                      <w:szCs w:val="24"/>
                      <w:vertAlign w:val="superscript"/>
                    </w:rPr>
                    <w:t>2</w:t>
                  </w:r>
                </w:p>
              </w:tc>
              <w:tc>
                <w:tcPr>
                  <w:tcW w:w="595" w:type="dxa"/>
                  <w:tcMar>
                    <w:top w:w="15" w:type="dxa"/>
                    <w:left w:w="15" w:type="dxa"/>
                    <w:right w:w="15" w:type="dxa"/>
                  </w:tcMar>
                  <w:vAlign w:val="center"/>
                </w:tcPr>
                <w:p w14:paraId="72295113">
                  <w:pPr>
                    <w:jc w:val="center"/>
                    <w:rPr>
                      <w:rFonts w:cs="Arial"/>
                      <w:szCs w:val="24"/>
                    </w:rPr>
                  </w:pPr>
                  <w:r>
                    <w:rPr>
                      <w:rFonts w:cs="Arial"/>
                      <w:szCs w:val="24"/>
                    </w:rPr>
                    <w:t>km</w:t>
                  </w:r>
                </w:p>
              </w:tc>
              <w:tc>
                <w:tcPr>
                  <w:tcW w:w="610" w:type="dxa"/>
                  <w:tcMar>
                    <w:top w:w="15" w:type="dxa"/>
                    <w:left w:w="15" w:type="dxa"/>
                    <w:right w:w="15" w:type="dxa"/>
                  </w:tcMar>
                  <w:vAlign w:val="center"/>
                </w:tcPr>
                <w:p w14:paraId="7549403E">
                  <w:pPr>
                    <w:jc w:val="center"/>
                    <w:rPr>
                      <w:rFonts w:cs="Arial"/>
                      <w:szCs w:val="24"/>
                    </w:rPr>
                  </w:pPr>
                  <w:r>
                    <w:rPr>
                      <w:rFonts w:hint="eastAsia" w:cs="Arial"/>
                      <w:szCs w:val="24"/>
                    </w:rPr>
                    <w:t>16</w:t>
                  </w:r>
                </w:p>
              </w:tc>
            </w:tr>
            <w:tr w14:paraId="7E84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4B9394EC">
                  <w:pPr>
                    <w:jc w:val="center"/>
                    <w:rPr>
                      <w:rFonts w:cs="Arial"/>
                      <w:szCs w:val="24"/>
                    </w:rPr>
                  </w:pPr>
                  <w:r>
                    <w:rPr>
                      <w:rFonts w:cs="Arial"/>
                      <w:szCs w:val="24"/>
                    </w:rPr>
                    <w:t>2</w:t>
                  </w:r>
                </w:p>
              </w:tc>
              <w:tc>
                <w:tcPr>
                  <w:tcW w:w="2552" w:type="dxa"/>
                  <w:tcMar>
                    <w:top w:w="15" w:type="dxa"/>
                    <w:left w:w="15" w:type="dxa"/>
                    <w:right w:w="15" w:type="dxa"/>
                  </w:tcMar>
                  <w:vAlign w:val="center"/>
                </w:tcPr>
                <w:p w14:paraId="30B38DD4">
                  <w:pPr>
                    <w:jc w:val="center"/>
                    <w:rPr>
                      <w:rFonts w:cs="Arial"/>
                      <w:szCs w:val="24"/>
                    </w:rPr>
                  </w:pPr>
                  <w:r>
                    <w:rPr>
                      <w:rFonts w:hint="eastAsia" w:cs="Arial"/>
                      <w:szCs w:val="24"/>
                    </w:rPr>
                    <w:t>水平接地体（</w:t>
                  </w:r>
                  <w:r>
                    <w:rPr>
                      <w:rFonts w:cs="Arial"/>
                      <w:szCs w:val="24"/>
                    </w:rPr>
                    <w:t>含箱变接地</w:t>
                  </w:r>
                  <w:r>
                    <w:rPr>
                      <w:rFonts w:hint="eastAsia" w:cs="Arial"/>
                      <w:szCs w:val="24"/>
                    </w:rPr>
                    <w:t>）</w:t>
                  </w:r>
                  <w:r>
                    <w:rPr>
                      <w:rFonts w:cs="Arial"/>
                      <w:szCs w:val="24"/>
                    </w:rPr>
                    <w:t>镀锌扁钢</w:t>
                  </w:r>
                </w:p>
              </w:tc>
              <w:tc>
                <w:tcPr>
                  <w:tcW w:w="3769" w:type="dxa"/>
                  <w:tcMar>
                    <w:top w:w="15" w:type="dxa"/>
                    <w:left w:w="15" w:type="dxa"/>
                    <w:right w:w="15" w:type="dxa"/>
                  </w:tcMar>
                  <w:vAlign w:val="center"/>
                </w:tcPr>
                <w:p w14:paraId="2CCDAAEB">
                  <w:pPr>
                    <w:jc w:val="center"/>
                    <w:rPr>
                      <w:rFonts w:cs="Arial"/>
                      <w:szCs w:val="24"/>
                    </w:rPr>
                  </w:pPr>
                  <w:r>
                    <w:rPr>
                      <w:rFonts w:cs="Arial"/>
                      <w:szCs w:val="24"/>
                    </w:rPr>
                    <w:t>60×6mm</w:t>
                  </w:r>
                </w:p>
              </w:tc>
              <w:tc>
                <w:tcPr>
                  <w:tcW w:w="595" w:type="dxa"/>
                  <w:tcMar>
                    <w:top w:w="15" w:type="dxa"/>
                    <w:left w:w="15" w:type="dxa"/>
                    <w:right w:w="15" w:type="dxa"/>
                  </w:tcMar>
                  <w:vAlign w:val="center"/>
                </w:tcPr>
                <w:p w14:paraId="25A636DC">
                  <w:pPr>
                    <w:jc w:val="center"/>
                    <w:rPr>
                      <w:rFonts w:cs="Arial"/>
                      <w:szCs w:val="24"/>
                    </w:rPr>
                  </w:pPr>
                  <w:r>
                    <w:rPr>
                      <w:rFonts w:cs="Arial"/>
                      <w:szCs w:val="24"/>
                    </w:rPr>
                    <w:t>km</w:t>
                  </w:r>
                </w:p>
              </w:tc>
              <w:tc>
                <w:tcPr>
                  <w:tcW w:w="610" w:type="dxa"/>
                  <w:tcMar>
                    <w:top w:w="15" w:type="dxa"/>
                    <w:left w:w="15" w:type="dxa"/>
                    <w:right w:w="15" w:type="dxa"/>
                  </w:tcMar>
                  <w:vAlign w:val="center"/>
                </w:tcPr>
                <w:p w14:paraId="26884C86">
                  <w:pPr>
                    <w:jc w:val="center"/>
                    <w:rPr>
                      <w:rFonts w:cs="Arial"/>
                      <w:szCs w:val="24"/>
                    </w:rPr>
                  </w:pPr>
                  <w:r>
                    <w:rPr>
                      <w:rFonts w:hint="eastAsia" w:cs="Arial"/>
                      <w:szCs w:val="24"/>
                    </w:rPr>
                    <w:t>36</w:t>
                  </w:r>
                </w:p>
              </w:tc>
            </w:tr>
            <w:tr w14:paraId="21099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rPr>
              <w:tc>
                <w:tcPr>
                  <w:tcW w:w="704" w:type="dxa"/>
                  <w:tcMar>
                    <w:top w:w="15" w:type="dxa"/>
                    <w:left w:w="15" w:type="dxa"/>
                    <w:right w:w="15" w:type="dxa"/>
                  </w:tcMar>
                  <w:vAlign w:val="center"/>
                </w:tcPr>
                <w:p w14:paraId="4B0CB7B6">
                  <w:pPr>
                    <w:jc w:val="center"/>
                    <w:rPr>
                      <w:rFonts w:cs="Arial"/>
                      <w:szCs w:val="24"/>
                    </w:rPr>
                  </w:pPr>
                  <w:r>
                    <w:rPr>
                      <w:rFonts w:cs="Arial"/>
                      <w:szCs w:val="24"/>
                    </w:rPr>
                    <w:t>3</w:t>
                  </w:r>
                </w:p>
              </w:tc>
              <w:tc>
                <w:tcPr>
                  <w:tcW w:w="2552" w:type="dxa"/>
                  <w:tcMar>
                    <w:top w:w="15" w:type="dxa"/>
                    <w:left w:w="15" w:type="dxa"/>
                    <w:right w:w="15" w:type="dxa"/>
                  </w:tcMar>
                  <w:vAlign w:val="center"/>
                </w:tcPr>
                <w:p w14:paraId="4A188F95">
                  <w:pPr>
                    <w:jc w:val="center"/>
                    <w:rPr>
                      <w:rFonts w:cs="Arial"/>
                      <w:szCs w:val="24"/>
                    </w:rPr>
                  </w:pPr>
                  <w:r>
                    <w:rPr>
                      <w:rFonts w:hint="eastAsia" w:cs="Arial"/>
                      <w:szCs w:val="24"/>
                    </w:rPr>
                    <w:t>支架接地线 镀锌扁钢</w:t>
                  </w:r>
                </w:p>
              </w:tc>
              <w:tc>
                <w:tcPr>
                  <w:tcW w:w="3769" w:type="dxa"/>
                  <w:tcMar>
                    <w:top w:w="15" w:type="dxa"/>
                    <w:left w:w="15" w:type="dxa"/>
                    <w:right w:w="15" w:type="dxa"/>
                  </w:tcMar>
                  <w:vAlign w:val="center"/>
                </w:tcPr>
                <w:p w14:paraId="31D83A27">
                  <w:pPr>
                    <w:jc w:val="center"/>
                    <w:rPr>
                      <w:rFonts w:cs="Arial"/>
                      <w:szCs w:val="24"/>
                    </w:rPr>
                  </w:pPr>
                  <w:r>
                    <w:rPr>
                      <w:rFonts w:cs="Arial"/>
                      <w:szCs w:val="24"/>
                    </w:rPr>
                    <w:t>40×4mm</w:t>
                  </w:r>
                </w:p>
              </w:tc>
              <w:tc>
                <w:tcPr>
                  <w:tcW w:w="595" w:type="dxa"/>
                  <w:tcMar>
                    <w:top w:w="15" w:type="dxa"/>
                    <w:left w:w="15" w:type="dxa"/>
                    <w:right w:w="15" w:type="dxa"/>
                  </w:tcMar>
                  <w:vAlign w:val="center"/>
                </w:tcPr>
                <w:p w14:paraId="14257900">
                  <w:pPr>
                    <w:jc w:val="center"/>
                    <w:rPr>
                      <w:rFonts w:cs="Arial"/>
                      <w:szCs w:val="24"/>
                    </w:rPr>
                  </w:pPr>
                  <w:r>
                    <w:rPr>
                      <w:rFonts w:cs="Arial"/>
                      <w:szCs w:val="24"/>
                    </w:rPr>
                    <w:t>km</w:t>
                  </w:r>
                </w:p>
              </w:tc>
              <w:tc>
                <w:tcPr>
                  <w:tcW w:w="610" w:type="dxa"/>
                  <w:tcMar>
                    <w:top w:w="15" w:type="dxa"/>
                    <w:left w:w="15" w:type="dxa"/>
                    <w:right w:w="15" w:type="dxa"/>
                  </w:tcMar>
                  <w:vAlign w:val="center"/>
                </w:tcPr>
                <w:p w14:paraId="5BAE0DFA">
                  <w:pPr>
                    <w:jc w:val="center"/>
                    <w:rPr>
                      <w:rFonts w:cs="Arial"/>
                      <w:szCs w:val="24"/>
                    </w:rPr>
                  </w:pPr>
                  <w:r>
                    <w:rPr>
                      <w:rFonts w:hint="eastAsia" w:cs="Arial"/>
                      <w:szCs w:val="24"/>
                    </w:rPr>
                    <w:t>25</w:t>
                  </w:r>
                </w:p>
              </w:tc>
            </w:tr>
            <w:tr w14:paraId="12BC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1FD1A5CD">
                  <w:pPr>
                    <w:jc w:val="center"/>
                    <w:rPr>
                      <w:rFonts w:cs="Arial"/>
                      <w:szCs w:val="24"/>
                    </w:rPr>
                  </w:pPr>
                  <w:r>
                    <w:rPr>
                      <w:rFonts w:cs="Arial"/>
                      <w:szCs w:val="24"/>
                    </w:rPr>
                    <w:t>4</w:t>
                  </w:r>
                </w:p>
              </w:tc>
              <w:tc>
                <w:tcPr>
                  <w:tcW w:w="2552" w:type="dxa"/>
                  <w:tcMar>
                    <w:top w:w="15" w:type="dxa"/>
                    <w:left w:w="15" w:type="dxa"/>
                    <w:right w:w="15" w:type="dxa"/>
                  </w:tcMar>
                  <w:vAlign w:val="center"/>
                </w:tcPr>
                <w:p w14:paraId="09459C47">
                  <w:pPr>
                    <w:jc w:val="center"/>
                    <w:rPr>
                      <w:rFonts w:cs="Arial"/>
                      <w:szCs w:val="24"/>
                    </w:rPr>
                  </w:pPr>
                  <w:r>
                    <w:rPr>
                      <w:rFonts w:hint="eastAsia" w:cs="Arial"/>
                      <w:szCs w:val="24"/>
                    </w:rPr>
                    <w:t>垂直接地极</w:t>
                  </w:r>
                </w:p>
              </w:tc>
              <w:tc>
                <w:tcPr>
                  <w:tcW w:w="3769" w:type="dxa"/>
                  <w:tcMar>
                    <w:top w:w="15" w:type="dxa"/>
                    <w:left w:w="15" w:type="dxa"/>
                    <w:right w:w="15" w:type="dxa"/>
                  </w:tcMar>
                  <w:vAlign w:val="center"/>
                </w:tcPr>
                <w:p w14:paraId="5B697396">
                  <w:pPr>
                    <w:jc w:val="center"/>
                    <w:rPr>
                      <w:rFonts w:cs="Arial"/>
                      <w:szCs w:val="24"/>
                    </w:rPr>
                  </w:pPr>
                  <w:r>
                    <w:rPr>
                      <w:rFonts w:hint="eastAsia" w:cs="Arial"/>
                      <w:szCs w:val="24"/>
                    </w:rPr>
                    <w:t>L50×50×5</w:t>
                  </w:r>
                  <w:r>
                    <w:rPr>
                      <w:rFonts w:cs="Arial"/>
                      <w:sz w:val="24"/>
                      <w:szCs w:val="24"/>
                    </w:rPr>
                    <w:t>，</w:t>
                  </w:r>
                  <w:r>
                    <w:rPr>
                      <w:rFonts w:cs="Arial"/>
                      <w:szCs w:val="24"/>
                    </w:rPr>
                    <w:t>L=2500mm</w:t>
                  </w:r>
                </w:p>
              </w:tc>
              <w:tc>
                <w:tcPr>
                  <w:tcW w:w="595" w:type="dxa"/>
                  <w:tcMar>
                    <w:top w:w="15" w:type="dxa"/>
                    <w:left w:w="15" w:type="dxa"/>
                    <w:right w:w="15" w:type="dxa"/>
                  </w:tcMar>
                  <w:vAlign w:val="center"/>
                </w:tcPr>
                <w:p w14:paraId="4C9498EF">
                  <w:pPr>
                    <w:jc w:val="center"/>
                    <w:rPr>
                      <w:rFonts w:cs="Arial"/>
                      <w:szCs w:val="24"/>
                    </w:rPr>
                  </w:pPr>
                  <w:r>
                    <w:rPr>
                      <w:rFonts w:hint="eastAsia" w:cs="Arial"/>
                      <w:szCs w:val="24"/>
                    </w:rPr>
                    <w:t>根</w:t>
                  </w:r>
                </w:p>
              </w:tc>
              <w:tc>
                <w:tcPr>
                  <w:tcW w:w="610" w:type="dxa"/>
                  <w:tcMar>
                    <w:top w:w="15" w:type="dxa"/>
                    <w:left w:w="15" w:type="dxa"/>
                    <w:right w:w="15" w:type="dxa"/>
                  </w:tcMar>
                  <w:vAlign w:val="center"/>
                </w:tcPr>
                <w:p w14:paraId="7D11CD11">
                  <w:pPr>
                    <w:jc w:val="center"/>
                    <w:rPr>
                      <w:rFonts w:cs="Arial"/>
                      <w:szCs w:val="24"/>
                    </w:rPr>
                  </w:pPr>
                  <w:r>
                    <w:rPr>
                      <w:rFonts w:hint="eastAsia" w:cs="Arial"/>
                      <w:szCs w:val="24"/>
                    </w:rPr>
                    <w:t>1800</w:t>
                  </w:r>
                </w:p>
              </w:tc>
            </w:tr>
            <w:tr w14:paraId="5E27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55E0F0EF">
                  <w:pPr>
                    <w:jc w:val="center"/>
                    <w:rPr>
                      <w:rFonts w:cs="Arial"/>
                      <w:szCs w:val="24"/>
                    </w:rPr>
                  </w:pPr>
                  <w:r>
                    <w:rPr>
                      <w:rFonts w:cs="Arial"/>
                      <w:szCs w:val="24"/>
                    </w:rPr>
                    <w:t>5</w:t>
                  </w:r>
                </w:p>
              </w:tc>
              <w:tc>
                <w:tcPr>
                  <w:tcW w:w="2552" w:type="dxa"/>
                  <w:tcMar>
                    <w:top w:w="15" w:type="dxa"/>
                    <w:left w:w="15" w:type="dxa"/>
                    <w:right w:w="15" w:type="dxa"/>
                  </w:tcMar>
                  <w:vAlign w:val="center"/>
                </w:tcPr>
                <w:p w14:paraId="77C3DB28">
                  <w:pPr>
                    <w:jc w:val="center"/>
                    <w:rPr>
                      <w:rFonts w:cs="Arial"/>
                      <w:szCs w:val="24"/>
                    </w:rPr>
                  </w:pPr>
                  <w:r>
                    <w:rPr>
                      <w:rFonts w:hint="eastAsia" w:cs="Arial"/>
                      <w:szCs w:val="24"/>
                    </w:rPr>
                    <w:t>逆变器接地线</w:t>
                  </w:r>
                </w:p>
              </w:tc>
              <w:tc>
                <w:tcPr>
                  <w:tcW w:w="3769" w:type="dxa"/>
                  <w:tcMar>
                    <w:top w:w="15" w:type="dxa"/>
                    <w:left w:w="15" w:type="dxa"/>
                    <w:right w:w="15" w:type="dxa"/>
                  </w:tcMar>
                  <w:vAlign w:val="center"/>
                </w:tcPr>
                <w:p w14:paraId="29BE7C9E">
                  <w:pPr>
                    <w:jc w:val="center"/>
                    <w:rPr>
                      <w:rFonts w:cs="Arial"/>
                      <w:szCs w:val="24"/>
                    </w:rPr>
                  </w:pPr>
                  <w:r>
                    <w:rPr>
                      <w:rFonts w:cs="Arial"/>
                      <w:szCs w:val="24"/>
                    </w:rPr>
                    <w:t>BVR-1×35mm</w:t>
                  </w:r>
                  <w:r>
                    <w:rPr>
                      <w:rFonts w:cs="Arial"/>
                      <w:szCs w:val="24"/>
                      <w:vertAlign w:val="superscript"/>
                    </w:rPr>
                    <w:t>2</w:t>
                  </w:r>
                  <w:r>
                    <w:rPr>
                      <w:rFonts w:cs="Arial"/>
                      <w:szCs w:val="24"/>
                    </w:rPr>
                    <w:t>黄绿铜线</w:t>
                  </w:r>
                </w:p>
              </w:tc>
              <w:tc>
                <w:tcPr>
                  <w:tcW w:w="595" w:type="dxa"/>
                  <w:tcMar>
                    <w:top w:w="15" w:type="dxa"/>
                    <w:left w:w="15" w:type="dxa"/>
                    <w:right w:w="15" w:type="dxa"/>
                  </w:tcMar>
                  <w:vAlign w:val="center"/>
                </w:tcPr>
                <w:p w14:paraId="6276D24B">
                  <w:pPr>
                    <w:jc w:val="center"/>
                    <w:rPr>
                      <w:rFonts w:cs="Arial"/>
                      <w:szCs w:val="24"/>
                    </w:rPr>
                  </w:pPr>
                  <w:r>
                    <w:rPr>
                      <w:rFonts w:cs="Arial"/>
                      <w:szCs w:val="24"/>
                    </w:rPr>
                    <w:t>m</w:t>
                  </w:r>
                </w:p>
              </w:tc>
              <w:tc>
                <w:tcPr>
                  <w:tcW w:w="610" w:type="dxa"/>
                  <w:tcMar>
                    <w:top w:w="15" w:type="dxa"/>
                    <w:left w:w="15" w:type="dxa"/>
                    <w:right w:w="15" w:type="dxa"/>
                  </w:tcMar>
                  <w:vAlign w:val="center"/>
                </w:tcPr>
                <w:p w14:paraId="2C1FE499">
                  <w:pPr>
                    <w:jc w:val="center"/>
                    <w:rPr>
                      <w:rFonts w:cs="Arial"/>
                      <w:szCs w:val="24"/>
                    </w:rPr>
                  </w:pPr>
                  <w:r>
                    <w:rPr>
                      <w:rFonts w:hint="eastAsia" w:cs="Arial"/>
                      <w:szCs w:val="24"/>
                    </w:rPr>
                    <w:t>350</w:t>
                  </w:r>
                </w:p>
              </w:tc>
            </w:tr>
            <w:tr w14:paraId="0ECCF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1CDA7F6F">
                  <w:pPr>
                    <w:jc w:val="center"/>
                    <w:rPr>
                      <w:rFonts w:cs="Arial"/>
                      <w:szCs w:val="24"/>
                    </w:rPr>
                  </w:pPr>
                  <w:r>
                    <w:rPr>
                      <w:rFonts w:hint="eastAsia" w:cs="Arial"/>
                      <w:szCs w:val="24"/>
                    </w:rPr>
                    <w:t>6</w:t>
                  </w:r>
                </w:p>
              </w:tc>
              <w:tc>
                <w:tcPr>
                  <w:tcW w:w="2552" w:type="dxa"/>
                  <w:tcMar>
                    <w:top w:w="15" w:type="dxa"/>
                    <w:left w:w="15" w:type="dxa"/>
                    <w:right w:w="15" w:type="dxa"/>
                  </w:tcMar>
                  <w:vAlign w:val="center"/>
                </w:tcPr>
                <w:p w14:paraId="7C7BE932">
                  <w:pPr>
                    <w:jc w:val="center"/>
                    <w:rPr>
                      <w:rFonts w:cs="Arial"/>
                      <w:szCs w:val="24"/>
                    </w:rPr>
                  </w:pPr>
                  <w:r>
                    <w:rPr>
                      <w:rFonts w:hint="eastAsia" w:cs="Arial"/>
                      <w:szCs w:val="24"/>
                    </w:rPr>
                    <w:t>线鼻子</w:t>
                  </w:r>
                </w:p>
              </w:tc>
              <w:tc>
                <w:tcPr>
                  <w:tcW w:w="3769" w:type="dxa"/>
                  <w:tcMar>
                    <w:top w:w="15" w:type="dxa"/>
                    <w:left w:w="15" w:type="dxa"/>
                    <w:right w:w="15" w:type="dxa"/>
                  </w:tcMar>
                  <w:vAlign w:val="center"/>
                </w:tcPr>
                <w:p w14:paraId="160AC1E4">
                  <w:pPr>
                    <w:jc w:val="center"/>
                    <w:rPr>
                      <w:rFonts w:cs="Arial"/>
                      <w:szCs w:val="24"/>
                    </w:rPr>
                  </w:pPr>
                  <w:r>
                    <w:rPr>
                      <w:rFonts w:hint="eastAsia" w:cs="Arial"/>
                      <w:szCs w:val="24"/>
                    </w:rPr>
                    <w:t>与</w:t>
                  </w:r>
                  <w:r>
                    <w:rPr>
                      <w:rFonts w:cs="Arial"/>
                      <w:szCs w:val="24"/>
                    </w:rPr>
                    <w:t>35mm</w:t>
                  </w:r>
                  <w:r>
                    <w:rPr>
                      <w:rFonts w:cs="Arial"/>
                      <w:szCs w:val="24"/>
                      <w:vertAlign w:val="superscript"/>
                    </w:rPr>
                    <w:t>2</w:t>
                  </w:r>
                  <w:r>
                    <w:rPr>
                      <w:rFonts w:cs="Arial"/>
                      <w:szCs w:val="24"/>
                    </w:rPr>
                    <w:t>黄绿铜线</w:t>
                  </w:r>
                  <w:r>
                    <w:rPr>
                      <w:rFonts w:hint="eastAsia" w:cs="Arial"/>
                      <w:szCs w:val="24"/>
                    </w:rPr>
                    <w:t>配套</w:t>
                  </w:r>
                </w:p>
              </w:tc>
              <w:tc>
                <w:tcPr>
                  <w:tcW w:w="595" w:type="dxa"/>
                  <w:tcMar>
                    <w:top w:w="15" w:type="dxa"/>
                    <w:left w:w="15" w:type="dxa"/>
                    <w:right w:w="15" w:type="dxa"/>
                  </w:tcMar>
                  <w:vAlign w:val="center"/>
                </w:tcPr>
                <w:p w14:paraId="02C0F5BD">
                  <w:pPr>
                    <w:jc w:val="center"/>
                    <w:rPr>
                      <w:rFonts w:cs="Arial"/>
                      <w:szCs w:val="24"/>
                    </w:rPr>
                  </w:pPr>
                  <w:r>
                    <w:rPr>
                      <w:rFonts w:hint="eastAsia" w:cs="Arial"/>
                      <w:szCs w:val="24"/>
                    </w:rPr>
                    <w:t>套</w:t>
                  </w:r>
                </w:p>
              </w:tc>
              <w:tc>
                <w:tcPr>
                  <w:tcW w:w="610" w:type="dxa"/>
                  <w:tcMar>
                    <w:top w:w="15" w:type="dxa"/>
                    <w:left w:w="15" w:type="dxa"/>
                    <w:right w:w="15" w:type="dxa"/>
                  </w:tcMar>
                  <w:vAlign w:val="center"/>
                </w:tcPr>
                <w:p w14:paraId="0C4EE4D0">
                  <w:pPr>
                    <w:jc w:val="center"/>
                    <w:rPr>
                      <w:rFonts w:cs="Arial"/>
                      <w:szCs w:val="24"/>
                    </w:rPr>
                  </w:pPr>
                  <w:r>
                    <w:rPr>
                      <w:rFonts w:hint="eastAsia" w:cs="Arial"/>
                      <w:szCs w:val="24"/>
                    </w:rPr>
                    <w:t>314</w:t>
                  </w:r>
                </w:p>
              </w:tc>
            </w:tr>
            <w:tr w14:paraId="4DFD5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704" w:type="dxa"/>
                  <w:tcMar>
                    <w:top w:w="15" w:type="dxa"/>
                    <w:left w:w="15" w:type="dxa"/>
                    <w:right w:w="15" w:type="dxa"/>
                  </w:tcMar>
                  <w:vAlign w:val="center"/>
                </w:tcPr>
                <w:p w14:paraId="239A55F0">
                  <w:pPr>
                    <w:jc w:val="center"/>
                    <w:rPr>
                      <w:rFonts w:cs="Arial"/>
                      <w:szCs w:val="24"/>
                    </w:rPr>
                  </w:pPr>
                  <w:r>
                    <w:rPr>
                      <w:rFonts w:hint="eastAsia" w:cs="Arial"/>
                      <w:szCs w:val="24"/>
                    </w:rPr>
                    <w:t>序号</w:t>
                  </w:r>
                </w:p>
              </w:tc>
              <w:tc>
                <w:tcPr>
                  <w:tcW w:w="2552" w:type="dxa"/>
                  <w:tcMar>
                    <w:top w:w="15" w:type="dxa"/>
                    <w:left w:w="15" w:type="dxa"/>
                    <w:right w:w="15" w:type="dxa"/>
                  </w:tcMar>
                  <w:vAlign w:val="center"/>
                </w:tcPr>
                <w:p w14:paraId="432B067C">
                  <w:pPr>
                    <w:jc w:val="center"/>
                    <w:rPr>
                      <w:rFonts w:cs="Arial"/>
                      <w:szCs w:val="24"/>
                    </w:rPr>
                  </w:pPr>
                  <w:r>
                    <w:rPr>
                      <w:rFonts w:hint="eastAsia" w:cs="Arial"/>
                      <w:szCs w:val="24"/>
                    </w:rPr>
                    <w:t>名 称</w:t>
                  </w:r>
                </w:p>
              </w:tc>
              <w:tc>
                <w:tcPr>
                  <w:tcW w:w="3769" w:type="dxa"/>
                  <w:tcMar>
                    <w:top w:w="15" w:type="dxa"/>
                    <w:left w:w="15" w:type="dxa"/>
                    <w:right w:w="15" w:type="dxa"/>
                  </w:tcMar>
                  <w:vAlign w:val="center"/>
                </w:tcPr>
                <w:p w14:paraId="6E4CCDCB">
                  <w:pPr>
                    <w:jc w:val="center"/>
                    <w:rPr>
                      <w:rFonts w:cs="Arial"/>
                      <w:szCs w:val="24"/>
                    </w:rPr>
                  </w:pPr>
                  <w:r>
                    <w:rPr>
                      <w:rFonts w:hint="eastAsia" w:cs="Arial"/>
                      <w:szCs w:val="24"/>
                    </w:rPr>
                    <w:t>型号规格</w:t>
                  </w:r>
                </w:p>
              </w:tc>
              <w:tc>
                <w:tcPr>
                  <w:tcW w:w="595" w:type="dxa"/>
                  <w:tcMar>
                    <w:top w:w="15" w:type="dxa"/>
                    <w:left w:w="15" w:type="dxa"/>
                    <w:right w:w="15" w:type="dxa"/>
                  </w:tcMar>
                  <w:vAlign w:val="center"/>
                </w:tcPr>
                <w:p w14:paraId="32388389">
                  <w:pPr>
                    <w:jc w:val="center"/>
                    <w:rPr>
                      <w:rFonts w:cs="Arial"/>
                      <w:szCs w:val="24"/>
                    </w:rPr>
                  </w:pPr>
                  <w:r>
                    <w:rPr>
                      <w:rFonts w:hint="eastAsia" w:cs="Arial"/>
                      <w:szCs w:val="24"/>
                    </w:rPr>
                    <w:t>单 位</w:t>
                  </w:r>
                </w:p>
              </w:tc>
              <w:tc>
                <w:tcPr>
                  <w:tcW w:w="610" w:type="dxa"/>
                  <w:tcMar>
                    <w:top w:w="15" w:type="dxa"/>
                    <w:left w:w="15" w:type="dxa"/>
                    <w:right w:w="15" w:type="dxa"/>
                  </w:tcMar>
                  <w:vAlign w:val="center"/>
                </w:tcPr>
                <w:p w14:paraId="33CA1526">
                  <w:pPr>
                    <w:jc w:val="center"/>
                    <w:rPr>
                      <w:rFonts w:cs="Arial"/>
                      <w:szCs w:val="24"/>
                    </w:rPr>
                  </w:pPr>
                  <w:r>
                    <w:rPr>
                      <w:rFonts w:hint="eastAsia" w:cs="Arial"/>
                      <w:szCs w:val="24"/>
                    </w:rPr>
                    <w:t>数 量</w:t>
                  </w:r>
                </w:p>
              </w:tc>
            </w:tr>
            <w:tr w14:paraId="6921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425C36BF">
                  <w:pPr>
                    <w:jc w:val="center"/>
                    <w:rPr>
                      <w:rFonts w:cs="Arial"/>
                      <w:szCs w:val="24"/>
                    </w:rPr>
                  </w:pPr>
                  <w:r>
                    <w:rPr>
                      <w:rFonts w:hint="eastAsia" w:cs="Arial"/>
                      <w:szCs w:val="24"/>
                    </w:rPr>
                    <w:t>四</w:t>
                  </w:r>
                </w:p>
              </w:tc>
              <w:tc>
                <w:tcPr>
                  <w:tcW w:w="2552" w:type="dxa"/>
                  <w:tcMar>
                    <w:top w:w="15" w:type="dxa"/>
                    <w:left w:w="15" w:type="dxa"/>
                    <w:right w:w="15" w:type="dxa"/>
                  </w:tcMar>
                  <w:vAlign w:val="center"/>
                </w:tcPr>
                <w:p w14:paraId="1E2193D8">
                  <w:pPr>
                    <w:jc w:val="center"/>
                    <w:rPr>
                      <w:rFonts w:cs="Arial"/>
                      <w:szCs w:val="24"/>
                    </w:rPr>
                  </w:pPr>
                  <w:r>
                    <w:rPr>
                      <w:rFonts w:hint="eastAsia" w:cs="Arial"/>
                      <w:szCs w:val="24"/>
                    </w:rPr>
                    <w:t>110kV升压站</w:t>
                  </w:r>
                </w:p>
              </w:tc>
              <w:tc>
                <w:tcPr>
                  <w:tcW w:w="3769" w:type="dxa"/>
                  <w:tcMar>
                    <w:top w:w="15" w:type="dxa"/>
                    <w:left w:w="15" w:type="dxa"/>
                    <w:right w:w="15" w:type="dxa"/>
                  </w:tcMar>
                  <w:vAlign w:val="center"/>
                </w:tcPr>
                <w:p w14:paraId="5D647D35">
                  <w:pPr>
                    <w:jc w:val="center"/>
                    <w:rPr>
                      <w:rFonts w:cs="Arial"/>
                      <w:szCs w:val="24"/>
                    </w:rPr>
                  </w:pPr>
                </w:p>
              </w:tc>
              <w:tc>
                <w:tcPr>
                  <w:tcW w:w="595" w:type="dxa"/>
                  <w:tcMar>
                    <w:top w:w="15" w:type="dxa"/>
                    <w:left w:w="15" w:type="dxa"/>
                    <w:right w:w="15" w:type="dxa"/>
                  </w:tcMar>
                  <w:vAlign w:val="center"/>
                </w:tcPr>
                <w:p w14:paraId="5CDB9D37">
                  <w:pPr>
                    <w:jc w:val="center"/>
                    <w:rPr>
                      <w:rFonts w:cs="Arial"/>
                      <w:szCs w:val="24"/>
                    </w:rPr>
                  </w:pPr>
                </w:p>
              </w:tc>
              <w:tc>
                <w:tcPr>
                  <w:tcW w:w="610" w:type="dxa"/>
                  <w:tcMar>
                    <w:top w:w="15" w:type="dxa"/>
                    <w:left w:w="15" w:type="dxa"/>
                    <w:right w:w="15" w:type="dxa"/>
                  </w:tcMar>
                  <w:vAlign w:val="center"/>
                </w:tcPr>
                <w:p w14:paraId="69EE6B69">
                  <w:pPr>
                    <w:jc w:val="center"/>
                    <w:rPr>
                      <w:rFonts w:cs="Arial"/>
                      <w:szCs w:val="24"/>
                    </w:rPr>
                  </w:pPr>
                </w:p>
              </w:tc>
            </w:tr>
            <w:tr w14:paraId="51A1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58CFA44F">
                  <w:pPr>
                    <w:jc w:val="center"/>
                    <w:rPr>
                      <w:rFonts w:cs="Arial"/>
                      <w:szCs w:val="24"/>
                    </w:rPr>
                  </w:pPr>
                  <w:r>
                    <w:rPr>
                      <w:rFonts w:hint="eastAsia" w:cs="Arial"/>
                      <w:szCs w:val="24"/>
                    </w:rPr>
                    <w:t>（一）</w:t>
                  </w:r>
                </w:p>
              </w:tc>
              <w:tc>
                <w:tcPr>
                  <w:tcW w:w="2552" w:type="dxa"/>
                  <w:tcMar>
                    <w:top w:w="15" w:type="dxa"/>
                    <w:left w:w="15" w:type="dxa"/>
                    <w:right w:w="15" w:type="dxa"/>
                  </w:tcMar>
                  <w:vAlign w:val="center"/>
                </w:tcPr>
                <w:p w14:paraId="43115426">
                  <w:pPr>
                    <w:jc w:val="center"/>
                    <w:rPr>
                      <w:rFonts w:cs="Arial"/>
                      <w:szCs w:val="24"/>
                    </w:rPr>
                  </w:pPr>
                  <w:r>
                    <w:rPr>
                      <w:rFonts w:hint="eastAsia" w:cs="Arial"/>
                      <w:szCs w:val="24"/>
                    </w:rPr>
                    <w:t>110kV配电系统部分</w:t>
                  </w:r>
                </w:p>
              </w:tc>
              <w:tc>
                <w:tcPr>
                  <w:tcW w:w="3769" w:type="dxa"/>
                  <w:tcMar>
                    <w:top w:w="15" w:type="dxa"/>
                    <w:left w:w="15" w:type="dxa"/>
                    <w:right w:w="15" w:type="dxa"/>
                  </w:tcMar>
                  <w:vAlign w:val="center"/>
                </w:tcPr>
                <w:p w14:paraId="0F193A28">
                  <w:pPr>
                    <w:jc w:val="center"/>
                    <w:rPr>
                      <w:rFonts w:cs="Arial"/>
                      <w:szCs w:val="24"/>
                    </w:rPr>
                  </w:pPr>
                </w:p>
              </w:tc>
              <w:tc>
                <w:tcPr>
                  <w:tcW w:w="595" w:type="dxa"/>
                  <w:tcMar>
                    <w:top w:w="15" w:type="dxa"/>
                    <w:left w:w="15" w:type="dxa"/>
                    <w:right w:w="15" w:type="dxa"/>
                  </w:tcMar>
                  <w:vAlign w:val="center"/>
                </w:tcPr>
                <w:p w14:paraId="2EBB1AD3">
                  <w:pPr>
                    <w:jc w:val="center"/>
                    <w:rPr>
                      <w:rFonts w:cs="Arial"/>
                      <w:szCs w:val="24"/>
                    </w:rPr>
                  </w:pPr>
                </w:p>
              </w:tc>
              <w:tc>
                <w:tcPr>
                  <w:tcW w:w="610" w:type="dxa"/>
                  <w:tcMar>
                    <w:top w:w="15" w:type="dxa"/>
                    <w:left w:w="15" w:type="dxa"/>
                    <w:right w:w="15" w:type="dxa"/>
                  </w:tcMar>
                  <w:vAlign w:val="center"/>
                </w:tcPr>
                <w:p w14:paraId="5BE8440A">
                  <w:pPr>
                    <w:jc w:val="center"/>
                    <w:rPr>
                      <w:rFonts w:cs="Arial"/>
                      <w:szCs w:val="24"/>
                    </w:rPr>
                  </w:pPr>
                </w:p>
              </w:tc>
            </w:tr>
            <w:tr w14:paraId="37FD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0D1F8C8D">
                  <w:pPr>
                    <w:jc w:val="center"/>
                    <w:rPr>
                      <w:rFonts w:cs="Arial"/>
                      <w:szCs w:val="24"/>
                    </w:rPr>
                  </w:pPr>
                  <w:r>
                    <w:rPr>
                      <w:rFonts w:cs="Arial"/>
                      <w:szCs w:val="24"/>
                    </w:rPr>
                    <w:t>1</w:t>
                  </w:r>
                </w:p>
              </w:tc>
              <w:tc>
                <w:tcPr>
                  <w:tcW w:w="2552" w:type="dxa"/>
                  <w:tcMar>
                    <w:top w:w="15" w:type="dxa"/>
                    <w:left w:w="15" w:type="dxa"/>
                    <w:right w:w="15" w:type="dxa"/>
                  </w:tcMar>
                  <w:vAlign w:val="center"/>
                </w:tcPr>
                <w:p w14:paraId="61C1775A">
                  <w:pPr>
                    <w:jc w:val="center"/>
                    <w:rPr>
                      <w:rFonts w:cs="Arial"/>
                      <w:szCs w:val="24"/>
                    </w:rPr>
                  </w:pPr>
                  <w:r>
                    <w:rPr>
                      <w:rFonts w:hint="eastAsia" w:cs="Arial"/>
                      <w:szCs w:val="24"/>
                    </w:rPr>
                    <w:t>110kV GIS部分</w:t>
                  </w:r>
                </w:p>
              </w:tc>
              <w:tc>
                <w:tcPr>
                  <w:tcW w:w="3769" w:type="dxa"/>
                  <w:tcMar>
                    <w:top w:w="15" w:type="dxa"/>
                    <w:left w:w="15" w:type="dxa"/>
                    <w:right w:w="15" w:type="dxa"/>
                  </w:tcMar>
                  <w:vAlign w:val="center"/>
                </w:tcPr>
                <w:p w14:paraId="2764E91F">
                  <w:pPr>
                    <w:jc w:val="center"/>
                    <w:rPr>
                      <w:rFonts w:cs="Arial"/>
                      <w:szCs w:val="24"/>
                    </w:rPr>
                  </w:pPr>
                </w:p>
              </w:tc>
              <w:tc>
                <w:tcPr>
                  <w:tcW w:w="595" w:type="dxa"/>
                  <w:tcMar>
                    <w:top w:w="15" w:type="dxa"/>
                    <w:left w:w="15" w:type="dxa"/>
                    <w:right w:w="15" w:type="dxa"/>
                  </w:tcMar>
                  <w:vAlign w:val="center"/>
                </w:tcPr>
                <w:p w14:paraId="10030AB2">
                  <w:pPr>
                    <w:jc w:val="center"/>
                    <w:rPr>
                      <w:rFonts w:cs="Arial"/>
                      <w:szCs w:val="24"/>
                    </w:rPr>
                  </w:pPr>
                </w:p>
              </w:tc>
              <w:tc>
                <w:tcPr>
                  <w:tcW w:w="610" w:type="dxa"/>
                  <w:tcMar>
                    <w:top w:w="15" w:type="dxa"/>
                    <w:left w:w="15" w:type="dxa"/>
                    <w:right w:w="15" w:type="dxa"/>
                  </w:tcMar>
                  <w:vAlign w:val="center"/>
                </w:tcPr>
                <w:p w14:paraId="300D397D">
                  <w:pPr>
                    <w:jc w:val="center"/>
                    <w:rPr>
                      <w:rFonts w:cs="Arial"/>
                      <w:szCs w:val="24"/>
                    </w:rPr>
                  </w:pPr>
                </w:p>
              </w:tc>
            </w:tr>
            <w:tr w14:paraId="01B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1FEAF99A">
                  <w:pPr>
                    <w:jc w:val="center"/>
                    <w:rPr>
                      <w:rFonts w:cs="Arial"/>
                      <w:szCs w:val="24"/>
                    </w:rPr>
                  </w:pPr>
                  <w:r>
                    <w:rPr>
                      <w:rFonts w:hint="eastAsia" w:cs="Arial"/>
                      <w:szCs w:val="24"/>
                    </w:rPr>
                    <w:t>（1）</w:t>
                  </w:r>
                </w:p>
              </w:tc>
              <w:tc>
                <w:tcPr>
                  <w:tcW w:w="2552" w:type="dxa"/>
                  <w:tcMar>
                    <w:top w:w="15" w:type="dxa"/>
                    <w:left w:w="15" w:type="dxa"/>
                    <w:right w:w="15" w:type="dxa"/>
                  </w:tcMar>
                  <w:vAlign w:val="center"/>
                </w:tcPr>
                <w:p w14:paraId="780B235C">
                  <w:pPr>
                    <w:jc w:val="center"/>
                    <w:rPr>
                      <w:rFonts w:cs="Arial"/>
                      <w:szCs w:val="24"/>
                    </w:rPr>
                  </w:pPr>
                  <w:r>
                    <w:rPr>
                      <w:rFonts w:hint="eastAsia" w:cs="Arial"/>
                      <w:szCs w:val="24"/>
                    </w:rPr>
                    <w:t>110kV线路-变压器组间隔</w:t>
                  </w:r>
                </w:p>
              </w:tc>
              <w:tc>
                <w:tcPr>
                  <w:tcW w:w="3769" w:type="dxa"/>
                  <w:tcMar>
                    <w:top w:w="15" w:type="dxa"/>
                    <w:left w:w="15" w:type="dxa"/>
                    <w:right w:w="15" w:type="dxa"/>
                  </w:tcMar>
                  <w:vAlign w:val="center"/>
                </w:tcPr>
                <w:p w14:paraId="1C62D592">
                  <w:pPr>
                    <w:jc w:val="center"/>
                    <w:rPr>
                      <w:rFonts w:cs="Arial"/>
                      <w:szCs w:val="24"/>
                    </w:rPr>
                  </w:pPr>
                  <w:r>
                    <w:rPr>
                      <w:rFonts w:hint="eastAsia" w:cs="Arial"/>
                      <w:szCs w:val="24"/>
                    </w:rPr>
                    <w:t>110kV GIS，126kV，2000A，40kA，电缆出线</w:t>
                  </w:r>
                </w:p>
              </w:tc>
              <w:tc>
                <w:tcPr>
                  <w:tcW w:w="595" w:type="dxa"/>
                  <w:tcMar>
                    <w:top w:w="15" w:type="dxa"/>
                    <w:left w:w="15" w:type="dxa"/>
                    <w:right w:w="15" w:type="dxa"/>
                  </w:tcMar>
                  <w:vAlign w:val="center"/>
                </w:tcPr>
                <w:p w14:paraId="06653AE8">
                  <w:pPr>
                    <w:jc w:val="center"/>
                    <w:rPr>
                      <w:rFonts w:cs="Arial"/>
                      <w:szCs w:val="24"/>
                    </w:rPr>
                  </w:pPr>
                  <w:r>
                    <w:rPr>
                      <w:rFonts w:hint="eastAsia" w:cs="Arial"/>
                      <w:szCs w:val="24"/>
                    </w:rPr>
                    <w:t>间隔</w:t>
                  </w:r>
                </w:p>
              </w:tc>
              <w:tc>
                <w:tcPr>
                  <w:tcW w:w="610" w:type="dxa"/>
                  <w:tcMar>
                    <w:top w:w="15" w:type="dxa"/>
                    <w:left w:w="15" w:type="dxa"/>
                    <w:right w:w="15" w:type="dxa"/>
                  </w:tcMar>
                  <w:vAlign w:val="center"/>
                </w:tcPr>
                <w:p w14:paraId="346CABED">
                  <w:pPr>
                    <w:jc w:val="center"/>
                    <w:rPr>
                      <w:rFonts w:cs="Arial"/>
                      <w:szCs w:val="24"/>
                    </w:rPr>
                  </w:pPr>
                  <w:r>
                    <w:rPr>
                      <w:rFonts w:hint="eastAsia" w:cs="Arial"/>
                      <w:szCs w:val="24"/>
                    </w:rPr>
                    <w:t>1</w:t>
                  </w:r>
                </w:p>
              </w:tc>
            </w:tr>
            <w:tr w14:paraId="3D82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2D0A3E7A">
                  <w:pPr>
                    <w:jc w:val="center"/>
                    <w:rPr>
                      <w:rFonts w:cs="Arial"/>
                      <w:szCs w:val="24"/>
                    </w:rPr>
                  </w:pPr>
                  <w:r>
                    <w:rPr>
                      <w:rFonts w:hint="eastAsia" w:cs="Arial"/>
                      <w:szCs w:val="24"/>
                    </w:rPr>
                    <w:t>（2）</w:t>
                  </w:r>
                </w:p>
              </w:tc>
              <w:tc>
                <w:tcPr>
                  <w:tcW w:w="2552" w:type="dxa"/>
                  <w:tcMar>
                    <w:top w:w="15" w:type="dxa"/>
                    <w:left w:w="15" w:type="dxa"/>
                    <w:right w:w="15" w:type="dxa"/>
                  </w:tcMar>
                  <w:vAlign w:val="center"/>
                </w:tcPr>
                <w:p w14:paraId="072D9A74">
                  <w:pPr>
                    <w:jc w:val="center"/>
                    <w:rPr>
                      <w:rFonts w:cs="Arial"/>
                      <w:szCs w:val="24"/>
                    </w:rPr>
                  </w:pPr>
                  <w:r>
                    <w:rPr>
                      <w:rFonts w:hint="eastAsia" w:cs="Arial"/>
                      <w:szCs w:val="24"/>
                    </w:rPr>
                    <w:t>内置式氧化锌避雷器</w:t>
                  </w:r>
                </w:p>
              </w:tc>
              <w:tc>
                <w:tcPr>
                  <w:tcW w:w="3769" w:type="dxa"/>
                  <w:tcMar>
                    <w:top w:w="15" w:type="dxa"/>
                    <w:left w:w="15" w:type="dxa"/>
                    <w:right w:w="15" w:type="dxa"/>
                  </w:tcMar>
                  <w:vAlign w:val="center"/>
                </w:tcPr>
                <w:p w14:paraId="330F9310">
                  <w:pPr>
                    <w:jc w:val="center"/>
                    <w:rPr>
                      <w:rFonts w:cs="Arial"/>
                      <w:szCs w:val="24"/>
                    </w:rPr>
                  </w:pPr>
                  <w:r>
                    <w:rPr>
                      <w:rFonts w:hint="eastAsia" w:cs="Arial"/>
                      <w:szCs w:val="24"/>
                    </w:rPr>
                    <w:t>HY10W-108/281</w:t>
                  </w:r>
                </w:p>
              </w:tc>
              <w:tc>
                <w:tcPr>
                  <w:tcW w:w="595" w:type="dxa"/>
                  <w:tcMar>
                    <w:top w:w="15" w:type="dxa"/>
                    <w:left w:w="15" w:type="dxa"/>
                    <w:right w:w="15" w:type="dxa"/>
                  </w:tcMar>
                  <w:vAlign w:val="center"/>
                </w:tcPr>
                <w:p w14:paraId="4FB2B38A">
                  <w:pPr>
                    <w:jc w:val="center"/>
                    <w:rPr>
                      <w:rFonts w:cs="Arial"/>
                      <w:szCs w:val="24"/>
                    </w:rPr>
                  </w:pPr>
                  <w:r>
                    <w:rPr>
                      <w:rFonts w:hint="eastAsia" w:cs="Arial"/>
                      <w:szCs w:val="24"/>
                    </w:rPr>
                    <w:t>台</w:t>
                  </w:r>
                </w:p>
              </w:tc>
              <w:tc>
                <w:tcPr>
                  <w:tcW w:w="610" w:type="dxa"/>
                  <w:tcMar>
                    <w:top w:w="15" w:type="dxa"/>
                    <w:left w:w="15" w:type="dxa"/>
                    <w:right w:w="15" w:type="dxa"/>
                  </w:tcMar>
                  <w:vAlign w:val="center"/>
                </w:tcPr>
                <w:p w14:paraId="5D09E458">
                  <w:pPr>
                    <w:jc w:val="center"/>
                    <w:rPr>
                      <w:rFonts w:cs="Arial"/>
                      <w:szCs w:val="24"/>
                    </w:rPr>
                  </w:pPr>
                  <w:r>
                    <w:rPr>
                      <w:rFonts w:hint="eastAsia" w:cs="Arial"/>
                      <w:szCs w:val="24"/>
                    </w:rPr>
                    <w:t>3</w:t>
                  </w:r>
                </w:p>
              </w:tc>
            </w:tr>
            <w:tr w14:paraId="2BF6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26180513">
                  <w:pPr>
                    <w:jc w:val="center"/>
                    <w:rPr>
                      <w:rFonts w:cs="Arial"/>
                      <w:szCs w:val="24"/>
                    </w:rPr>
                  </w:pPr>
                  <w:r>
                    <w:rPr>
                      <w:rFonts w:hint="eastAsia" w:cs="Arial"/>
                      <w:szCs w:val="24"/>
                    </w:rPr>
                    <w:t>（3）</w:t>
                  </w:r>
                </w:p>
              </w:tc>
              <w:tc>
                <w:tcPr>
                  <w:tcW w:w="2552" w:type="dxa"/>
                  <w:tcMar>
                    <w:top w:w="15" w:type="dxa"/>
                    <w:left w:w="15" w:type="dxa"/>
                    <w:right w:w="15" w:type="dxa"/>
                  </w:tcMar>
                  <w:vAlign w:val="center"/>
                </w:tcPr>
                <w:p w14:paraId="14B34163">
                  <w:pPr>
                    <w:jc w:val="center"/>
                    <w:rPr>
                      <w:rFonts w:cs="Arial"/>
                      <w:szCs w:val="24"/>
                    </w:rPr>
                  </w:pPr>
                  <w:r>
                    <w:rPr>
                      <w:rFonts w:hint="eastAsia" w:cs="Arial"/>
                      <w:szCs w:val="24"/>
                    </w:rPr>
                    <w:t>内置电压互感器</w:t>
                  </w:r>
                </w:p>
              </w:tc>
              <w:tc>
                <w:tcPr>
                  <w:tcW w:w="3769" w:type="dxa"/>
                  <w:tcMar>
                    <w:top w:w="15" w:type="dxa"/>
                    <w:left w:w="15" w:type="dxa"/>
                    <w:right w:w="15" w:type="dxa"/>
                  </w:tcMar>
                  <w:vAlign w:val="center"/>
                </w:tcPr>
                <w:p w14:paraId="75EBCF13">
                  <w:pPr>
                    <w:jc w:val="center"/>
                    <w:rPr>
                      <w:rFonts w:cs="Arial"/>
                      <w:szCs w:val="24"/>
                    </w:rPr>
                  </w:pPr>
                  <w:r>
                    <w:rPr>
                      <w:rFonts w:hint="eastAsia" w:cs="Arial"/>
                      <w:szCs w:val="24"/>
                    </w:rPr>
                    <w:t>TYD-110/√3-0.01H</w:t>
                  </w:r>
                </w:p>
              </w:tc>
              <w:tc>
                <w:tcPr>
                  <w:tcW w:w="595" w:type="dxa"/>
                  <w:tcMar>
                    <w:top w:w="15" w:type="dxa"/>
                    <w:left w:w="15" w:type="dxa"/>
                    <w:right w:w="15" w:type="dxa"/>
                  </w:tcMar>
                  <w:vAlign w:val="center"/>
                </w:tcPr>
                <w:p w14:paraId="551C2046">
                  <w:pPr>
                    <w:jc w:val="center"/>
                    <w:rPr>
                      <w:rFonts w:cs="Arial"/>
                      <w:szCs w:val="24"/>
                    </w:rPr>
                  </w:pPr>
                  <w:r>
                    <w:rPr>
                      <w:rFonts w:hint="eastAsia" w:cs="Arial"/>
                      <w:szCs w:val="24"/>
                    </w:rPr>
                    <w:t>只</w:t>
                  </w:r>
                </w:p>
              </w:tc>
              <w:tc>
                <w:tcPr>
                  <w:tcW w:w="610" w:type="dxa"/>
                  <w:tcMar>
                    <w:top w:w="15" w:type="dxa"/>
                    <w:left w:w="15" w:type="dxa"/>
                    <w:right w:w="15" w:type="dxa"/>
                  </w:tcMar>
                  <w:vAlign w:val="center"/>
                </w:tcPr>
                <w:p w14:paraId="13C507B1">
                  <w:pPr>
                    <w:jc w:val="center"/>
                    <w:rPr>
                      <w:rFonts w:cs="Arial"/>
                      <w:szCs w:val="24"/>
                    </w:rPr>
                  </w:pPr>
                  <w:r>
                    <w:rPr>
                      <w:rFonts w:hint="eastAsia" w:cs="Arial"/>
                      <w:szCs w:val="24"/>
                    </w:rPr>
                    <w:t>3</w:t>
                  </w:r>
                </w:p>
              </w:tc>
            </w:tr>
            <w:tr w14:paraId="48FF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47ACE918">
                  <w:pPr>
                    <w:jc w:val="center"/>
                    <w:rPr>
                      <w:rFonts w:cs="Arial"/>
                      <w:szCs w:val="24"/>
                    </w:rPr>
                  </w:pPr>
                  <w:r>
                    <w:rPr>
                      <w:rFonts w:hint="eastAsia" w:cs="Arial"/>
                      <w:szCs w:val="24"/>
                    </w:rPr>
                    <w:t>（二）</w:t>
                  </w:r>
                </w:p>
              </w:tc>
              <w:tc>
                <w:tcPr>
                  <w:tcW w:w="2552" w:type="dxa"/>
                  <w:tcMar>
                    <w:top w:w="15" w:type="dxa"/>
                    <w:left w:w="15" w:type="dxa"/>
                    <w:right w:w="15" w:type="dxa"/>
                  </w:tcMar>
                  <w:vAlign w:val="center"/>
                </w:tcPr>
                <w:p w14:paraId="3557A605">
                  <w:pPr>
                    <w:jc w:val="center"/>
                    <w:rPr>
                      <w:rFonts w:cs="Arial"/>
                      <w:szCs w:val="24"/>
                    </w:rPr>
                  </w:pPr>
                </w:p>
              </w:tc>
              <w:tc>
                <w:tcPr>
                  <w:tcW w:w="3769" w:type="dxa"/>
                  <w:tcMar>
                    <w:top w:w="15" w:type="dxa"/>
                    <w:left w:w="15" w:type="dxa"/>
                    <w:right w:w="15" w:type="dxa"/>
                  </w:tcMar>
                  <w:vAlign w:val="center"/>
                </w:tcPr>
                <w:p w14:paraId="181EBFC7">
                  <w:pPr>
                    <w:jc w:val="center"/>
                    <w:rPr>
                      <w:rFonts w:cs="Arial"/>
                      <w:szCs w:val="24"/>
                    </w:rPr>
                  </w:pPr>
                </w:p>
              </w:tc>
              <w:tc>
                <w:tcPr>
                  <w:tcW w:w="595" w:type="dxa"/>
                  <w:tcMar>
                    <w:top w:w="15" w:type="dxa"/>
                    <w:left w:w="15" w:type="dxa"/>
                    <w:right w:w="15" w:type="dxa"/>
                  </w:tcMar>
                  <w:vAlign w:val="center"/>
                </w:tcPr>
                <w:p w14:paraId="3F45C77A">
                  <w:pPr>
                    <w:jc w:val="center"/>
                    <w:rPr>
                      <w:rFonts w:cs="Arial"/>
                      <w:szCs w:val="24"/>
                    </w:rPr>
                  </w:pPr>
                </w:p>
              </w:tc>
              <w:tc>
                <w:tcPr>
                  <w:tcW w:w="610" w:type="dxa"/>
                  <w:tcMar>
                    <w:top w:w="15" w:type="dxa"/>
                    <w:left w:w="15" w:type="dxa"/>
                    <w:right w:w="15" w:type="dxa"/>
                  </w:tcMar>
                  <w:vAlign w:val="center"/>
                </w:tcPr>
                <w:p w14:paraId="681C3890">
                  <w:pPr>
                    <w:jc w:val="center"/>
                    <w:rPr>
                      <w:rFonts w:cs="Arial"/>
                      <w:szCs w:val="24"/>
                    </w:rPr>
                  </w:pPr>
                </w:p>
              </w:tc>
            </w:tr>
            <w:tr w14:paraId="1D6D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67B9EB96">
                  <w:pPr>
                    <w:jc w:val="center"/>
                    <w:rPr>
                      <w:rFonts w:cs="Arial"/>
                      <w:szCs w:val="24"/>
                    </w:rPr>
                  </w:pPr>
                  <w:r>
                    <w:rPr>
                      <w:rFonts w:hint="eastAsia" w:cs="Arial"/>
                      <w:szCs w:val="24"/>
                    </w:rPr>
                    <w:t>1</w:t>
                  </w:r>
                </w:p>
              </w:tc>
              <w:tc>
                <w:tcPr>
                  <w:tcW w:w="2552" w:type="dxa"/>
                  <w:tcMar>
                    <w:top w:w="15" w:type="dxa"/>
                    <w:left w:w="15" w:type="dxa"/>
                    <w:right w:w="15" w:type="dxa"/>
                  </w:tcMar>
                  <w:vAlign w:val="center"/>
                </w:tcPr>
                <w:p w14:paraId="0D934D7A">
                  <w:pPr>
                    <w:jc w:val="center"/>
                    <w:rPr>
                      <w:rFonts w:cs="Arial"/>
                      <w:szCs w:val="24"/>
                    </w:rPr>
                  </w:pPr>
                  <w:r>
                    <w:rPr>
                      <w:rFonts w:hint="eastAsia" w:cs="Arial"/>
                      <w:szCs w:val="24"/>
                    </w:rPr>
                    <w:t>主变压器</w:t>
                  </w:r>
                </w:p>
              </w:tc>
              <w:tc>
                <w:tcPr>
                  <w:tcW w:w="3769" w:type="dxa"/>
                  <w:tcMar>
                    <w:top w:w="15" w:type="dxa"/>
                    <w:left w:w="15" w:type="dxa"/>
                    <w:right w:w="15" w:type="dxa"/>
                  </w:tcMar>
                  <w:vAlign w:val="center"/>
                </w:tcPr>
                <w:p w14:paraId="6E92774F">
                  <w:pPr>
                    <w:jc w:val="center"/>
                    <w:rPr>
                      <w:szCs w:val="24"/>
                    </w:rPr>
                  </w:pPr>
                  <w:r>
                    <w:rPr>
                      <w:szCs w:val="24"/>
                    </w:rPr>
                    <w:t>SZ</w:t>
                  </w:r>
                  <w:r>
                    <w:rPr>
                      <w:rFonts w:hint="eastAsia"/>
                      <w:szCs w:val="24"/>
                    </w:rPr>
                    <w:t>20</w:t>
                  </w:r>
                  <w:r>
                    <w:rPr>
                      <w:szCs w:val="24"/>
                    </w:rPr>
                    <w:t>-5000</w:t>
                  </w:r>
                  <w:r>
                    <w:rPr>
                      <w:rFonts w:hint="eastAsia"/>
                      <w:szCs w:val="24"/>
                    </w:rPr>
                    <w:t>0</w:t>
                  </w:r>
                  <w:r>
                    <w:rPr>
                      <w:szCs w:val="24"/>
                    </w:rPr>
                    <w:t>/110GY，5</w:t>
                  </w:r>
                  <w:r>
                    <w:rPr>
                      <w:rFonts w:hint="eastAsia"/>
                      <w:szCs w:val="24"/>
                    </w:rPr>
                    <w:t>0</w:t>
                  </w:r>
                  <w:r>
                    <w:rPr>
                      <w:szCs w:val="24"/>
                    </w:rPr>
                    <w:t>000kVA，</w:t>
                  </w:r>
                </w:p>
                <w:p w14:paraId="5A4E33D1">
                  <w:pPr>
                    <w:jc w:val="center"/>
                    <w:rPr>
                      <w:szCs w:val="24"/>
                    </w:rPr>
                  </w:pPr>
                  <w:r>
                    <w:rPr>
                      <w:szCs w:val="24"/>
                    </w:rPr>
                    <w:t>115±8×1.25%/37kV</w:t>
                  </w:r>
                </w:p>
                <w:p w14:paraId="188B2EB3">
                  <w:pPr>
                    <w:jc w:val="center"/>
                    <w:rPr>
                      <w:szCs w:val="24"/>
                    </w:rPr>
                  </w:pPr>
                  <w:r>
                    <w:rPr>
                      <w:szCs w:val="24"/>
                    </w:rPr>
                    <w:t>Ud%=10.5 YN, d11</w:t>
                  </w:r>
                </w:p>
                <w:p w14:paraId="49893077">
                  <w:pPr>
                    <w:jc w:val="center"/>
                    <w:rPr>
                      <w:szCs w:val="24"/>
                    </w:rPr>
                  </w:pPr>
                  <w:r>
                    <w:rPr>
                      <w:szCs w:val="24"/>
                    </w:rPr>
                    <w:t>含：高压侧套管电流互感器</w:t>
                  </w:r>
                </w:p>
                <w:p w14:paraId="3A4DF2F2">
                  <w:pPr>
                    <w:jc w:val="center"/>
                    <w:rPr>
                      <w:szCs w:val="24"/>
                    </w:rPr>
                  </w:pPr>
                  <w:r>
                    <w:rPr>
                      <w:szCs w:val="24"/>
                    </w:rPr>
                    <w:t>中性点套管电流互感器</w:t>
                  </w:r>
                </w:p>
                <w:p w14:paraId="36249552">
                  <w:pPr>
                    <w:jc w:val="center"/>
                    <w:rPr>
                      <w:szCs w:val="24"/>
                    </w:rPr>
                  </w:pPr>
                  <w:r>
                    <w:rPr>
                      <w:szCs w:val="24"/>
                    </w:rPr>
                    <w:t>低压侧套管电流互感器</w:t>
                  </w:r>
                </w:p>
                <w:p w14:paraId="60E6B076">
                  <w:pPr>
                    <w:jc w:val="center"/>
                    <w:rPr>
                      <w:rFonts w:cs="宋体"/>
                      <w:szCs w:val="24"/>
                    </w:rPr>
                  </w:pPr>
                  <w:r>
                    <w:rPr>
                      <w:szCs w:val="24"/>
                    </w:rPr>
                    <w:t>满足GB20052-2024中</w:t>
                  </w:r>
                  <w:r>
                    <w:rPr>
                      <w:rFonts w:hint="eastAsia"/>
                      <w:szCs w:val="24"/>
                    </w:rPr>
                    <w:t>2</w:t>
                  </w:r>
                  <w:r>
                    <w:rPr>
                      <w:szCs w:val="24"/>
                    </w:rPr>
                    <w:t>级能效</w:t>
                  </w:r>
                </w:p>
              </w:tc>
              <w:tc>
                <w:tcPr>
                  <w:tcW w:w="595" w:type="dxa"/>
                  <w:tcMar>
                    <w:top w:w="15" w:type="dxa"/>
                    <w:left w:w="15" w:type="dxa"/>
                    <w:right w:w="15" w:type="dxa"/>
                  </w:tcMar>
                  <w:vAlign w:val="center"/>
                </w:tcPr>
                <w:p w14:paraId="2ABB1E32">
                  <w:pPr>
                    <w:jc w:val="center"/>
                    <w:rPr>
                      <w:rFonts w:cs="宋体"/>
                      <w:szCs w:val="24"/>
                    </w:rPr>
                  </w:pPr>
                  <w:r>
                    <w:rPr>
                      <w:rFonts w:hint="eastAsia" w:ascii="宋体" w:hAnsi="宋体" w:cs="宋体"/>
                      <w:szCs w:val="24"/>
                    </w:rPr>
                    <w:t>台</w:t>
                  </w:r>
                </w:p>
              </w:tc>
              <w:tc>
                <w:tcPr>
                  <w:tcW w:w="610" w:type="dxa"/>
                  <w:tcMar>
                    <w:top w:w="15" w:type="dxa"/>
                    <w:left w:w="15" w:type="dxa"/>
                    <w:right w:w="15" w:type="dxa"/>
                  </w:tcMar>
                  <w:vAlign w:val="center"/>
                </w:tcPr>
                <w:p w14:paraId="0E54A322">
                  <w:pPr>
                    <w:jc w:val="center"/>
                    <w:rPr>
                      <w:rFonts w:cs="Arial"/>
                      <w:szCs w:val="24"/>
                    </w:rPr>
                  </w:pPr>
                  <w:r>
                    <w:rPr>
                      <w:rFonts w:hint="eastAsia" w:cs="Arial"/>
                      <w:szCs w:val="24"/>
                    </w:rPr>
                    <w:t>1</w:t>
                  </w:r>
                </w:p>
              </w:tc>
            </w:tr>
            <w:tr w14:paraId="1D12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2DE2F789">
                  <w:pPr>
                    <w:jc w:val="center"/>
                    <w:rPr>
                      <w:rFonts w:cs="Arial"/>
                      <w:szCs w:val="24"/>
                    </w:rPr>
                  </w:pPr>
                  <w:r>
                    <w:rPr>
                      <w:rFonts w:cs="Arial"/>
                      <w:szCs w:val="24"/>
                    </w:rPr>
                    <w:t>2</w:t>
                  </w:r>
                </w:p>
              </w:tc>
              <w:tc>
                <w:tcPr>
                  <w:tcW w:w="2552" w:type="dxa"/>
                  <w:tcMar>
                    <w:top w:w="15" w:type="dxa"/>
                    <w:left w:w="15" w:type="dxa"/>
                    <w:right w:w="15" w:type="dxa"/>
                  </w:tcMar>
                  <w:vAlign w:val="center"/>
                </w:tcPr>
                <w:p w14:paraId="5834E2D3">
                  <w:pPr>
                    <w:jc w:val="center"/>
                    <w:rPr>
                      <w:rFonts w:cs="Arial"/>
                      <w:szCs w:val="24"/>
                    </w:rPr>
                  </w:pPr>
                  <w:r>
                    <w:rPr>
                      <w:rFonts w:hint="eastAsia" w:cs="Arial"/>
                      <w:szCs w:val="24"/>
                    </w:rPr>
                    <w:t>主变高压侧中性点成套装置</w:t>
                  </w:r>
                </w:p>
              </w:tc>
              <w:tc>
                <w:tcPr>
                  <w:tcW w:w="3769" w:type="dxa"/>
                  <w:tcMar>
                    <w:top w:w="15" w:type="dxa"/>
                    <w:left w:w="15" w:type="dxa"/>
                    <w:right w:w="15" w:type="dxa"/>
                  </w:tcMar>
                  <w:vAlign w:val="center"/>
                </w:tcPr>
                <w:p w14:paraId="0A60490C">
                  <w:pPr>
                    <w:jc w:val="center"/>
                    <w:rPr>
                      <w:rFonts w:cs="Arial"/>
                      <w:szCs w:val="24"/>
                    </w:rPr>
                  </w:pPr>
                  <w:r>
                    <w:rPr>
                      <w:rFonts w:hint="eastAsia" w:cs="Arial"/>
                      <w:szCs w:val="24"/>
                    </w:rPr>
                    <w:t>72.5kV，630A</w:t>
                  </w:r>
                </w:p>
              </w:tc>
              <w:tc>
                <w:tcPr>
                  <w:tcW w:w="595" w:type="dxa"/>
                  <w:tcMar>
                    <w:top w:w="15" w:type="dxa"/>
                    <w:left w:w="15" w:type="dxa"/>
                    <w:right w:w="15" w:type="dxa"/>
                  </w:tcMar>
                  <w:vAlign w:val="center"/>
                </w:tcPr>
                <w:p w14:paraId="462228CD">
                  <w:pPr>
                    <w:jc w:val="center"/>
                    <w:rPr>
                      <w:rFonts w:cs="Arial"/>
                      <w:szCs w:val="24"/>
                    </w:rPr>
                  </w:pPr>
                  <w:r>
                    <w:rPr>
                      <w:rFonts w:hint="eastAsia" w:cs="Arial"/>
                      <w:szCs w:val="24"/>
                    </w:rPr>
                    <w:t>套</w:t>
                  </w:r>
                </w:p>
              </w:tc>
              <w:tc>
                <w:tcPr>
                  <w:tcW w:w="610" w:type="dxa"/>
                  <w:tcMar>
                    <w:top w:w="15" w:type="dxa"/>
                    <w:left w:w="15" w:type="dxa"/>
                    <w:right w:w="15" w:type="dxa"/>
                  </w:tcMar>
                  <w:vAlign w:val="center"/>
                </w:tcPr>
                <w:p w14:paraId="492B37BF">
                  <w:pPr>
                    <w:jc w:val="center"/>
                    <w:rPr>
                      <w:rFonts w:cs="Arial"/>
                      <w:szCs w:val="24"/>
                    </w:rPr>
                  </w:pPr>
                  <w:r>
                    <w:rPr>
                      <w:rFonts w:hint="eastAsia" w:cs="Arial"/>
                      <w:szCs w:val="24"/>
                    </w:rPr>
                    <w:t>1</w:t>
                  </w:r>
                </w:p>
              </w:tc>
            </w:tr>
            <w:tr w14:paraId="372F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3148558E">
                  <w:pPr>
                    <w:jc w:val="center"/>
                    <w:rPr>
                      <w:rFonts w:cs="Arial"/>
                      <w:szCs w:val="24"/>
                    </w:rPr>
                  </w:pPr>
                  <w:r>
                    <w:rPr>
                      <w:rFonts w:cs="Arial"/>
                      <w:szCs w:val="24"/>
                    </w:rPr>
                    <w:t>3</w:t>
                  </w:r>
                </w:p>
              </w:tc>
              <w:tc>
                <w:tcPr>
                  <w:tcW w:w="2552" w:type="dxa"/>
                  <w:tcMar>
                    <w:top w:w="15" w:type="dxa"/>
                    <w:left w:w="15" w:type="dxa"/>
                    <w:right w:w="15" w:type="dxa"/>
                  </w:tcMar>
                  <w:vAlign w:val="center"/>
                </w:tcPr>
                <w:p w14:paraId="7F4E9F08">
                  <w:pPr>
                    <w:jc w:val="center"/>
                    <w:rPr>
                      <w:rFonts w:cs="Arial"/>
                      <w:szCs w:val="24"/>
                    </w:rPr>
                  </w:pPr>
                  <w:r>
                    <w:rPr>
                      <w:rFonts w:hint="eastAsia" w:cs="Arial"/>
                      <w:szCs w:val="24"/>
                    </w:rPr>
                    <w:t>绝缘管母</w:t>
                  </w:r>
                </w:p>
              </w:tc>
              <w:tc>
                <w:tcPr>
                  <w:tcW w:w="3769" w:type="dxa"/>
                  <w:tcMar>
                    <w:top w:w="15" w:type="dxa"/>
                    <w:left w:w="15" w:type="dxa"/>
                    <w:right w:w="15" w:type="dxa"/>
                  </w:tcMar>
                  <w:vAlign w:val="center"/>
                </w:tcPr>
                <w:p w14:paraId="1E9CC831">
                  <w:pPr>
                    <w:jc w:val="center"/>
                    <w:rPr>
                      <w:rFonts w:cs="Arial"/>
                      <w:szCs w:val="24"/>
                    </w:rPr>
                  </w:pPr>
                  <w:r>
                    <w:rPr>
                      <w:rFonts w:hint="eastAsia" w:cs="Arial"/>
                      <w:szCs w:val="24"/>
                    </w:rPr>
                    <w:t>1250A，40.5kV</w:t>
                  </w:r>
                </w:p>
              </w:tc>
              <w:tc>
                <w:tcPr>
                  <w:tcW w:w="595" w:type="dxa"/>
                  <w:tcMar>
                    <w:top w:w="15" w:type="dxa"/>
                    <w:left w:w="15" w:type="dxa"/>
                    <w:right w:w="15" w:type="dxa"/>
                  </w:tcMar>
                  <w:vAlign w:val="center"/>
                </w:tcPr>
                <w:p w14:paraId="217DEE88">
                  <w:pPr>
                    <w:jc w:val="center"/>
                    <w:rPr>
                      <w:rFonts w:cs="Arial"/>
                      <w:szCs w:val="24"/>
                    </w:rPr>
                  </w:pPr>
                  <w:r>
                    <w:rPr>
                      <w:rFonts w:hint="eastAsia" w:cs="Arial"/>
                      <w:szCs w:val="24"/>
                    </w:rPr>
                    <w:t>三相/米</w:t>
                  </w:r>
                </w:p>
              </w:tc>
              <w:tc>
                <w:tcPr>
                  <w:tcW w:w="610" w:type="dxa"/>
                  <w:tcMar>
                    <w:top w:w="15" w:type="dxa"/>
                    <w:left w:w="15" w:type="dxa"/>
                    <w:right w:w="15" w:type="dxa"/>
                  </w:tcMar>
                  <w:vAlign w:val="center"/>
                </w:tcPr>
                <w:p w14:paraId="3FB2CC2A">
                  <w:pPr>
                    <w:jc w:val="center"/>
                    <w:rPr>
                      <w:rFonts w:cs="Arial"/>
                      <w:szCs w:val="24"/>
                    </w:rPr>
                  </w:pPr>
                  <w:r>
                    <w:rPr>
                      <w:rFonts w:hint="eastAsia" w:cs="Arial"/>
                      <w:szCs w:val="24"/>
                    </w:rPr>
                    <w:t>90</w:t>
                  </w:r>
                </w:p>
              </w:tc>
            </w:tr>
            <w:tr w14:paraId="7B67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0204E3FF">
                  <w:pPr>
                    <w:jc w:val="center"/>
                    <w:rPr>
                      <w:rFonts w:cs="Arial"/>
                      <w:szCs w:val="24"/>
                    </w:rPr>
                  </w:pPr>
                  <w:r>
                    <w:rPr>
                      <w:rFonts w:cs="Arial"/>
                      <w:szCs w:val="24"/>
                    </w:rPr>
                    <w:t>4</w:t>
                  </w:r>
                </w:p>
              </w:tc>
              <w:tc>
                <w:tcPr>
                  <w:tcW w:w="2552" w:type="dxa"/>
                  <w:tcMar>
                    <w:top w:w="15" w:type="dxa"/>
                    <w:left w:w="15" w:type="dxa"/>
                    <w:right w:w="15" w:type="dxa"/>
                  </w:tcMar>
                  <w:vAlign w:val="center"/>
                </w:tcPr>
                <w:p w14:paraId="1833E015">
                  <w:pPr>
                    <w:jc w:val="center"/>
                    <w:rPr>
                      <w:rFonts w:cs="Arial"/>
                      <w:szCs w:val="24"/>
                    </w:rPr>
                  </w:pPr>
                  <w:r>
                    <w:rPr>
                      <w:rFonts w:hint="eastAsia" w:cs="Arial"/>
                      <w:szCs w:val="24"/>
                    </w:rPr>
                    <w:t>连接软导线</w:t>
                  </w:r>
                </w:p>
              </w:tc>
              <w:tc>
                <w:tcPr>
                  <w:tcW w:w="3769" w:type="dxa"/>
                  <w:tcMar>
                    <w:top w:w="15" w:type="dxa"/>
                    <w:left w:w="15" w:type="dxa"/>
                    <w:right w:w="15" w:type="dxa"/>
                  </w:tcMar>
                  <w:vAlign w:val="center"/>
                </w:tcPr>
                <w:p w14:paraId="6F3AA808">
                  <w:pPr>
                    <w:jc w:val="center"/>
                    <w:rPr>
                      <w:rFonts w:cs="Arial"/>
                      <w:szCs w:val="24"/>
                    </w:rPr>
                  </w:pPr>
                  <w:r>
                    <w:rPr>
                      <w:rFonts w:hint="eastAsia" w:cs="Arial"/>
                      <w:szCs w:val="24"/>
                    </w:rPr>
                    <w:t>JL/G1A-150</w:t>
                  </w:r>
                </w:p>
              </w:tc>
              <w:tc>
                <w:tcPr>
                  <w:tcW w:w="595" w:type="dxa"/>
                  <w:tcMar>
                    <w:top w:w="15" w:type="dxa"/>
                    <w:left w:w="15" w:type="dxa"/>
                    <w:right w:w="15" w:type="dxa"/>
                  </w:tcMar>
                  <w:vAlign w:val="center"/>
                </w:tcPr>
                <w:p w14:paraId="6B8FF35E">
                  <w:pPr>
                    <w:jc w:val="center"/>
                    <w:rPr>
                      <w:rFonts w:cs="Arial"/>
                      <w:szCs w:val="24"/>
                    </w:rPr>
                  </w:pPr>
                  <w:r>
                    <w:rPr>
                      <w:rFonts w:hint="eastAsia" w:cs="Arial"/>
                      <w:szCs w:val="24"/>
                    </w:rPr>
                    <w:t>米</w:t>
                  </w:r>
                </w:p>
              </w:tc>
              <w:tc>
                <w:tcPr>
                  <w:tcW w:w="610" w:type="dxa"/>
                  <w:tcMar>
                    <w:top w:w="15" w:type="dxa"/>
                    <w:left w:w="15" w:type="dxa"/>
                    <w:right w:w="15" w:type="dxa"/>
                  </w:tcMar>
                  <w:vAlign w:val="center"/>
                </w:tcPr>
                <w:p w14:paraId="62084D93">
                  <w:pPr>
                    <w:jc w:val="center"/>
                    <w:rPr>
                      <w:rFonts w:cs="Arial"/>
                      <w:szCs w:val="24"/>
                    </w:rPr>
                  </w:pPr>
                  <w:r>
                    <w:rPr>
                      <w:rFonts w:hint="eastAsia" w:cs="Arial"/>
                      <w:szCs w:val="24"/>
                    </w:rPr>
                    <w:t>150</w:t>
                  </w:r>
                </w:p>
              </w:tc>
            </w:tr>
            <w:tr w14:paraId="2F3E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403C0E9C">
                  <w:pPr>
                    <w:jc w:val="center"/>
                    <w:rPr>
                      <w:rFonts w:cs="Arial"/>
                      <w:szCs w:val="24"/>
                    </w:rPr>
                  </w:pPr>
                  <w:r>
                    <w:rPr>
                      <w:rFonts w:hint="eastAsia" w:cs="Arial"/>
                      <w:szCs w:val="24"/>
                    </w:rPr>
                    <w:t>（三）</w:t>
                  </w:r>
                </w:p>
              </w:tc>
              <w:tc>
                <w:tcPr>
                  <w:tcW w:w="2552" w:type="dxa"/>
                  <w:tcMar>
                    <w:top w:w="15" w:type="dxa"/>
                    <w:left w:w="15" w:type="dxa"/>
                    <w:right w:w="15" w:type="dxa"/>
                  </w:tcMar>
                  <w:vAlign w:val="center"/>
                </w:tcPr>
                <w:p w14:paraId="0E8D6225">
                  <w:pPr>
                    <w:jc w:val="center"/>
                    <w:rPr>
                      <w:rFonts w:cs="Arial"/>
                      <w:szCs w:val="24"/>
                    </w:rPr>
                  </w:pPr>
                  <w:r>
                    <w:rPr>
                      <w:rFonts w:hint="eastAsia" w:cs="Arial"/>
                      <w:szCs w:val="24"/>
                    </w:rPr>
                    <w:t>35kV配电装置</w:t>
                  </w:r>
                </w:p>
              </w:tc>
              <w:tc>
                <w:tcPr>
                  <w:tcW w:w="3769" w:type="dxa"/>
                  <w:tcMar>
                    <w:top w:w="15" w:type="dxa"/>
                    <w:left w:w="15" w:type="dxa"/>
                    <w:right w:w="15" w:type="dxa"/>
                  </w:tcMar>
                  <w:vAlign w:val="center"/>
                </w:tcPr>
                <w:p w14:paraId="2374B74E">
                  <w:pPr>
                    <w:jc w:val="center"/>
                    <w:rPr>
                      <w:rFonts w:cs="Arial"/>
                      <w:szCs w:val="24"/>
                    </w:rPr>
                  </w:pPr>
                </w:p>
              </w:tc>
              <w:tc>
                <w:tcPr>
                  <w:tcW w:w="595" w:type="dxa"/>
                  <w:tcMar>
                    <w:top w:w="15" w:type="dxa"/>
                    <w:left w:w="15" w:type="dxa"/>
                    <w:right w:w="15" w:type="dxa"/>
                  </w:tcMar>
                  <w:vAlign w:val="center"/>
                </w:tcPr>
                <w:p w14:paraId="4482A047">
                  <w:pPr>
                    <w:jc w:val="center"/>
                    <w:rPr>
                      <w:rFonts w:cs="Arial"/>
                      <w:szCs w:val="24"/>
                    </w:rPr>
                  </w:pPr>
                </w:p>
              </w:tc>
              <w:tc>
                <w:tcPr>
                  <w:tcW w:w="610" w:type="dxa"/>
                  <w:tcMar>
                    <w:top w:w="15" w:type="dxa"/>
                    <w:left w:w="15" w:type="dxa"/>
                    <w:right w:w="15" w:type="dxa"/>
                  </w:tcMar>
                  <w:vAlign w:val="center"/>
                </w:tcPr>
                <w:p w14:paraId="5E162CE7">
                  <w:pPr>
                    <w:jc w:val="center"/>
                    <w:rPr>
                      <w:rFonts w:cs="Arial"/>
                      <w:szCs w:val="24"/>
                    </w:rPr>
                  </w:pPr>
                </w:p>
              </w:tc>
            </w:tr>
            <w:tr w14:paraId="01FD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31D5D7F1">
                  <w:pPr>
                    <w:jc w:val="center"/>
                    <w:rPr>
                      <w:rFonts w:cs="Arial"/>
                      <w:szCs w:val="24"/>
                    </w:rPr>
                  </w:pPr>
                  <w:r>
                    <w:rPr>
                      <w:rFonts w:hint="eastAsia" w:cs="Arial"/>
                      <w:szCs w:val="24"/>
                    </w:rPr>
                    <w:t>1</w:t>
                  </w:r>
                </w:p>
              </w:tc>
              <w:tc>
                <w:tcPr>
                  <w:tcW w:w="2552" w:type="dxa"/>
                  <w:tcMar>
                    <w:top w:w="15" w:type="dxa"/>
                    <w:left w:w="15" w:type="dxa"/>
                    <w:right w:w="15" w:type="dxa"/>
                  </w:tcMar>
                  <w:vAlign w:val="center"/>
                </w:tcPr>
                <w:p w14:paraId="0D543F41">
                  <w:pPr>
                    <w:jc w:val="center"/>
                    <w:rPr>
                      <w:rFonts w:cs="Arial"/>
                      <w:szCs w:val="24"/>
                    </w:rPr>
                  </w:pPr>
                  <w:r>
                    <w:rPr>
                      <w:rFonts w:hint="eastAsia" w:cs="Arial"/>
                      <w:szCs w:val="24"/>
                    </w:rPr>
                    <w:t>主变进线柜</w:t>
                  </w:r>
                </w:p>
              </w:tc>
              <w:tc>
                <w:tcPr>
                  <w:tcW w:w="3769" w:type="dxa"/>
                  <w:tcMar>
                    <w:top w:w="15" w:type="dxa"/>
                    <w:left w:w="15" w:type="dxa"/>
                    <w:right w:w="15" w:type="dxa"/>
                  </w:tcMar>
                  <w:vAlign w:val="center"/>
                </w:tcPr>
                <w:p w14:paraId="04F9BCC9">
                  <w:pPr>
                    <w:jc w:val="center"/>
                    <w:rPr>
                      <w:rFonts w:cs="Arial"/>
                      <w:szCs w:val="24"/>
                    </w:rPr>
                  </w:pPr>
                  <w:r>
                    <w:rPr>
                      <w:rFonts w:hint="eastAsia" w:cs="Arial"/>
                      <w:szCs w:val="24"/>
                    </w:rPr>
                    <w:t>SF6充气柜，1250A</w:t>
                  </w:r>
                </w:p>
              </w:tc>
              <w:tc>
                <w:tcPr>
                  <w:tcW w:w="595" w:type="dxa"/>
                  <w:tcMar>
                    <w:top w:w="15" w:type="dxa"/>
                    <w:left w:w="15" w:type="dxa"/>
                    <w:right w:w="15" w:type="dxa"/>
                  </w:tcMar>
                  <w:vAlign w:val="center"/>
                </w:tcPr>
                <w:p w14:paraId="2A28F5EA">
                  <w:pPr>
                    <w:jc w:val="center"/>
                    <w:rPr>
                      <w:rFonts w:cs="Arial"/>
                      <w:szCs w:val="24"/>
                    </w:rPr>
                  </w:pPr>
                  <w:r>
                    <w:rPr>
                      <w:rFonts w:hint="eastAsia" w:cs="Arial"/>
                      <w:szCs w:val="24"/>
                    </w:rPr>
                    <w:t>面</w:t>
                  </w:r>
                </w:p>
              </w:tc>
              <w:tc>
                <w:tcPr>
                  <w:tcW w:w="610" w:type="dxa"/>
                  <w:tcMar>
                    <w:top w:w="15" w:type="dxa"/>
                    <w:left w:w="15" w:type="dxa"/>
                    <w:right w:w="15" w:type="dxa"/>
                  </w:tcMar>
                  <w:vAlign w:val="center"/>
                </w:tcPr>
                <w:p w14:paraId="5F5135DA">
                  <w:pPr>
                    <w:jc w:val="center"/>
                    <w:rPr>
                      <w:rFonts w:cs="Arial"/>
                      <w:szCs w:val="24"/>
                    </w:rPr>
                  </w:pPr>
                  <w:r>
                    <w:rPr>
                      <w:rFonts w:hint="eastAsia" w:cs="Arial"/>
                      <w:szCs w:val="24"/>
                    </w:rPr>
                    <w:t>1</w:t>
                  </w:r>
                </w:p>
              </w:tc>
            </w:tr>
            <w:tr w14:paraId="424A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06A15F62">
                  <w:pPr>
                    <w:jc w:val="center"/>
                    <w:rPr>
                      <w:rFonts w:cs="Arial"/>
                      <w:szCs w:val="24"/>
                    </w:rPr>
                  </w:pPr>
                  <w:r>
                    <w:rPr>
                      <w:rFonts w:hint="eastAsia" w:cs="Arial"/>
                      <w:szCs w:val="24"/>
                    </w:rPr>
                    <w:t>2</w:t>
                  </w:r>
                </w:p>
              </w:tc>
              <w:tc>
                <w:tcPr>
                  <w:tcW w:w="2552" w:type="dxa"/>
                  <w:tcMar>
                    <w:top w:w="15" w:type="dxa"/>
                    <w:left w:w="15" w:type="dxa"/>
                    <w:right w:w="15" w:type="dxa"/>
                  </w:tcMar>
                  <w:vAlign w:val="center"/>
                </w:tcPr>
                <w:p w14:paraId="5E2124A9">
                  <w:pPr>
                    <w:jc w:val="center"/>
                    <w:rPr>
                      <w:rFonts w:cs="Arial"/>
                      <w:szCs w:val="24"/>
                    </w:rPr>
                  </w:pPr>
                  <w:r>
                    <w:rPr>
                      <w:rFonts w:hint="eastAsia" w:cs="Arial"/>
                      <w:szCs w:val="24"/>
                    </w:rPr>
                    <w:t>集电线路</w:t>
                  </w:r>
                </w:p>
              </w:tc>
              <w:tc>
                <w:tcPr>
                  <w:tcW w:w="3769" w:type="dxa"/>
                  <w:tcMar>
                    <w:top w:w="15" w:type="dxa"/>
                    <w:left w:w="15" w:type="dxa"/>
                    <w:right w:w="15" w:type="dxa"/>
                  </w:tcMar>
                  <w:vAlign w:val="center"/>
                </w:tcPr>
                <w:p w14:paraId="140E3639">
                  <w:pPr>
                    <w:jc w:val="center"/>
                    <w:rPr>
                      <w:rFonts w:cs="Arial"/>
                      <w:szCs w:val="24"/>
                    </w:rPr>
                  </w:pPr>
                  <w:r>
                    <w:rPr>
                      <w:rFonts w:hint="eastAsia" w:cs="Arial"/>
                      <w:szCs w:val="24"/>
                    </w:rPr>
                    <w:t>SF6充气柜，1250A</w:t>
                  </w:r>
                </w:p>
              </w:tc>
              <w:tc>
                <w:tcPr>
                  <w:tcW w:w="595" w:type="dxa"/>
                  <w:tcMar>
                    <w:top w:w="15" w:type="dxa"/>
                    <w:left w:w="15" w:type="dxa"/>
                    <w:right w:w="15" w:type="dxa"/>
                  </w:tcMar>
                  <w:vAlign w:val="center"/>
                </w:tcPr>
                <w:p w14:paraId="12F9E9F4">
                  <w:pPr>
                    <w:jc w:val="center"/>
                    <w:rPr>
                      <w:rFonts w:cs="Arial"/>
                      <w:szCs w:val="24"/>
                    </w:rPr>
                  </w:pPr>
                  <w:r>
                    <w:rPr>
                      <w:rFonts w:hint="eastAsia" w:cs="Arial"/>
                      <w:szCs w:val="24"/>
                    </w:rPr>
                    <w:t>面</w:t>
                  </w:r>
                </w:p>
              </w:tc>
              <w:tc>
                <w:tcPr>
                  <w:tcW w:w="610" w:type="dxa"/>
                  <w:tcMar>
                    <w:top w:w="15" w:type="dxa"/>
                    <w:left w:w="15" w:type="dxa"/>
                    <w:right w:w="15" w:type="dxa"/>
                  </w:tcMar>
                  <w:vAlign w:val="center"/>
                </w:tcPr>
                <w:p w14:paraId="57B4644A">
                  <w:pPr>
                    <w:jc w:val="center"/>
                    <w:rPr>
                      <w:rFonts w:cs="Arial"/>
                      <w:szCs w:val="24"/>
                    </w:rPr>
                  </w:pPr>
                  <w:r>
                    <w:rPr>
                      <w:rFonts w:hint="eastAsia" w:cs="Arial"/>
                      <w:szCs w:val="24"/>
                    </w:rPr>
                    <w:t>2</w:t>
                  </w:r>
                </w:p>
              </w:tc>
            </w:tr>
            <w:tr w14:paraId="4F4E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 w:hRule="atLeast"/>
              </w:trPr>
              <w:tc>
                <w:tcPr>
                  <w:tcW w:w="704" w:type="dxa"/>
                  <w:tcMar>
                    <w:top w:w="15" w:type="dxa"/>
                    <w:left w:w="15" w:type="dxa"/>
                    <w:right w:w="15" w:type="dxa"/>
                  </w:tcMar>
                  <w:vAlign w:val="center"/>
                </w:tcPr>
                <w:p w14:paraId="5DDF6A90">
                  <w:pPr>
                    <w:jc w:val="center"/>
                    <w:rPr>
                      <w:rFonts w:cs="Arial"/>
                      <w:szCs w:val="24"/>
                    </w:rPr>
                  </w:pPr>
                  <w:r>
                    <w:rPr>
                      <w:rFonts w:hint="eastAsia" w:cs="Arial"/>
                      <w:szCs w:val="24"/>
                    </w:rPr>
                    <w:t>3</w:t>
                  </w:r>
                </w:p>
              </w:tc>
              <w:tc>
                <w:tcPr>
                  <w:tcW w:w="2552" w:type="dxa"/>
                  <w:tcMar>
                    <w:top w:w="15" w:type="dxa"/>
                    <w:left w:w="15" w:type="dxa"/>
                    <w:right w:w="15" w:type="dxa"/>
                  </w:tcMar>
                  <w:vAlign w:val="center"/>
                </w:tcPr>
                <w:p w14:paraId="6114D815">
                  <w:pPr>
                    <w:jc w:val="center"/>
                    <w:rPr>
                      <w:rFonts w:cs="Arial"/>
                      <w:szCs w:val="24"/>
                    </w:rPr>
                  </w:pPr>
                  <w:r>
                    <w:rPr>
                      <w:rFonts w:hint="eastAsia" w:cs="Arial"/>
                      <w:szCs w:val="24"/>
                    </w:rPr>
                    <w:t>动态无功补偿柜</w:t>
                  </w:r>
                </w:p>
              </w:tc>
              <w:tc>
                <w:tcPr>
                  <w:tcW w:w="3769" w:type="dxa"/>
                  <w:tcMar>
                    <w:top w:w="15" w:type="dxa"/>
                    <w:left w:w="15" w:type="dxa"/>
                    <w:right w:w="15" w:type="dxa"/>
                  </w:tcMar>
                  <w:vAlign w:val="center"/>
                </w:tcPr>
                <w:p w14:paraId="05D2E0A2">
                  <w:pPr>
                    <w:jc w:val="center"/>
                    <w:rPr>
                      <w:rFonts w:cs="Arial"/>
                      <w:szCs w:val="24"/>
                    </w:rPr>
                  </w:pPr>
                  <w:r>
                    <w:rPr>
                      <w:rFonts w:hint="eastAsia" w:cs="Arial"/>
                      <w:szCs w:val="24"/>
                    </w:rPr>
                    <w:t>SF6充气柜，1250A</w:t>
                  </w:r>
                </w:p>
              </w:tc>
              <w:tc>
                <w:tcPr>
                  <w:tcW w:w="595" w:type="dxa"/>
                  <w:tcMar>
                    <w:top w:w="15" w:type="dxa"/>
                    <w:left w:w="15" w:type="dxa"/>
                    <w:right w:w="15" w:type="dxa"/>
                  </w:tcMar>
                  <w:vAlign w:val="center"/>
                </w:tcPr>
                <w:p w14:paraId="08028B52">
                  <w:pPr>
                    <w:jc w:val="center"/>
                    <w:rPr>
                      <w:rFonts w:cs="Arial"/>
                      <w:szCs w:val="24"/>
                    </w:rPr>
                  </w:pPr>
                  <w:r>
                    <w:rPr>
                      <w:rFonts w:hint="eastAsia" w:cs="Arial"/>
                      <w:szCs w:val="24"/>
                    </w:rPr>
                    <w:t>面</w:t>
                  </w:r>
                </w:p>
              </w:tc>
              <w:tc>
                <w:tcPr>
                  <w:tcW w:w="610" w:type="dxa"/>
                  <w:tcMar>
                    <w:top w:w="15" w:type="dxa"/>
                    <w:left w:w="15" w:type="dxa"/>
                    <w:right w:w="15" w:type="dxa"/>
                  </w:tcMar>
                  <w:vAlign w:val="center"/>
                </w:tcPr>
                <w:p w14:paraId="13917542">
                  <w:pPr>
                    <w:jc w:val="center"/>
                    <w:rPr>
                      <w:rFonts w:cs="Arial"/>
                      <w:szCs w:val="24"/>
                    </w:rPr>
                  </w:pPr>
                  <w:r>
                    <w:rPr>
                      <w:rFonts w:hint="eastAsia" w:cs="Arial"/>
                      <w:szCs w:val="24"/>
                    </w:rPr>
                    <w:t>1</w:t>
                  </w:r>
                </w:p>
              </w:tc>
            </w:tr>
            <w:tr w14:paraId="2539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7A62251D">
                  <w:pPr>
                    <w:jc w:val="center"/>
                    <w:rPr>
                      <w:rFonts w:cs="Arial"/>
                      <w:szCs w:val="24"/>
                    </w:rPr>
                  </w:pPr>
                  <w:r>
                    <w:rPr>
                      <w:rFonts w:hint="eastAsia" w:cs="Arial"/>
                      <w:szCs w:val="24"/>
                    </w:rPr>
                    <w:t>4</w:t>
                  </w:r>
                </w:p>
              </w:tc>
              <w:tc>
                <w:tcPr>
                  <w:tcW w:w="2552" w:type="dxa"/>
                  <w:tcMar>
                    <w:top w:w="15" w:type="dxa"/>
                    <w:left w:w="15" w:type="dxa"/>
                    <w:right w:w="15" w:type="dxa"/>
                  </w:tcMar>
                  <w:vAlign w:val="center"/>
                </w:tcPr>
                <w:p w14:paraId="78C2E097">
                  <w:pPr>
                    <w:jc w:val="center"/>
                    <w:rPr>
                      <w:rFonts w:cs="Arial"/>
                      <w:szCs w:val="24"/>
                    </w:rPr>
                  </w:pPr>
                  <w:r>
                    <w:rPr>
                      <w:rFonts w:hint="eastAsia" w:cs="Arial"/>
                      <w:szCs w:val="24"/>
                    </w:rPr>
                    <w:t>母线电压互感器柜</w:t>
                  </w:r>
                </w:p>
              </w:tc>
              <w:tc>
                <w:tcPr>
                  <w:tcW w:w="3769" w:type="dxa"/>
                  <w:tcMar>
                    <w:top w:w="15" w:type="dxa"/>
                    <w:left w:w="15" w:type="dxa"/>
                    <w:right w:w="15" w:type="dxa"/>
                  </w:tcMar>
                  <w:vAlign w:val="center"/>
                </w:tcPr>
                <w:p w14:paraId="0125838B">
                  <w:pPr>
                    <w:jc w:val="center"/>
                    <w:rPr>
                      <w:rFonts w:cs="Arial"/>
                      <w:szCs w:val="24"/>
                    </w:rPr>
                  </w:pPr>
                  <w:r>
                    <w:rPr>
                      <w:rFonts w:hint="eastAsia" w:cs="Arial"/>
                      <w:szCs w:val="24"/>
                    </w:rPr>
                    <w:t>SF6充气柜，1250A</w:t>
                  </w:r>
                </w:p>
              </w:tc>
              <w:tc>
                <w:tcPr>
                  <w:tcW w:w="595" w:type="dxa"/>
                  <w:tcMar>
                    <w:top w:w="15" w:type="dxa"/>
                    <w:left w:w="15" w:type="dxa"/>
                    <w:right w:w="15" w:type="dxa"/>
                  </w:tcMar>
                  <w:vAlign w:val="center"/>
                </w:tcPr>
                <w:p w14:paraId="1B127E9B">
                  <w:pPr>
                    <w:jc w:val="center"/>
                    <w:rPr>
                      <w:rFonts w:cs="Arial"/>
                      <w:szCs w:val="24"/>
                    </w:rPr>
                  </w:pPr>
                  <w:r>
                    <w:rPr>
                      <w:rFonts w:hint="eastAsia" w:cs="Arial"/>
                      <w:szCs w:val="24"/>
                    </w:rPr>
                    <w:t>面</w:t>
                  </w:r>
                </w:p>
              </w:tc>
              <w:tc>
                <w:tcPr>
                  <w:tcW w:w="610" w:type="dxa"/>
                  <w:tcMar>
                    <w:top w:w="15" w:type="dxa"/>
                    <w:left w:w="15" w:type="dxa"/>
                    <w:right w:w="15" w:type="dxa"/>
                  </w:tcMar>
                  <w:vAlign w:val="center"/>
                </w:tcPr>
                <w:p w14:paraId="3AEAC151">
                  <w:pPr>
                    <w:jc w:val="center"/>
                    <w:rPr>
                      <w:rFonts w:cs="Arial"/>
                      <w:szCs w:val="24"/>
                    </w:rPr>
                  </w:pPr>
                  <w:r>
                    <w:rPr>
                      <w:rFonts w:hint="eastAsia" w:cs="Arial"/>
                      <w:szCs w:val="24"/>
                    </w:rPr>
                    <w:t>1</w:t>
                  </w:r>
                </w:p>
              </w:tc>
            </w:tr>
            <w:tr w14:paraId="0952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68810DA0">
                  <w:pPr>
                    <w:jc w:val="center"/>
                    <w:rPr>
                      <w:rFonts w:cs="Arial"/>
                      <w:szCs w:val="24"/>
                    </w:rPr>
                  </w:pPr>
                  <w:r>
                    <w:rPr>
                      <w:rFonts w:hint="eastAsia" w:cs="Arial"/>
                      <w:szCs w:val="24"/>
                    </w:rPr>
                    <w:t>5</w:t>
                  </w:r>
                </w:p>
              </w:tc>
              <w:tc>
                <w:tcPr>
                  <w:tcW w:w="2552" w:type="dxa"/>
                  <w:tcMar>
                    <w:top w:w="15" w:type="dxa"/>
                    <w:left w:w="15" w:type="dxa"/>
                    <w:right w:w="15" w:type="dxa"/>
                  </w:tcMar>
                  <w:vAlign w:val="center"/>
                </w:tcPr>
                <w:p w14:paraId="2D658EA6">
                  <w:pPr>
                    <w:jc w:val="center"/>
                    <w:rPr>
                      <w:rFonts w:cs="Arial"/>
                      <w:szCs w:val="24"/>
                    </w:rPr>
                  </w:pPr>
                  <w:r>
                    <w:rPr>
                      <w:rFonts w:hint="eastAsia" w:cs="Arial"/>
                      <w:szCs w:val="24"/>
                    </w:rPr>
                    <w:t>站用变柜</w:t>
                  </w:r>
                </w:p>
              </w:tc>
              <w:tc>
                <w:tcPr>
                  <w:tcW w:w="3769" w:type="dxa"/>
                  <w:tcMar>
                    <w:top w:w="15" w:type="dxa"/>
                    <w:left w:w="15" w:type="dxa"/>
                    <w:right w:w="15" w:type="dxa"/>
                  </w:tcMar>
                  <w:vAlign w:val="center"/>
                </w:tcPr>
                <w:p w14:paraId="536FC18A">
                  <w:pPr>
                    <w:jc w:val="center"/>
                    <w:rPr>
                      <w:rFonts w:cs="Arial"/>
                      <w:szCs w:val="24"/>
                    </w:rPr>
                  </w:pPr>
                  <w:r>
                    <w:rPr>
                      <w:rFonts w:hint="eastAsia" w:cs="Arial"/>
                      <w:szCs w:val="24"/>
                    </w:rPr>
                    <w:t>SF6充气柜，1250A</w:t>
                  </w:r>
                </w:p>
              </w:tc>
              <w:tc>
                <w:tcPr>
                  <w:tcW w:w="595" w:type="dxa"/>
                  <w:tcMar>
                    <w:top w:w="15" w:type="dxa"/>
                    <w:left w:w="15" w:type="dxa"/>
                    <w:right w:w="15" w:type="dxa"/>
                  </w:tcMar>
                  <w:vAlign w:val="center"/>
                </w:tcPr>
                <w:p w14:paraId="4A265979">
                  <w:pPr>
                    <w:jc w:val="center"/>
                    <w:rPr>
                      <w:rFonts w:cs="Arial"/>
                      <w:szCs w:val="24"/>
                    </w:rPr>
                  </w:pPr>
                  <w:r>
                    <w:rPr>
                      <w:rFonts w:hint="eastAsia" w:cs="Arial"/>
                      <w:szCs w:val="24"/>
                    </w:rPr>
                    <w:t>面</w:t>
                  </w:r>
                </w:p>
              </w:tc>
              <w:tc>
                <w:tcPr>
                  <w:tcW w:w="610" w:type="dxa"/>
                  <w:tcMar>
                    <w:top w:w="15" w:type="dxa"/>
                    <w:left w:w="15" w:type="dxa"/>
                    <w:right w:w="15" w:type="dxa"/>
                  </w:tcMar>
                  <w:vAlign w:val="center"/>
                </w:tcPr>
                <w:p w14:paraId="5C6CEE6D">
                  <w:pPr>
                    <w:jc w:val="center"/>
                    <w:rPr>
                      <w:rFonts w:cs="Arial"/>
                      <w:szCs w:val="24"/>
                    </w:rPr>
                  </w:pPr>
                  <w:r>
                    <w:rPr>
                      <w:rFonts w:hint="eastAsia" w:cs="Arial"/>
                      <w:szCs w:val="24"/>
                    </w:rPr>
                    <w:t>1</w:t>
                  </w:r>
                </w:p>
              </w:tc>
            </w:tr>
            <w:tr w14:paraId="3116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1BAB6003">
                  <w:pPr>
                    <w:jc w:val="center"/>
                    <w:rPr>
                      <w:rFonts w:cs="Arial"/>
                      <w:szCs w:val="24"/>
                    </w:rPr>
                  </w:pPr>
                  <w:r>
                    <w:rPr>
                      <w:rFonts w:hint="eastAsia" w:cs="Arial"/>
                      <w:szCs w:val="24"/>
                    </w:rPr>
                    <w:t>6</w:t>
                  </w:r>
                </w:p>
              </w:tc>
              <w:tc>
                <w:tcPr>
                  <w:tcW w:w="2552" w:type="dxa"/>
                  <w:tcMar>
                    <w:top w:w="15" w:type="dxa"/>
                    <w:left w:w="15" w:type="dxa"/>
                    <w:right w:w="15" w:type="dxa"/>
                  </w:tcMar>
                  <w:vAlign w:val="center"/>
                </w:tcPr>
                <w:p w14:paraId="0EC51D9C">
                  <w:pPr>
                    <w:jc w:val="center"/>
                    <w:rPr>
                      <w:rFonts w:cs="Arial"/>
                      <w:szCs w:val="24"/>
                    </w:rPr>
                  </w:pPr>
                  <w:r>
                    <w:rPr>
                      <w:rFonts w:hint="eastAsia" w:cs="Arial"/>
                      <w:szCs w:val="24"/>
                    </w:rPr>
                    <w:t>接地变柜</w:t>
                  </w:r>
                </w:p>
              </w:tc>
              <w:tc>
                <w:tcPr>
                  <w:tcW w:w="3769" w:type="dxa"/>
                  <w:tcMar>
                    <w:top w:w="15" w:type="dxa"/>
                    <w:left w:w="15" w:type="dxa"/>
                    <w:right w:w="15" w:type="dxa"/>
                  </w:tcMar>
                  <w:vAlign w:val="center"/>
                </w:tcPr>
                <w:p w14:paraId="145E1931">
                  <w:pPr>
                    <w:jc w:val="center"/>
                    <w:rPr>
                      <w:rFonts w:cs="Arial"/>
                      <w:szCs w:val="24"/>
                    </w:rPr>
                  </w:pPr>
                  <w:r>
                    <w:rPr>
                      <w:rFonts w:hint="eastAsia" w:cs="Arial"/>
                      <w:szCs w:val="24"/>
                    </w:rPr>
                    <w:t>SF6充气柜，1250A</w:t>
                  </w:r>
                </w:p>
              </w:tc>
              <w:tc>
                <w:tcPr>
                  <w:tcW w:w="595" w:type="dxa"/>
                  <w:tcMar>
                    <w:top w:w="15" w:type="dxa"/>
                    <w:left w:w="15" w:type="dxa"/>
                    <w:right w:w="15" w:type="dxa"/>
                  </w:tcMar>
                  <w:vAlign w:val="center"/>
                </w:tcPr>
                <w:p w14:paraId="4A7C8890">
                  <w:pPr>
                    <w:jc w:val="center"/>
                    <w:rPr>
                      <w:rFonts w:cs="Arial"/>
                      <w:szCs w:val="24"/>
                    </w:rPr>
                  </w:pPr>
                  <w:r>
                    <w:rPr>
                      <w:rFonts w:hint="eastAsia" w:cs="Arial"/>
                      <w:szCs w:val="24"/>
                    </w:rPr>
                    <w:t>面</w:t>
                  </w:r>
                </w:p>
              </w:tc>
              <w:tc>
                <w:tcPr>
                  <w:tcW w:w="610" w:type="dxa"/>
                  <w:tcMar>
                    <w:top w:w="15" w:type="dxa"/>
                    <w:left w:w="15" w:type="dxa"/>
                    <w:right w:w="15" w:type="dxa"/>
                  </w:tcMar>
                  <w:vAlign w:val="center"/>
                </w:tcPr>
                <w:p w14:paraId="590EF192">
                  <w:pPr>
                    <w:jc w:val="center"/>
                    <w:rPr>
                      <w:rFonts w:cs="Arial"/>
                      <w:szCs w:val="24"/>
                    </w:rPr>
                  </w:pPr>
                  <w:r>
                    <w:rPr>
                      <w:rFonts w:hint="eastAsia" w:cs="Arial"/>
                      <w:szCs w:val="24"/>
                    </w:rPr>
                    <w:t>1</w:t>
                  </w:r>
                </w:p>
              </w:tc>
            </w:tr>
            <w:tr w14:paraId="6A26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07C74DF9">
                  <w:pPr>
                    <w:jc w:val="center"/>
                    <w:rPr>
                      <w:rFonts w:cs="Arial"/>
                      <w:szCs w:val="24"/>
                    </w:rPr>
                  </w:pPr>
                  <w:r>
                    <w:rPr>
                      <w:rFonts w:hint="eastAsia" w:cs="Arial"/>
                      <w:szCs w:val="24"/>
                    </w:rPr>
                    <w:t>（四）</w:t>
                  </w:r>
                </w:p>
              </w:tc>
              <w:tc>
                <w:tcPr>
                  <w:tcW w:w="2552" w:type="dxa"/>
                  <w:tcMar>
                    <w:top w:w="15" w:type="dxa"/>
                    <w:left w:w="15" w:type="dxa"/>
                    <w:right w:w="15" w:type="dxa"/>
                  </w:tcMar>
                  <w:vAlign w:val="center"/>
                </w:tcPr>
                <w:p w14:paraId="440C53CE">
                  <w:pPr>
                    <w:jc w:val="center"/>
                    <w:rPr>
                      <w:rFonts w:cs="Arial"/>
                      <w:szCs w:val="24"/>
                    </w:rPr>
                  </w:pPr>
                  <w:r>
                    <w:rPr>
                      <w:rFonts w:hint="eastAsia" w:cs="Arial"/>
                      <w:szCs w:val="24"/>
                    </w:rPr>
                    <w:t>动态无功补偿装置</w:t>
                  </w:r>
                </w:p>
              </w:tc>
              <w:tc>
                <w:tcPr>
                  <w:tcW w:w="3769" w:type="dxa"/>
                  <w:tcMar>
                    <w:top w:w="15" w:type="dxa"/>
                    <w:left w:w="15" w:type="dxa"/>
                    <w:right w:w="15" w:type="dxa"/>
                  </w:tcMar>
                  <w:vAlign w:val="center"/>
                </w:tcPr>
                <w:p w14:paraId="5964BA2A">
                  <w:pPr>
                    <w:jc w:val="center"/>
                    <w:rPr>
                      <w:rFonts w:cs="Arial"/>
                      <w:szCs w:val="24"/>
                    </w:rPr>
                  </w:pPr>
                </w:p>
              </w:tc>
              <w:tc>
                <w:tcPr>
                  <w:tcW w:w="595" w:type="dxa"/>
                  <w:tcMar>
                    <w:top w:w="15" w:type="dxa"/>
                    <w:left w:w="15" w:type="dxa"/>
                    <w:right w:w="15" w:type="dxa"/>
                  </w:tcMar>
                  <w:vAlign w:val="center"/>
                </w:tcPr>
                <w:p w14:paraId="199922EF">
                  <w:pPr>
                    <w:jc w:val="center"/>
                    <w:rPr>
                      <w:rFonts w:cs="Arial"/>
                      <w:szCs w:val="24"/>
                    </w:rPr>
                  </w:pPr>
                </w:p>
              </w:tc>
              <w:tc>
                <w:tcPr>
                  <w:tcW w:w="610" w:type="dxa"/>
                  <w:tcMar>
                    <w:top w:w="15" w:type="dxa"/>
                    <w:left w:w="15" w:type="dxa"/>
                    <w:right w:w="15" w:type="dxa"/>
                  </w:tcMar>
                  <w:vAlign w:val="center"/>
                </w:tcPr>
                <w:p w14:paraId="0B8C0EFB">
                  <w:pPr>
                    <w:jc w:val="center"/>
                    <w:rPr>
                      <w:rFonts w:cs="Arial"/>
                      <w:szCs w:val="24"/>
                    </w:rPr>
                  </w:pPr>
                </w:p>
              </w:tc>
            </w:tr>
            <w:tr w14:paraId="216B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6400002E">
                  <w:pPr>
                    <w:jc w:val="center"/>
                    <w:rPr>
                      <w:rFonts w:cs="Arial"/>
                      <w:szCs w:val="24"/>
                    </w:rPr>
                  </w:pPr>
                  <w:r>
                    <w:rPr>
                      <w:rFonts w:hint="eastAsia" w:cs="Arial"/>
                      <w:szCs w:val="24"/>
                    </w:rPr>
                    <w:t>1</w:t>
                  </w:r>
                </w:p>
              </w:tc>
              <w:tc>
                <w:tcPr>
                  <w:tcW w:w="2552" w:type="dxa"/>
                  <w:tcMar>
                    <w:top w:w="15" w:type="dxa"/>
                    <w:left w:w="15" w:type="dxa"/>
                    <w:right w:w="15" w:type="dxa"/>
                  </w:tcMar>
                  <w:vAlign w:val="center"/>
                </w:tcPr>
                <w:p w14:paraId="79CD3BA9">
                  <w:pPr>
                    <w:jc w:val="center"/>
                    <w:rPr>
                      <w:rFonts w:cs="Arial"/>
                      <w:szCs w:val="24"/>
                    </w:rPr>
                  </w:pPr>
                  <w:r>
                    <w:rPr>
                      <w:rFonts w:hint="eastAsia" w:cs="Arial"/>
                      <w:szCs w:val="24"/>
                    </w:rPr>
                    <w:t>动态无功补偿装置</w:t>
                  </w:r>
                </w:p>
              </w:tc>
              <w:tc>
                <w:tcPr>
                  <w:tcW w:w="3769" w:type="dxa"/>
                  <w:tcMar>
                    <w:top w:w="15" w:type="dxa"/>
                    <w:left w:w="15" w:type="dxa"/>
                    <w:right w:w="15" w:type="dxa"/>
                  </w:tcMar>
                  <w:vAlign w:val="center"/>
                </w:tcPr>
                <w:p w14:paraId="0520F306">
                  <w:pPr>
                    <w:jc w:val="center"/>
                    <w:rPr>
                      <w:rFonts w:cs="Arial"/>
                      <w:szCs w:val="24"/>
                    </w:rPr>
                  </w:pPr>
                  <w:r>
                    <w:rPr>
                      <w:rFonts w:hint="eastAsia" w:cs="Arial"/>
                      <w:szCs w:val="24"/>
                    </w:rPr>
                    <w:t>±15Mvar</w:t>
                  </w:r>
                </w:p>
              </w:tc>
              <w:tc>
                <w:tcPr>
                  <w:tcW w:w="595" w:type="dxa"/>
                  <w:tcMar>
                    <w:top w:w="15" w:type="dxa"/>
                    <w:left w:w="15" w:type="dxa"/>
                    <w:right w:w="15" w:type="dxa"/>
                  </w:tcMar>
                  <w:vAlign w:val="center"/>
                </w:tcPr>
                <w:p w14:paraId="501F447D">
                  <w:pPr>
                    <w:jc w:val="center"/>
                    <w:rPr>
                      <w:rFonts w:cs="Arial"/>
                      <w:szCs w:val="24"/>
                    </w:rPr>
                  </w:pPr>
                  <w:r>
                    <w:rPr>
                      <w:rFonts w:hint="eastAsia" w:cs="Arial"/>
                      <w:szCs w:val="24"/>
                    </w:rPr>
                    <w:t>套</w:t>
                  </w:r>
                </w:p>
              </w:tc>
              <w:tc>
                <w:tcPr>
                  <w:tcW w:w="610" w:type="dxa"/>
                  <w:tcMar>
                    <w:top w:w="15" w:type="dxa"/>
                    <w:left w:w="15" w:type="dxa"/>
                    <w:right w:w="15" w:type="dxa"/>
                  </w:tcMar>
                  <w:vAlign w:val="center"/>
                </w:tcPr>
                <w:p w14:paraId="2239BF02">
                  <w:pPr>
                    <w:jc w:val="center"/>
                    <w:rPr>
                      <w:rFonts w:cs="Arial"/>
                      <w:szCs w:val="24"/>
                    </w:rPr>
                  </w:pPr>
                  <w:r>
                    <w:rPr>
                      <w:rFonts w:hint="eastAsia" w:cs="Arial"/>
                      <w:szCs w:val="24"/>
                    </w:rPr>
                    <w:t>1</w:t>
                  </w:r>
                </w:p>
              </w:tc>
            </w:tr>
            <w:tr w14:paraId="3591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6" w:hRule="atLeast"/>
              </w:trPr>
              <w:tc>
                <w:tcPr>
                  <w:tcW w:w="704" w:type="dxa"/>
                  <w:tcMar>
                    <w:top w:w="15" w:type="dxa"/>
                    <w:left w:w="15" w:type="dxa"/>
                    <w:right w:w="15" w:type="dxa"/>
                  </w:tcMar>
                  <w:vAlign w:val="center"/>
                </w:tcPr>
                <w:p w14:paraId="14866EF3">
                  <w:pPr>
                    <w:jc w:val="center"/>
                    <w:rPr>
                      <w:rFonts w:cs="Arial"/>
                      <w:szCs w:val="24"/>
                    </w:rPr>
                  </w:pPr>
                  <w:r>
                    <w:rPr>
                      <w:rFonts w:hint="eastAsia" w:cs="Arial"/>
                      <w:szCs w:val="24"/>
                    </w:rPr>
                    <w:t>2</w:t>
                  </w:r>
                </w:p>
              </w:tc>
              <w:tc>
                <w:tcPr>
                  <w:tcW w:w="2552" w:type="dxa"/>
                  <w:tcMar>
                    <w:top w:w="15" w:type="dxa"/>
                    <w:left w:w="15" w:type="dxa"/>
                    <w:right w:w="15" w:type="dxa"/>
                  </w:tcMar>
                  <w:vAlign w:val="center"/>
                </w:tcPr>
                <w:p w14:paraId="79501490">
                  <w:pPr>
                    <w:jc w:val="center"/>
                    <w:rPr>
                      <w:rFonts w:cs="Arial"/>
                      <w:szCs w:val="24"/>
                    </w:rPr>
                  </w:pPr>
                  <w:r>
                    <w:rPr>
                      <w:rFonts w:hint="eastAsia" w:cs="Arial"/>
                      <w:szCs w:val="24"/>
                    </w:rPr>
                    <w:t>35kV电力电缆</w:t>
                  </w:r>
                </w:p>
              </w:tc>
              <w:tc>
                <w:tcPr>
                  <w:tcW w:w="3769" w:type="dxa"/>
                  <w:tcMar>
                    <w:top w:w="15" w:type="dxa"/>
                    <w:left w:w="15" w:type="dxa"/>
                    <w:right w:w="15" w:type="dxa"/>
                  </w:tcMar>
                  <w:vAlign w:val="center"/>
                </w:tcPr>
                <w:p w14:paraId="2F138B10">
                  <w:pPr>
                    <w:jc w:val="center"/>
                    <w:rPr>
                      <w:rFonts w:cs="Arial"/>
                      <w:szCs w:val="24"/>
                    </w:rPr>
                  </w:pPr>
                  <w:r>
                    <w:rPr>
                      <w:rFonts w:hint="eastAsia" w:cs="Arial"/>
                      <w:szCs w:val="24"/>
                    </w:rPr>
                    <w:t>ZC-YJV</w:t>
                  </w:r>
                  <w:r>
                    <w:rPr>
                      <w:rFonts w:hint="eastAsia" w:cs="Arial"/>
                      <w:szCs w:val="24"/>
                      <w:vertAlign w:val="subscript"/>
                    </w:rPr>
                    <w:t>22</w:t>
                  </w:r>
                  <w:r>
                    <w:rPr>
                      <w:rFonts w:hint="eastAsia" w:cs="Arial"/>
                      <w:szCs w:val="24"/>
                    </w:rPr>
                    <w:t>-26/35-3×185</w:t>
                  </w:r>
                </w:p>
              </w:tc>
              <w:tc>
                <w:tcPr>
                  <w:tcW w:w="595" w:type="dxa"/>
                  <w:tcMar>
                    <w:top w:w="15" w:type="dxa"/>
                    <w:left w:w="15" w:type="dxa"/>
                    <w:right w:w="15" w:type="dxa"/>
                  </w:tcMar>
                  <w:vAlign w:val="center"/>
                </w:tcPr>
                <w:p w14:paraId="1E170387">
                  <w:pPr>
                    <w:jc w:val="center"/>
                    <w:rPr>
                      <w:rFonts w:cs="Arial"/>
                      <w:szCs w:val="24"/>
                    </w:rPr>
                  </w:pPr>
                  <w:r>
                    <w:rPr>
                      <w:rFonts w:hint="eastAsia" w:cs="Arial"/>
                      <w:szCs w:val="24"/>
                    </w:rPr>
                    <w:t>m</w:t>
                  </w:r>
                </w:p>
              </w:tc>
              <w:tc>
                <w:tcPr>
                  <w:tcW w:w="610" w:type="dxa"/>
                  <w:tcMar>
                    <w:top w:w="15" w:type="dxa"/>
                    <w:left w:w="15" w:type="dxa"/>
                    <w:right w:w="15" w:type="dxa"/>
                  </w:tcMar>
                  <w:vAlign w:val="center"/>
                </w:tcPr>
                <w:p w14:paraId="46ACB026">
                  <w:pPr>
                    <w:jc w:val="center"/>
                    <w:rPr>
                      <w:rFonts w:cs="Arial"/>
                      <w:szCs w:val="24"/>
                    </w:rPr>
                  </w:pPr>
                  <w:r>
                    <w:rPr>
                      <w:rFonts w:hint="eastAsia" w:cs="Arial"/>
                      <w:szCs w:val="24"/>
                    </w:rPr>
                    <w:t>150</w:t>
                  </w:r>
                </w:p>
              </w:tc>
            </w:tr>
            <w:tr w14:paraId="760E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413382B7">
                  <w:pPr>
                    <w:jc w:val="center"/>
                    <w:rPr>
                      <w:rFonts w:cs="Arial"/>
                      <w:szCs w:val="24"/>
                    </w:rPr>
                  </w:pPr>
                  <w:r>
                    <w:rPr>
                      <w:rFonts w:hint="eastAsia" w:cs="Arial"/>
                      <w:szCs w:val="24"/>
                    </w:rPr>
                    <w:t>3</w:t>
                  </w:r>
                </w:p>
              </w:tc>
              <w:tc>
                <w:tcPr>
                  <w:tcW w:w="2552" w:type="dxa"/>
                  <w:tcMar>
                    <w:top w:w="15" w:type="dxa"/>
                    <w:left w:w="15" w:type="dxa"/>
                    <w:right w:w="15" w:type="dxa"/>
                  </w:tcMar>
                  <w:vAlign w:val="center"/>
                </w:tcPr>
                <w:p w14:paraId="090FB255">
                  <w:pPr>
                    <w:jc w:val="center"/>
                    <w:rPr>
                      <w:rFonts w:cs="Arial"/>
                      <w:szCs w:val="24"/>
                    </w:rPr>
                  </w:pPr>
                  <w:r>
                    <w:rPr>
                      <w:rFonts w:hint="eastAsia" w:cs="Arial"/>
                      <w:szCs w:val="24"/>
                    </w:rPr>
                    <w:t>35kV户内电缆终端头</w:t>
                  </w:r>
                </w:p>
              </w:tc>
              <w:tc>
                <w:tcPr>
                  <w:tcW w:w="3769" w:type="dxa"/>
                  <w:tcMar>
                    <w:top w:w="15" w:type="dxa"/>
                    <w:left w:w="15" w:type="dxa"/>
                    <w:right w:w="15" w:type="dxa"/>
                  </w:tcMar>
                  <w:vAlign w:val="center"/>
                </w:tcPr>
                <w:p w14:paraId="66719E26">
                  <w:pPr>
                    <w:jc w:val="center"/>
                    <w:rPr>
                      <w:rFonts w:cs="Arial"/>
                      <w:szCs w:val="24"/>
                    </w:rPr>
                  </w:pPr>
                  <w:r>
                    <w:rPr>
                      <w:rFonts w:hint="eastAsia" w:cs="Arial"/>
                      <w:szCs w:val="24"/>
                    </w:rPr>
                    <w:t>3×185，35kV 铜</w:t>
                  </w:r>
                </w:p>
              </w:tc>
              <w:tc>
                <w:tcPr>
                  <w:tcW w:w="595" w:type="dxa"/>
                  <w:tcMar>
                    <w:top w:w="15" w:type="dxa"/>
                    <w:left w:w="15" w:type="dxa"/>
                    <w:right w:w="15" w:type="dxa"/>
                  </w:tcMar>
                  <w:vAlign w:val="center"/>
                </w:tcPr>
                <w:p w14:paraId="2578F8D7">
                  <w:pPr>
                    <w:jc w:val="center"/>
                    <w:rPr>
                      <w:rFonts w:cs="Arial"/>
                      <w:szCs w:val="24"/>
                    </w:rPr>
                  </w:pPr>
                  <w:r>
                    <w:rPr>
                      <w:rFonts w:hint="eastAsia" w:cs="Arial"/>
                      <w:szCs w:val="24"/>
                    </w:rPr>
                    <w:t>套</w:t>
                  </w:r>
                </w:p>
              </w:tc>
              <w:tc>
                <w:tcPr>
                  <w:tcW w:w="610" w:type="dxa"/>
                  <w:tcMar>
                    <w:top w:w="15" w:type="dxa"/>
                    <w:left w:w="15" w:type="dxa"/>
                    <w:right w:w="15" w:type="dxa"/>
                  </w:tcMar>
                  <w:vAlign w:val="center"/>
                </w:tcPr>
                <w:p w14:paraId="45A523E2">
                  <w:pPr>
                    <w:jc w:val="center"/>
                    <w:rPr>
                      <w:rFonts w:cs="Arial"/>
                      <w:szCs w:val="24"/>
                    </w:rPr>
                  </w:pPr>
                  <w:r>
                    <w:rPr>
                      <w:rFonts w:hint="eastAsia" w:cs="Arial"/>
                      <w:szCs w:val="24"/>
                    </w:rPr>
                    <w:t>1</w:t>
                  </w:r>
                </w:p>
              </w:tc>
            </w:tr>
            <w:tr w14:paraId="330C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621C5409">
                  <w:pPr>
                    <w:jc w:val="center"/>
                    <w:rPr>
                      <w:rFonts w:cs="Arial"/>
                      <w:szCs w:val="24"/>
                    </w:rPr>
                  </w:pPr>
                  <w:r>
                    <w:rPr>
                      <w:rFonts w:hint="eastAsia" w:cs="Arial"/>
                      <w:szCs w:val="24"/>
                    </w:rPr>
                    <w:t>4</w:t>
                  </w:r>
                </w:p>
              </w:tc>
              <w:tc>
                <w:tcPr>
                  <w:tcW w:w="2552" w:type="dxa"/>
                  <w:tcMar>
                    <w:top w:w="15" w:type="dxa"/>
                    <w:left w:w="15" w:type="dxa"/>
                    <w:right w:w="15" w:type="dxa"/>
                  </w:tcMar>
                  <w:vAlign w:val="center"/>
                </w:tcPr>
                <w:p w14:paraId="63BC40FF">
                  <w:pPr>
                    <w:jc w:val="center"/>
                    <w:rPr>
                      <w:rFonts w:cs="Arial"/>
                      <w:szCs w:val="24"/>
                    </w:rPr>
                  </w:pPr>
                  <w:r>
                    <w:rPr>
                      <w:rFonts w:hint="eastAsia" w:cs="Arial"/>
                      <w:szCs w:val="24"/>
                    </w:rPr>
                    <w:t>35kV户外电缆终端头</w:t>
                  </w:r>
                </w:p>
              </w:tc>
              <w:tc>
                <w:tcPr>
                  <w:tcW w:w="3769" w:type="dxa"/>
                  <w:tcMar>
                    <w:top w:w="15" w:type="dxa"/>
                    <w:left w:w="15" w:type="dxa"/>
                    <w:right w:w="15" w:type="dxa"/>
                  </w:tcMar>
                  <w:vAlign w:val="center"/>
                </w:tcPr>
                <w:p w14:paraId="7F64D35B">
                  <w:pPr>
                    <w:jc w:val="center"/>
                    <w:rPr>
                      <w:rFonts w:cs="Arial"/>
                      <w:szCs w:val="24"/>
                    </w:rPr>
                  </w:pPr>
                  <w:r>
                    <w:rPr>
                      <w:rFonts w:hint="eastAsia" w:cs="Arial"/>
                      <w:szCs w:val="24"/>
                    </w:rPr>
                    <w:t>3×185，35kV 铜</w:t>
                  </w:r>
                </w:p>
              </w:tc>
              <w:tc>
                <w:tcPr>
                  <w:tcW w:w="595" w:type="dxa"/>
                  <w:tcMar>
                    <w:top w:w="15" w:type="dxa"/>
                    <w:left w:w="15" w:type="dxa"/>
                    <w:right w:w="15" w:type="dxa"/>
                  </w:tcMar>
                  <w:vAlign w:val="center"/>
                </w:tcPr>
                <w:p w14:paraId="66F3DDA1">
                  <w:pPr>
                    <w:jc w:val="center"/>
                    <w:rPr>
                      <w:rFonts w:cs="Arial"/>
                      <w:szCs w:val="24"/>
                    </w:rPr>
                  </w:pPr>
                  <w:r>
                    <w:rPr>
                      <w:rFonts w:hint="eastAsia" w:cs="Arial"/>
                      <w:szCs w:val="24"/>
                    </w:rPr>
                    <w:t>套</w:t>
                  </w:r>
                </w:p>
              </w:tc>
              <w:tc>
                <w:tcPr>
                  <w:tcW w:w="610" w:type="dxa"/>
                  <w:tcMar>
                    <w:top w:w="15" w:type="dxa"/>
                    <w:left w:w="15" w:type="dxa"/>
                    <w:right w:w="15" w:type="dxa"/>
                  </w:tcMar>
                  <w:vAlign w:val="center"/>
                </w:tcPr>
                <w:p w14:paraId="1DAEEF7E">
                  <w:pPr>
                    <w:jc w:val="center"/>
                    <w:rPr>
                      <w:rFonts w:cs="Arial"/>
                      <w:szCs w:val="24"/>
                    </w:rPr>
                  </w:pPr>
                  <w:r>
                    <w:rPr>
                      <w:rFonts w:hint="eastAsia" w:cs="Arial"/>
                      <w:szCs w:val="24"/>
                    </w:rPr>
                    <w:t>1</w:t>
                  </w:r>
                </w:p>
              </w:tc>
            </w:tr>
            <w:tr w14:paraId="7163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24D54C98">
                  <w:pPr>
                    <w:jc w:val="center"/>
                    <w:rPr>
                      <w:rFonts w:cs="Arial"/>
                      <w:szCs w:val="24"/>
                    </w:rPr>
                  </w:pPr>
                  <w:r>
                    <w:rPr>
                      <w:rFonts w:hint="eastAsia" w:cs="Arial"/>
                      <w:szCs w:val="24"/>
                    </w:rPr>
                    <w:t>（五）</w:t>
                  </w:r>
                </w:p>
              </w:tc>
              <w:tc>
                <w:tcPr>
                  <w:tcW w:w="2552" w:type="dxa"/>
                  <w:tcMar>
                    <w:top w:w="15" w:type="dxa"/>
                    <w:left w:w="15" w:type="dxa"/>
                    <w:right w:w="15" w:type="dxa"/>
                  </w:tcMar>
                  <w:vAlign w:val="center"/>
                </w:tcPr>
                <w:p w14:paraId="1FB71187">
                  <w:pPr>
                    <w:jc w:val="center"/>
                    <w:rPr>
                      <w:rFonts w:cs="Arial"/>
                      <w:szCs w:val="24"/>
                    </w:rPr>
                  </w:pPr>
                  <w:r>
                    <w:rPr>
                      <w:rFonts w:hint="eastAsia" w:cs="Arial"/>
                      <w:szCs w:val="24"/>
                    </w:rPr>
                    <w:t>站用变部分</w:t>
                  </w:r>
                </w:p>
              </w:tc>
              <w:tc>
                <w:tcPr>
                  <w:tcW w:w="3769" w:type="dxa"/>
                  <w:tcMar>
                    <w:top w:w="15" w:type="dxa"/>
                    <w:left w:w="15" w:type="dxa"/>
                    <w:right w:w="15" w:type="dxa"/>
                  </w:tcMar>
                  <w:vAlign w:val="center"/>
                </w:tcPr>
                <w:p w14:paraId="6B5538DF">
                  <w:pPr>
                    <w:jc w:val="center"/>
                    <w:rPr>
                      <w:rFonts w:cs="Arial"/>
                      <w:szCs w:val="24"/>
                    </w:rPr>
                  </w:pPr>
                </w:p>
              </w:tc>
              <w:tc>
                <w:tcPr>
                  <w:tcW w:w="595" w:type="dxa"/>
                  <w:tcMar>
                    <w:top w:w="15" w:type="dxa"/>
                    <w:left w:w="15" w:type="dxa"/>
                    <w:right w:w="15" w:type="dxa"/>
                  </w:tcMar>
                  <w:vAlign w:val="center"/>
                </w:tcPr>
                <w:p w14:paraId="508507FE">
                  <w:pPr>
                    <w:jc w:val="center"/>
                    <w:rPr>
                      <w:rFonts w:cs="Arial"/>
                      <w:szCs w:val="24"/>
                    </w:rPr>
                  </w:pPr>
                </w:p>
              </w:tc>
              <w:tc>
                <w:tcPr>
                  <w:tcW w:w="610" w:type="dxa"/>
                  <w:tcMar>
                    <w:top w:w="15" w:type="dxa"/>
                    <w:left w:w="15" w:type="dxa"/>
                    <w:right w:w="15" w:type="dxa"/>
                  </w:tcMar>
                  <w:vAlign w:val="center"/>
                </w:tcPr>
                <w:p w14:paraId="1E6F17EC">
                  <w:pPr>
                    <w:jc w:val="center"/>
                    <w:rPr>
                      <w:rFonts w:cs="Arial"/>
                      <w:szCs w:val="24"/>
                    </w:rPr>
                  </w:pPr>
                </w:p>
              </w:tc>
            </w:tr>
            <w:tr w14:paraId="07BA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rPr>
              <w:tc>
                <w:tcPr>
                  <w:tcW w:w="704" w:type="dxa"/>
                  <w:tcMar>
                    <w:top w:w="15" w:type="dxa"/>
                    <w:left w:w="15" w:type="dxa"/>
                    <w:right w:w="15" w:type="dxa"/>
                  </w:tcMar>
                  <w:vAlign w:val="center"/>
                </w:tcPr>
                <w:p w14:paraId="7581F1D9">
                  <w:pPr>
                    <w:jc w:val="center"/>
                    <w:rPr>
                      <w:rFonts w:cs="Arial"/>
                      <w:szCs w:val="24"/>
                    </w:rPr>
                  </w:pPr>
                  <w:r>
                    <w:rPr>
                      <w:rFonts w:hint="eastAsia" w:cs="Arial"/>
                      <w:szCs w:val="24"/>
                    </w:rPr>
                    <w:t>1</w:t>
                  </w:r>
                </w:p>
              </w:tc>
              <w:tc>
                <w:tcPr>
                  <w:tcW w:w="2552" w:type="dxa"/>
                  <w:tcMar>
                    <w:top w:w="15" w:type="dxa"/>
                    <w:left w:w="15" w:type="dxa"/>
                    <w:right w:w="15" w:type="dxa"/>
                  </w:tcMar>
                  <w:vAlign w:val="center"/>
                </w:tcPr>
                <w:p w14:paraId="5CBD4BEB">
                  <w:pPr>
                    <w:jc w:val="center"/>
                    <w:rPr>
                      <w:rFonts w:cs="Arial"/>
                      <w:szCs w:val="24"/>
                    </w:rPr>
                  </w:pPr>
                  <w:r>
                    <w:rPr>
                      <w:rFonts w:hint="eastAsia" w:cs="Arial"/>
                      <w:szCs w:val="24"/>
                    </w:rPr>
                    <w:t>接地变</w:t>
                  </w:r>
                </w:p>
              </w:tc>
              <w:tc>
                <w:tcPr>
                  <w:tcW w:w="3769" w:type="dxa"/>
                  <w:tcMar>
                    <w:top w:w="15" w:type="dxa"/>
                    <w:left w:w="15" w:type="dxa"/>
                    <w:right w:w="15" w:type="dxa"/>
                  </w:tcMar>
                  <w:vAlign w:val="center"/>
                </w:tcPr>
                <w:p w14:paraId="27766597">
                  <w:pPr>
                    <w:jc w:val="center"/>
                    <w:rPr>
                      <w:rFonts w:cs="Arial"/>
                      <w:szCs w:val="24"/>
                    </w:rPr>
                  </w:pPr>
                  <w:r>
                    <w:rPr>
                      <w:rFonts w:hint="eastAsia" w:cs="Arial"/>
                      <w:szCs w:val="24"/>
                    </w:rPr>
                    <w:t>DKSC-400kVA/37，小电阻成套装置R=101.1Ω</w:t>
                  </w:r>
                </w:p>
              </w:tc>
              <w:tc>
                <w:tcPr>
                  <w:tcW w:w="595" w:type="dxa"/>
                  <w:tcMar>
                    <w:top w:w="15" w:type="dxa"/>
                    <w:left w:w="15" w:type="dxa"/>
                    <w:right w:w="15" w:type="dxa"/>
                  </w:tcMar>
                  <w:vAlign w:val="center"/>
                </w:tcPr>
                <w:p w14:paraId="6C118186">
                  <w:pPr>
                    <w:jc w:val="center"/>
                    <w:rPr>
                      <w:rFonts w:cs="Arial"/>
                      <w:szCs w:val="24"/>
                    </w:rPr>
                  </w:pPr>
                  <w:r>
                    <w:rPr>
                      <w:rFonts w:hint="eastAsia" w:cs="Arial"/>
                      <w:szCs w:val="24"/>
                    </w:rPr>
                    <w:t>台</w:t>
                  </w:r>
                </w:p>
              </w:tc>
              <w:tc>
                <w:tcPr>
                  <w:tcW w:w="610" w:type="dxa"/>
                  <w:tcMar>
                    <w:top w:w="15" w:type="dxa"/>
                    <w:left w:w="15" w:type="dxa"/>
                    <w:right w:w="15" w:type="dxa"/>
                  </w:tcMar>
                  <w:vAlign w:val="center"/>
                </w:tcPr>
                <w:p w14:paraId="7541D98B">
                  <w:pPr>
                    <w:jc w:val="center"/>
                    <w:rPr>
                      <w:rFonts w:cs="Arial"/>
                      <w:szCs w:val="24"/>
                    </w:rPr>
                  </w:pPr>
                  <w:r>
                    <w:rPr>
                      <w:rFonts w:hint="eastAsia" w:cs="Arial"/>
                      <w:szCs w:val="24"/>
                    </w:rPr>
                    <w:t>1</w:t>
                  </w:r>
                </w:p>
              </w:tc>
            </w:tr>
            <w:tr w14:paraId="72D6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04" w:type="dxa"/>
                  <w:tcMar>
                    <w:top w:w="15" w:type="dxa"/>
                    <w:left w:w="15" w:type="dxa"/>
                    <w:right w:w="15" w:type="dxa"/>
                  </w:tcMar>
                  <w:vAlign w:val="center"/>
                </w:tcPr>
                <w:p w14:paraId="65CA3073">
                  <w:pPr>
                    <w:jc w:val="center"/>
                    <w:rPr>
                      <w:rFonts w:cs="Arial"/>
                      <w:szCs w:val="24"/>
                    </w:rPr>
                  </w:pPr>
                  <w:r>
                    <w:rPr>
                      <w:rFonts w:hint="eastAsia" w:cs="Arial"/>
                      <w:szCs w:val="24"/>
                    </w:rPr>
                    <w:t>2</w:t>
                  </w:r>
                </w:p>
              </w:tc>
              <w:tc>
                <w:tcPr>
                  <w:tcW w:w="2552" w:type="dxa"/>
                  <w:tcMar>
                    <w:top w:w="15" w:type="dxa"/>
                    <w:left w:w="15" w:type="dxa"/>
                    <w:right w:w="15" w:type="dxa"/>
                  </w:tcMar>
                  <w:vAlign w:val="center"/>
                </w:tcPr>
                <w:p w14:paraId="29D6214F">
                  <w:pPr>
                    <w:jc w:val="center"/>
                    <w:rPr>
                      <w:rFonts w:cs="Arial"/>
                      <w:szCs w:val="24"/>
                    </w:rPr>
                  </w:pPr>
                  <w:r>
                    <w:rPr>
                      <w:rFonts w:hint="eastAsia" w:cs="Arial"/>
                      <w:szCs w:val="24"/>
                    </w:rPr>
                    <w:t>35kV站用变</w:t>
                  </w:r>
                </w:p>
              </w:tc>
              <w:tc>
                <w:tcPr>
                  <w:tcW w:w="3769" w:type="dxa"/>
                  <w:tcMar>
                    <w:top w:w="15" w:type="dxa"/>
                    <w:left w:w="15" w:type="dxa"/>
                    <w:right w:w="15" w:type="dxa"/>
                  </w:tcMar>
                  <w:vAlign w:val="center"/>
                </w:tcPr>
                <w:p w14:paraId="792536EB">
                  <w:pPr>
                    <w:jc w:val="center"/>
                    <w:rPr>
                      <w:rFonts w:cs="Arial"/>
                      <w:szCs w:val="24"/>
                    </w:rPr>
                  </w:pPr>
                  <w:r>
                    <w:rPr>
                      <w:rFonts w:hint="eastAsia" w:cs="Arial"/>
                      <w:szCs w:val="24"/>
                    </w:rPr>
                    <w:t>SCB12-315/37</w:t>
                  </w:r>
                </w:p>
              </w:tc>
              <w:tc>
                <w:tcPr>
                  <w:tcW w:w="595" w:type="dxa"/>
                  <w:tcMar>
                    <w:top w:w="15" w:type="dxa"/>
                    <w:left w:w="15" w:type="dxa"/>
                    <w:right w:w="15" w:type="dxa"/>
                  </w:tcMar>
                  <w:vAlign w:val="center"/>
                </w:tcPr>
                <w:p w14:paraId="1439EF29">
                  <w:pPr>
                    <w:jc w:val="center"/>
                    <w:rPr>
                      <w:rFonts w:cs="Arial"/>
                      <w:szCs w:val="24"/>
                    </w:rPr>
                  </w:pPr>
                  <w:r>
                    <w:rPr>
                      <w:rFonts w:hint="eastAsia" w:cs="Arial"/>
                      <w:szCs w:val="24"/>
                    </w:rPr>
                    <w:t>台</w:t>
                  </w:r>
                </w:p>
              </w:tc>
              <w:tc>
                <w:tcPr>
                  <w:tcW w:w="610" w:type="dxa"/>
                  <w:tcMar>
                    <w:top w:w="15" w:type="dxa"/>
                    <w:left w:w="15" w:type="dxa"/>
                    <w:right w:w="15" w:type="dxa"/>
                  </w:tcMar>
                  <w:vAlign w:val="center"/>
                </w:tcPr>
                <w:p w14:paraId="2A1EBB0B">
                  <w:pPr>
                    <w:jc w:val="center"/>
                    <w:rPr>
                      <w:rFonts w:cs="Arial"/>
                      <w:szCs w:val="24"/>
                    </w:rPr>
                  </w:pPr>
                  <w:r>
                    <w:rPr>
                      <w:rFonts w:hint="eastAsia" w:cs="Arial"/>
                      <w:szCs w:val="24"/>
                    </w:rPr>
                    <w:t>1</w:t>
                  </w:r>
                </w:p>
              </w:tc>
            </w:tr>
            <w:tr w14:paraId="2BFD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28D72627">
                  <w:pPr>
                    <w:jc w:val="center"/>
                    <w:rPr>
                      <w:rFonts w:cs="Arial"/>
                      <w:szCs w:val="24"/>
                    </w:rPr>
                  </w:pPr>
                  <w:r>
                    <w:rPr>
                      <w:rFonts w:hint="eastAsia" w:cs="Arial"/>
                      <w:szCs w:val="24"/>
                    </w:rPr>
                    <w:t>3</w:t>
                  </w:r>
                </w:p>
              </w:tc>
              <w:tc>
                <w:tcPr>
                  <w:tcW w:w="2552" w:type="dxa"/>
                  <w:tcMar>
                    <w:top w:w="15" w:type="dxa"/>
                    <w:left w:w="15" w:type="dxa"/>
                    <w:right w:w="15" w:type="dxa"/>
                  </w:tcMar>
                  <w:vAlign w:val="center"/>
                </w:tcPr>
                <w:p w14:paraId="12862E91">
                  <w:pPr>
                    <w:jc w:val="center"/>
                    <w:rPr>
                      <w:rFonts w:cs="Arial"/>
                      <w:szCs w:val="24"/>
                    </w:rPr>
                  </w:pPr>
                  <w:r>
                    <w:rPr>
                      <w:rFonts w:hint="eastAsia" w:cs="Arial"/>
                      <w:szCs w:val="24"/>
                    </w:rPr>
                    <w:t>10kV站用变压器</w:t>
                  </w:r>
                </w:p>
              </w:tc>
              <w:tc>
                <w:tcPr>
                  <w:tcW w:w="3769" w:type="dxa"/>
                  <w:tcMar>
                    <w:top w:w="15" w:type="dxa"/>
                    <w:left w:w="15" w:type="dxa"/>
                    <w:right w:w="15" w:type="dxa"/>
                  </w:tcMar>
                  <w:vAlign w:val="center"/>
                </w:tcPr>
                <w:p w14:paraId="4373777A">
                  <w:pPr>
                    <w:jc w:val="center"/>
                    <w:rPr>
                      <w:rFonts w:cs="Arial"/>
                      <w:szCs w:val="24"/>
                    </w:rPr>
                  </w:pPr>
                  <w:r>
                    <w:rPr>
                      <w:rFonts w:hint="eastAsia" w:cs="Arial"/>
                      <w:szCs w:val="24"/>
                    </w:rPr>
                    <w:t>SCB12-315/10GY，10±2×2.5%/0.4kV</w:t>
                  </w:r>
                </w:p>
              </w:tc>
              <w:tc>
                <w:tcPr>
                  <w:tcW w:w="595" w:type="dxa"/>
                  <w:tcMar>
                    <w:top w:w="15" w:type="dxa"/>
                    <w:left w:w="15" w:type="dxa"/>
                    <w:right w:w="15" w:type="dxa"/>
                  </w:tcMar>
                  <w:vAlign w:val="center"/>
                </w:tcPr>
                <w:p w14:paraId="2104D901">
                  <w:pPr>
                    <w:jc w:val="center"/>
                    <w:rPr>
                      <w:rFonts w:cs="Arial"/>
                      <w:szCs w:val="24"/>
                    </w:rPr>
                  </w:pPr>
                  <w:r>
                    <w:rPr>
                      <w:rFonts w:hint="eastAsia" w:cs="Arial"/>
                      <w:szCs w:val="24"/>
                    </w:rPr>
                    <w:t>台</w:t>
                  </w:r>
                </w:p>
              </w:tc>
              <w:tc>
                <w:tcPr>
                  <w:tcW w:w="610" w:type="dxa"/>
                  <w:tcMar>
                    <w:top w:w="15" w:type="dxa"/>
                    <w:left w:w="15" w:type="dxa"/>
                    <w:right w:w="15" w:type="dxa"/>
                  </w:tcMar>
                  <w:vAlign w:val="center"/>
                </w:tcPr>
                <w:p w14:paraId="651E6671">
                  <w:pPr>
                    <w:jc w:val="center"/>
                    <w:rPr>
                      <w:rFonts w:cs="Arial"/>
                      <w:szCs w:val="24"/>
                    </w:rPr>
                  </w:pPr>
                  <w:r>
                    <w:rPr>
                      <w:rFonts w:hint="eastAsia" w:cs="Arial"/>
                      <w:szCs w:val="24"/>
                    </w:rPr>
                    <w:t>1</w:t>
                  </w:r>
                </w:p>
              </w:tc>
            </w:tr>
            <w:tr w14:paraId="3846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2AD0E83A">
                  <w:pPr>
                    <w:jc w:val="center"/>
                    <w:rPr>
                      <w:rFonts w:cs="Arial"/>
                      <w:szCs w:val="24"/>
                    </w:rPr>
                  </w:pPr>
                  <w:r>
                    <w:rPr>
                      <w:rFonts w:hint="eastAsia" w:cs="Arial"/>
                      <w:szCs w:val="24"/>
                    </w:rPr>
                    <w:t>4</w:t>
                  </w:r>
                </w:p>
              </w:tc>
              <w:tc>
                <w:tcPr>
                  <w:tcW w:w="2552" w:type="dxa"/>
                  <w:tcMar>
                    <w:top w:w="15" w:type="dxa"/>
                    <w:left w:w="15" w:type="dxa"/>
                    <w:right w:w="15" w:type="dxa"/>
                  </w:tcMar>
                  <w:vAlign w:val="center"/>
                </w:tcPr>
                <w:p w14:paraId="27F97E31">
                  <w:pPr>
                    <w:jc w:val="center"/>
                    <w:rPr>
                      <w:rFonts w:cs="Arial"/>
                      <w:szCs w:val="24"/>
                    </w:rPr>
                  </w:pPr>
                  <w:r>
                    <w:rPr>
                      <w:rFonts w:hint="eastAsia" w:cs="Arial"/>
                      <w:szCs w:val="24"/>
                    </w:rPr>
                    <w:t>35kV电力电缆</w:t>
                  </w:r>
                </w:p>
              </w:tc>
              <w:tc>
                <w:tcPr>
                  <w:tcW w:w="3769" w:type="dxa"/>
                  <w:tcMar>
                    <w:top w:w="15" w:type="dxa"/>
                    <w:left w:w="15" w:type="dxa"/>
                    <w:right w:w="15" w:type="dxa"/>
                  </w:tcMar>
                  <w:vAlign w:val="center"/>
                </w:tcPr>
                <w:p w14:paraId="2E6B6212">
                  <w:pPr>
                    <w:jc w:val="center"/>
                    <w:rPr>
                      <w:rFonts w:cs="Arial"/>
                      <w:szCs w:val="24"/>
                    </w:rPr>
                  </w:pPr>
                  <w:r>
                    <w:rPr>
                      <w:rFonts w:hint="eastAsia" w:cs="Arial"/>
                      <w:szCs w:val="24"/>
                    </w:rPr>
                    <w:t>ZC-YJV22-26/35-3×95</w:t>
                  </w:r>
                </w:p>
              </w:tc>
              <w:tc>
                <w:tcPr>
                  <w:tcW w:w="595" w:type="dxa"/>
                  <w:tcMar>
                    <w:top w:w="15" w:type="dxa"/>
                    <w:left w:w="15" w:type="dxa"/>
                    <w:right w:w="15" w:type="dxa"/>
                  </w:tcMar>
                  <w:vAlign w:val="center"/>
                </w:tcPr>
                <w:p w14:paraId="61226151">
                  <w:pPr>
                    <w:jc w:val="center"/>
                    <w:rPr>
                      <w:rFonts w:cs="Arial"/>
                      <w:szCs w:val="24"/>
                    </w:rPr>
                  </w:pPr>
                  <w:r>
                    <w:rPr>
                      <w:rFonts w:hint="eastAsia" w:cs="Arial"/>
                      <w:szCs w:val="24"/>
                    </w:rPr>
                    <w:t>m</w:t>
                  </w:r>
                </w:p>
              </w:tc>
              <w:tc>
                <w:tcPr>
                  <w:tcW w:w="610" w:type="dxa"/>
                  <w:tcMar>
                    <w:top w:w="15" w:type="dxa"/>
                    <w:left w:w="15" w:type="dxa"/>
                    <w:right w:w="15" w:type="dxa"/>
                  </w:tcMar>
                  <w:vAlign w:val="center"/>
                </w:tcPr>
                <w:p w14:paraId="4ED16464">
                  <w:pPr>
                    <w:jc w:val="center"/>
                    <w:rPr>
                      <w:rFonts w:cs="Arial"/>
                      <w:szCs w:val="24"/>
                    </w:rPr>
                  </w:pPr>
                  <w:r>
                    <w:rPr>
                      <w:rFonts w:hint="eastAsia" w:cs="Arial"/>
                      <w:szCs w:val="24"/>
                    </w:rPr>
                    <w:t>300</w:t>
                  </w:r>
                </w:p>
              </w:tc>
            </w:tr>
            <w:tr w14:paraId="299C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78B235BF">
                  <w:pPr>
                    <w:jc w:val="center"/>
                    <w:rPr>
                      <w:rFonts w:cs="Arial"/>
                      <w:szCs w:val="24"/>
                    </w:rPr>
                  </w:pPr>
                  <w:r>
                    <w:rPr>
                      <w:rFonts w:hint="eastAsia" w:cs="Arial"/>
                      <w:szCs w:val="24"/>
                    </w:rPr>
                    <w:t>5</w:t>
                  </w:r>
                </w:p>
              </w:tc>
              <w:tc>
                <w:tcPr>
                  <w:tcW w:w="2552" w:type="dxa"/>
                  <w:tcMar>
                    <w:top w:w="15" w:type="dxa"/>
                    <w:left w:w="15" w:type="dxa"/>
                    <w:right w:w="15" w:type="dxa"/>
                  </w:tcMar>
                  <w:vAlign w:val="center"/>
                </w:tcPr>
                <w:p w14:paraId="17ABC49B">
                  <w:pPr>
                    <w:jc w:val="center"/>
                    <w:rPr>
                      <w:rFonts w:cs="Arial"/>
                      <w:szCs w:val="24"/>
                    </w:rPr>
                  </w:pPr>
                  <w:r>
                    <w:rPr>
                      <w:rFonts w:hint="eastAsia" w:cs="Arial"/>
                      <w:szCs w:val="24"/>
                    </w:rPr>
                    <w:t>35kV电缆头</w:t>
                  </w:r>
                </w:p>
              </w:tc>
              <w:tc>
                <w:tcPr>
                  <w:tcW w:w="3769" w:type="dxa"/>
                  <w:tcMar>
                    <w:top w:w="15" w:type="dxa"/>
                    <w:left w:w="15" w:type="dxa"/>
                    <w:right w:w="15" w:type="dxa"/>
                  </w:tcMar>
                  <w:vAlign w:val="center"/>
                </w:tcPr>
                <w:p w14:paraId="285F808B">
                  <w:pPr>
                    <w:jc w:val="center"/>
                    <w:rPr>
                      <w:rFonts w:cs="Arial"/>
                      <w:szCs w:val="24"/>
                    </w:rPr>
                  </w:pPr>
                  <w:r>
                    <w:rPr>
                      <w:rFonts w:hint="eastAsia" w:cs="Arial"/>
                      <w:szCs w:val="24"/>
                    </w:rPr>
                    <w:t>3×95 铜</w:t>
                  </w:r>
                </w:p>
              </w:tc>
              <w:tc>
                <w:tcPr>
                  <w:tcW w:w="595" w:type="dxa"/>
                  <w:tcMar>
                    <w:top w:w="15" w:type="dxa"/>
                    <w:left w:w="15" w:type="dxa"/>
                    <w:right w:w="15" w:type="dxa"/>
                  </w:tcMar>
                  <w:vAlign w:val="center"/>
                </w:tcPr>
                <w:p w14:paraId="22E526DC">
                  <w:pPr>
                    <w:jc w:val="center"/>
                    <w:rPr>
                      <w:rFonts w:cs="Arial"/>
                      <w:szCs w:val="24"/>
                    </w:rPr>
                  </w:pPr>
                  <w:r>
                    <w:rPr>
                      <w:rFonts w:hint="eastAsia" w:cs="Arial"/>
                      <w:szCs w:val="24"/>
                    </w:rPr>
                    <w:t>套</w:t>
                  </w:r>
                </w:p>
              </w:tc>
              <w:tc>
                <w:tcPr>
                  <w:tcW w:w="610" w:type="dxa"/>
                  <w:tcMar>
                    <w:top w:w="15" w:type="dxa"/>
                    <w:left w:w="15" w:type="dxa"/>
                    <w:right w:w="15" w:type="dxa"/>
                  </w:tcMar>
                  <w:vAlign w:val="center"/>
                </w:tcPr>
                <w:p w14:paraId="68F80783">
                  <w:pPr>
                    <w:jc w:val="center"/>
                    <w:rPr>
                      <w:rFonts w:cs="Arial"/>
                      <w:szCs w:val="24"/>
                    </w:rPr>
                  </w:pPr>
                  <w:r>
                    <w:rPr>
                      <w:rFonts w:hint="eastAsia" w:cs="Arial"/>
                      <w:szCs w:val="24"/>
                    </w:rPr>
                    <w:t>4</w:t>
                  </w:r>
                </w:p>
              </w:tc>
            </w:tr>
            <w:tr w14:paraId="1B88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23000B3D">
                  <w:pPr>
                    <w:jc w:val="center"/>
                    <w:rPr>
                      <w:rFonts w:cs="Arial"/>
                      <w:szCs w:val="24"/>
                    </w:rPr>
                  </w:pPr>
                  <w:r>
                    <w:rPr>
                      <w:rFonts w:hint="eastAsia" w:cs="Arial"/>
                      <w:szCs w:val="24"/>
                    </w:rPr>
                    <w:t>6</w:t>
                  </w:r>
                </w:p>
              </w:tc>
              <w:tc>
                <w:tcPr>
                  <w:tcW w:w="2552" w:type="dxa"/>
                  <w:tcMar>
                    <w:top w:w="15" w:type="dxa"/>
                    <w:left w:w="15" w:type="dxa"/>
                    <w:right w:w="15" w:type="dxa"/>
                  </w:tcMar>
                  <w:vAlign w:val="center"/>
                </w:tcPr>
                <w:p w14:paraId="2E092748">
                  <w:pPr>
                    <w:jc w:val="center"/>
                    <w:rPr>
                      <w:rFonts w:cs="Arial"/>
                      <w:szCs w:val="24"/>
                    </w:rPr>
                  </w:pPr>
                  <w:r>
                    <w:rPr>
                      <w:rFonts w:hint="eastAsia" w:cs="Arial"/>
                      <w:szCs w:val="24"/>
                    </w:rPr>
                    <w:t>10kV电力电缆</w:t>
                  </w:r>
                </w:p>
              </w:tc>
              <w:tc>
                <w:tcPr>
                  <w:tcW w:w="3769" w:type="dxa"/>
                  <w:tcMar>
                    <w:top w:w="15" w:type="dxa"/>
                    <w:left w:w="15" w:type="dxa"/>
                    <w:right w:w="15" w:type="dxa"/>
                  </w:tcMar>
                  <w:vAlign w:val="center"/>
                </w:tcPr>
                <w:p w14:paraId="295C8F8E">
                  <w:pPr>
                    <w:jc w:val="center"/>
                    <w:rPr>
                      <w:rFonts w:cs="Arial"/>
                      <w:szCs w:val="24"/>
                    </w:rPr>
                  </w:pPr>
                  <w:r>
                    <w:rPr>
                      <w:rFonts w:hint="eastAsia" w:cs="Arial"/>
                      <w:szCs w:val="24"/>
                    </w:rPr>
                    <w:t>ZC-YJV22-8.7/15-3×95</w:t>
                  </w:r>
                </w:p>
              </w:tc>
              <w:tc>
                <w:tcPr>
                  <w:tcW w:w="595" w:type="dxa"/>
                  <w:tcMar>
                    <w:top w:w="15" w:type="dxa"/>
                    <w:left w:w="15" w:type="dxa"/>
                    <w:right w:w="15" w:type="dxa"/>
                  </w:tcMar>
                  <w:vAlign w:val="center"/>
                </w:tcPr>
                <w:p w14:paraId="18E75E63">
                  <w:pPr>
                    <w:jc w:val="center"/>
                    <w:rPr>
                      <w:rFonts w:cs="Arial"/>
                      <w:szCs w:val="24"/>
                    </w:rPr>
                  </w:pPr>
                  <w:r>
                    <w:rPr>
                      <w:rFonts w:hint="eastAsia" w:cs="Arial"/>
                      <w:szCs w:val="24"/>
                    </w:rPr>
                    <w:t>m</w:t>
                  </w:r>
                </w:p>
              </w:tc>
              <w:tc>
                <w:tcPr>
                  <w:tcW w:w="610" w:type="dxa"/>
                  <w:tcMar>
                    <w:top w:w="15" w:type="dxa"/>
                    <w:left w:w="15" w:type="dxa"/>
                    <w:right w:w="15" w:type="dxa"/>
                  </w:tcMar>
                  <w:vAlign w:val="center"/>
                </w:tcPr>
                <w:p w14:paraId="59172354">
                  <w:pPr>
                    <w:jc w:val="center"/>
                    <w:rPr>
                      <w:rFonts w:cs="Arial"/>
                      <w:szCs w:val="24"/>
                    </w:rPr>
                  </w:pPr>
                  <w:r>
                    <w:rPr>
                      <w:rFonts w:hint="eastAsia" w:cs="Arial"/>
                      <w:szCs w:val="24"/>
                    </w:rPr>
                    <w:t>200</w:t>
                  </w:r>
                </w:p>
              </w:tc>
            </w:tr>
            <w:tr w14:paraId="1E69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33ED23DD">
                  <w:pPr>
                    <w:jc w:val="center"/>
                    <w:rPr>
                      <w:rFonts w:cs="Arial"/>
                      <w:szCs w:val="24"/>
                    </w:rPr>
                  </w:pPr>
                  <w:r>
                    <w:rPr>
                      <w:rFonts w:hint="eastAsia" w:cs="Arial"/>
                      <w:szCs w:val="24"/>
                    </w:rPr>
                    <w:t>7</w:t>
                  </w:r>
                </w:p>
              </w:tc>
              <w:tc>
                <w:tcPr>
                  <w:tcW w:w="2552" w:type="dxa"/>
                  <w:tcMar>
                    <w:top w:w="15" w:type="dxa"/>
                    <w:left w:w="15" w:type="dxa"/>
                    <w:right w:w="15" w:type="dxa"/>
                  </w:tcMar>
                  <w:vAlign w:val="center"/>
                </w:tcPr>
                <w:p w14:paraId="12F106C3">
                  <w:pPr>
                    <w:jc w:val="center"/>
                    <w:rPr>
                      <w:rFonts w:cs="Arial"/>
                      <w:szCs w:val="24"/>
                    </w:rPr>
                  </w:pPr>
                  <w:r>
                    <w:rPr>
                      <w:rFonts w:hint="eastAsia" w:cs="Arial"/>
                      <w:szCs w:val="24"/>
                    </w:rPr>
                    <w:t>10kV电缆头</w:t>
                  </w:r>
                </w:p>
              </w:tc>
              <w:tc>
                <w:tcPr>
                  <w:tcW w:w="3769" w:type="dxa"/>
                  <w:tcMar>
                    <w:top w:w="15" w:type="dxa"/>
                    <w:left w:w="15" w:type="dxa"/>
                    <w:right w:w="15" w:type="dxa"/>
                  </w:tcMar>
                  <w:vAlign w:val="center"/>
                </w:tcPr>
                <w:p w14:paraId="073F1DD0">
                  <w:pPr>
                    <w:jc w:val="center"/>
                    <w:rPr>
                      <w:rFonts w:cs="Arial"/>
                      <w:szCs w:val="24"/>
                    </w:rPr>
                  </w:pPr>
                  <w:r>
                    <w:rPr>
                      <w:rFonts w:hint="eastAsia" w:cs="Arial"/>
                      <w:szCs w:val="24"/>
                    </w:rPr>
                    <w:t>3×95 铜</w:t>
                  </w:r>
                </w:p>
              </w:tc>
              <w:tc>
                <w:tcPr>
                  <w:tcW w:w="595" w:type="dxa"/>
                  <w:tcMar>
                    <w:top w:w="15" w:type="dxa"/>
                    <w:left w:w="15" w:type="dxa"/>
                    <w:right w:w="15" w:type="dxa"/>
                  </w:tcMar>
                  <w:vAlign w:val="center"/>
                </w:tcPr>
                <w:p w14:paraId="3D390564">
                  <w:pPr>
                    <w:jc w:val="center"/>
                    <w:rPr>
                      <w:rFonts w:cs="Arial"/>
                      <w:szCs w:val="24"/>
                    </w:rPr>
                  </w:pPr>
                  <w:r>
                    <w:rPr>
                      <w:rFonts w:hint="eastAsia" w:cs="Arial"/>
                      <w:szCs w:val="24"/>
                    </w:rPr>
                    <w:t>套</w:t>
                  </w:r>
                </w:p>
              </w:tc>
              <w:tc>
                <w:tcPr>
                  <w:tcW w:w="610" w:type="dxa"/>
                  <w:tcMar>
                    <w:top w:w="15" w:type="dxa"/>
                    <w:left w:w="15" w:type="dxa"/>
                    <w:right w:w="15" w:type="dxa"/>
                  </w:tcMar>
                  <w:vAlign w:val="center"/>
                </w:tcPr>
                <w:p w14:paraId="3DE496BC">
                  <w:pPr>
                    <w:jc w:val="center"/>
                    <w:rPr>
                      <w:rFonts w:cs="Arial"/>
                      <w:szCs w:val="24"/>
                    </w:rPr>
                  </w:pPr>
                  <w:r>
                    <w:rPr>
                      <w:rFonts w:hint="eastAsia" w:cs="Arial"/>
                      <w:szCs w:val="24"/>
                    </w:rPr>
                    <w:t>2</w:t>
                  </w:r>
                </w:p>
              </w:tc>
            </w:tr>
            <w:tr w14:paraId="32A5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trPr>
              <w:tc>
                <w:tcPr>
                  <w:tcW w:w="704" w:type="dxa"/>
                  <w:tcMar>
                    <w:top w:w="15" w:type="dxa"/>
                    <w:left w:w="15" w:type="dxa"/>
                    <w:right w:w="15" w:type="dxa"/>
                  </w:tcMar>
                  <w:vAlign w:val="center"/>
                </w:tcPr>
                <w:p w14:paraId="04BB7434">
                  <w:pPr>
                    <w:jc w:val="center"/>
                    <w:rPr>
                      <w:rFonts w:cs="Arial"/>
                      <w:szCs w:val="24"/>
                    </w:rPr>
                  </w:pPr>
                  <w:r>
                    <w:rPr>
                      <w:rFonts w:hint="eastAsia" w:cs="Arial"/>
                      <w:szCs w:val="24"/>
                    </w:rPr>
                    <w:t>8</w:t>
                  </w:r>
                </w:p>
              </w:tc>
              <w:tc>
                <w:tcPr>
                  <w:tcW w:w="2552" w:type="dxa"/>
                  <w:tcMar>
                    <w:top w:w="15" w:type="dxa"/>
                    <w:left w:w="15" w:type="dxa"/>
                    <w:right w:w="15" w:type="dxa"/>
                  </w:tcMar>
                  <w:vAlign w:val="center"/>
                </w:tcPr>
                <w:p w14:paraId="53B064BE">
                  <w:pPr>
                    <w:jc w:val="center"/>
                    <w:rPr>
                      <w:rFonts w:cs="Arial"/>
                      <w:szCs w:val="24"/>
                    </w:rPr>
                  </w:pPr>
                  <w:r>
                    <w:rPr>
                      <w:rFonts w:hint="eastAsia" w:cs="Arial"/>
                      <w:szCs w:val="24"/>
                    </w:rPr>
                    <w:t>1kV电力电缆</w:t>
                  </w:r>
                </w:p>
              </w:tc>
              <w:tc>
                <w:tcPr>
                  <w:tcW w:w="3769" w:type="dxa"/>
                  <w:tcMar>
                    <w:top w:w="15" w:type="dxa"/>
                    <w:left w:w="15" w:type="dxa"/>
                    <w:right w:w="15" w:type="dxa"/>
                  </w:tcMar>
                  <w:vAlign w:val="center"/>
                </w:tcPr>
                <w:p w14:paraId="724F6122">
                  <w:pPr>
                    <w:jc w:val="center"/>
                    <w:rPr>
                      <w:rFonts w:cs="Arial"/>
                      <w:szCs w:val="24"/>
                    </w:rPr>
                  </w:pPr>
                  <w:r>
                    <w:rPr>
                      <w:rFonts w:hint="eastAsia" w:cs="Arial"/>
                      <w:szCs w:val="24"/>
                    </w:rPr>
                    <w:t>ZC-YJV22-0.6/1-3×185＋1×95</w:t>
                  </w:r>
                </w:p>
              </w:tc>
              <w:tc>
                <w:tcPr>
                  <w:tcW w:w="595" w:type="dxa"/>
                  <w:tcMar>
                    <w:top w:w="15" w:type="dxa"/>
                    <w:left w:w="15" w:type="dxa"/>
                    <w:right w:w="15" w:type="dxa"/>
                  </w:tcMar>
                  <w:vAlign w:val="center"/>
                </w:tcPr>
                <w:p w14:paraId="488BD3FD">
                  <w:pPr>
                    <w:jc w:val="center"/>
                    <w:rPr>
                      <w:rFonts w:cs="Arial"/>
                      <w:szCs w:val="24"/>
                    </w:rPr>
                  </w:pPr>
                  <w:r>
                    <w:rPr>
                      <w:rFonts w:hint="eastAsia" w:cs="Arial"/>
                      <w:szCs w:val="24"/>
                    </w:rPr>
                    <w:t>m</w:t>
                  </w:r>
                </w:p>
              </w:tc>
              <w:tc>
                <w:tcPr>
                  <w:tcW w:w="610" w:type="dxa"/>
                  <w:tcMar>
                    <w:top w:w="15" w:type="dxa"/>
                    <w:left w:w="15" w:type="dxa"/>
                    <w:right w:w="15" w:type="dxa"/>
                  </w:tcMar>
                  <w:vAlign w:val="center"/>
                </w:tcPr>
                <w:p w14:paraId="4271F9A9">
                  <w:pPr>
                    <w:jc w:val="center"/>
                    <w:rPr>
                      <w:rFonts w:cs="Arial"/>
                      <w:szCs w:val="24"/>
                    </w:rPr>
                  </w:pPr>
                  <w:r>
                    <w:rPr>
                      <w:rFonts w:hint="eastAsia" w:cs="Arial"/>
                      <w:szCs w:val="24"/>
                    </w:rPr>
                    <w:t>600</w:t>
                  </w:r>
                </w:p>
              </w:tc>
            </w:tr>
            <w:tr w14:paraId="7497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175D06B1">
                  <w:pPr>
                    <w:jc w:val="center"/>
                    <w:rPr>
                      <w:rFonts w:cs="Arial"/>
                      <w:szCs w:val="24"/>
                    </w:rPr>
                  </w:pPr>
                  <w:r>
                    <w:rPr>
                      <w:rFonts w:hint="eastAsia" w:cs="Arial"/>
                      <w:szCs w:val="24"/>
                    </w:rPr>
                    <w:t>9</w:t>
                  </w:r>
                </w:p>
              </w:tc>
              <w:tc>
                <w:tcPr>
                  <w:tcW w:w="2552" w:type="dxa"/>
                  <w:tcMar>
                    <w:top w:w="15" w:type="dxa"/>
                    <w:left w:w="15" w:type="dxa"/>
                    <w:right w:w="15" w:type="dxa"/>
                  </w:tcMar>
                  <w:vAlign w:val="center"/>
                </w:tcPr>
                <w:p w14:paraId="3301242C">
                  <w:pPr>
                    <w:jc w:val="center"/>
                    <w:rPr>
                      <w:rFonts w:cs="Arial"/>
                      <w:szCs w:val="24"/>
                    </w:rPr>
                  </w:pPr>
                  <w:r>
                    <w:rPr>
                      <w:rFonts w:hint="eastAsia" w:cs="Arial"/>
                      <w:szCs w:val="24"/>
                    </w:rPr>
                    <w:t>1kV电缆终端头</w:t>
                  </w:r>
                </w:p>
              </w:tc>
              <w:tc>
                <w:tcPr>
                  <w:tcW w:w="3769" w:type="dxa"/>
                  <w:tcMar>
                    <w:top w:w="15" w:type="dxa"/>
                    <w:left w:w="15" w:type="dxa"/>
                    <w:right w:w="15" w:type="dxa"/>
                  </w:tcMar>
                  <w:vAlign w:val="center"/>
                </w:tcPr>
                <w:p w14:paraId="0C35CC4E">
                  <w:pPr>
                    <w:jc w:val="center"/>
                    <w:rPr>
                      <w:rFonts w:cs="Arial"/>
                      <w:szCs w:val="24"/>
                    </w:rPr>
                  </w:pPr>
                  <w:r>
                    <w:rPr>
                      <w:rFonts w:hint="eastAsia" w:cs="Arial"/>
                      <w:szCs w:val="24"/>
                    </w:rPr>
                    <w:t>3×185＋1×95 铜</w:t>
                  </w:r>
                </w:p>
              </w:tc>
              <w:tc>
                <w:tcPr>
                  <w:tcW w:w="595" w:type="dxa"/>
                  <w:tcMar>
                    <w:top w:w="15" w:type="dxa"/>
                    <w:left w:w="15" w:type="dxa"/>
                    <w:right w:w="15" w:type="dxa"/>
                  </w:tcMar>
                  <w:vAlign w:val="center"/>
                </w:tcPr>
                <w:p w14:paraId="25197CCA">
                  <w:pPr>
                    <w:jc w:val="center"/>
                    <w:rPr>
                      <w:rFonts w:cs="Arial"/>
                      <w:szCs w:val="24"/>
                    </w:rPr>
                  </w:pPr>
                  <w:r>
                    <w:rPr>
                      <w:rFonts w:hint="eastAsia" w:cs="Arial"/>
                      <w:szCs w:val="24"/>
                    </w:rPr>
                    <w:t>套</w:t>
                  </w:r>
                </w:p>
              </w:tc>
              <w:tc>
                <w:tcPr>
                  <w:tcW w:w="610" w:type="dxa"/>
                  <w:tcMar>
                    <w:top w:w="15" w:type="dxa"/>
                    <w:left w:w="15" w:type="dxa"/>
                    <w:right w:w="15" w:type="dxa"/>
                  </w:tcMar>
                  <w:vAlign w:val="center"/>
                </w:tcPr>
                <w:p w14:paraId="19778B1C">
                  <w:pPr>
                    <w:jc w:val="center"/>
                    <w:rPr>
                      <w:rFonts w:cs="Arial"/>
                      <w:szCs w:val="24"/>
                    </w:rPr>
                  </w:pPr>
                  <w:r>
                    <w:rPr>
                      <w:rFonts w:hint="eastAsia" w:cs="Arial"/>
                      <w:szCs w:val="24"/>
                    </w:rPr>
                    <w:t>8</w:t>
                  </w:r>
                </w:p>
              </w:tc>
            </w:tr>
            <w:tr w14:paraId="6608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7FE3CAE0">
                  <w:pPr>
                    <w:jc w:val="center"/>
                    <w:rPr>
                      <w:rFonts w:cs="Arial"/>
                      <w:szCs w:val="24"/>
                    </w:rPr>
                  </w:pPr>
                  <w:r>
                    <w:rPr>
                      <w:rFonts w:hint="eastAsia" w:cs="Arial"/>
                      <w:szCs w:val="24"/>
                    </w:rPr>
                    <w:t>10</w:t>
                  </w:r>
                </w:p>
              </w:tc>
              <w:tc>
                <w:tcPr>
                  <w:tcW w:w="2552" w:type="dxa"/>
                  <w:tcMar>
                    <w:top w:w="15" w:type="dxa"/>
                    <w:left w:w="15" w:type="dxa"/>
                    <w:right w:w="15" w:type="dxa"/>
                  </w:tcMar>
                  <w:vAlign w:val="center"/>
                </w:tcPr>
                <w:p w14:paraId="2E4CB2AC">
                  <w:pPr>
                    <w:jc w:val="center"/>
                    <w:rPr>
                      <w:rFonts w:cs="Arial"/>
                      <w:szCs w:val="24"/>
                    </w:rPr>
                  </w:pPr>
                  <w:r>
                    <w:rPr>
                      <w:rFonts w:hint="eastAsia" w:cs="Arial"/>
                      <w:szCs w:val="24"/>
                    </w:rPr>
                    <w:t>所用电屏</w:t>
                  </w:r>
                </w:p>
              </w:tc>
              <w:tc>
                <w:tcPr>
                  <w:tcW w:w="3769" w:type="dxa"/>
                  <w:tcMar>
                    <w:top w:w="15" w:type="dxa"/>
                    <w:left w:w="15" w:type="dxa"/>
                    <w:right w:w="15" w:type="dxa"/>
                  </w:tcMar>
                  <w:vAlign w:val="center"/>
                </w:tcPr>
                <w:p w14:paraId="29A78B7A">
                  <w:pPr>
                    <w:jc w:val="center"/>
                    <w:rPr>
                      <w:rFonts w:cs="Arial"/>
                      <w:szCs w:val="24"/>
                    </w:rPr>
                  </w:pPr>
                  <w:r>
                    <w:rPr>
                      <w:rFonts w:hint="eastAsia" w:cs="Arial"/>
                      <w:szCs w:val="24"/>
                    </w:rPr>
                    <w:t>GCS</w:t>
                  </w:r>
                </w:p>
              </w:tc>
              <w:tc>
                <w:tcPr>
                  <w:tcW w:w="595" w:type="dxa"/>
                  <w:tcMar>
                    <w:top w:w="15" w:type="dxa"/>
                    <w:left w:w="15" w:type="dxa"/>
                    <w:right w:w="15" w:type="dxa"/>
                  </w:tcMar>
                  <w:vAlign w:val="center"/>
                </w:tcPr>
                <w:p w14:paraId="68CBCF9F">
                  <w:pPr>
                    <w:jc w:val="center"/>
                    <w:rPr>
                      <w:rFonts w:cs="Arial"/>
                      <w:szCs w:val="24"/>
                    </w:rPr>
                  </w:pPr>
                  <w:r>
                    <w:rPr>
                      <w:rFonts w:hint="eastAsia" w:cs="Arial"/>
                      <w:szCs w:val="24"/>
                    </w:rPr>
                    <w:t>面</w:t>
                  </w:r>
                </w:p>
              </w:tc>
              <w:tc>
                <w:tcPr>
                  <w:tcW w:w="610" w:type="dxa"/>
                  <w:tcMar>
                    <w:top w:w="15" w:type="dxa"/>
                    <w:left w:w="15" w:type="dxa"/>
                    <w:right w:w="15" w:type="dxa"/>
                  </w:tcMar>
                  <w:vAlign w:val="center"/>
                </w:tcPr>
                <w:p w14:paraId="186760F2">
                  <w:pPr>
                    <w:jc w:val="center"/>
                    <w:rPr>
                      <w:rFonts w:cs="Arial"/>
                      <w:szCs w:val="24"/>
                    </w:rPr>
                  </w:pPr>
                  <w:r>
                    <w:rPr>
                      <w:rFonts w:hint="eastAsia" w:cs="Arial"/>
                      <w:szCs w:val="24"/>
                    </w:rPr>
                    <w:t>6</w:t>
                  </w:r>
                </w:p>
              </w:tc>
            </w:tr>
            <w:tr w14:paraId="5997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330CE28B">
                  <w:pPr>
                    <w:jc w:val="center"/>
                    <w:rPr>
                      <w:rFonts w:cs="Arial"/>
                      <w:szCs w:val="24"/>
                    </w:rPr>
                  </w:pPr>
                  <w:r>
                    <w:rPr>
                      <w:rFonts w:hint="eastAsia" w:cs="Arial"/>
                      <w:szCs w:val="24"/>
                    </w:rPr>
                    <w:t>11</w:t>
                  </w:r>
                </w:p>
              </w:tc>
              <w:tc>
                <w:tcPr>
                  <w:tcW w:w="2552" w:type="dxa"/>
                  <w:tcMar>
                    <w:top w:w="15" w:type="dxa"/>
                    <w:left w:w="15" w:type="dxa"/>
                    <w:right w:w="15" w:type="dxa"/>
                  </w:tcMar>
                  <w:vAlign w:val="center"/>
                </w:tcPr>
                <w:p w14:paraId="52546766">
                  <w:pPr>
                    <w:jc w:val="center"/>
                    <w:rPr>
                      <w:rFonts w:cs="Arial"/>
                      <w:szCs w:val="24"/>
                    </w:rPr>
                  </w:pPr>
                  <w:r>
                    <w:rPr>
                      <w:rFonts w:hint="eastAsia" w:cs="Arial"/>
                      <w:szCs w:val="24"/>
                    </w:rPr>
                    <w:t>110kV配电装置动力配电箱</w:t>
                  </w:r>
                </w:p>
              </w:tc>
              <w:tc>
                <w:tcPr>
                  <w:tcW w:w="3769" w:type="dxa"/>
                  <w:tcMar>
                    <w:top w:w="15" w:type="dxa"/>
                    <w:left w:w="15" w:type="dxa"/>
                    <w:right w:w="15" w:type="dxa"/>
                  </w:tcMar>
                  <w:vAlign w:val="center"/>
                </w:tcPr>
                <w:p w14:paraId="51058FAB">
                  <w:pPr>
                    <w:jc w:val="center"/>
                    <w:rPr>
                      <w:rFonts w:cs="Arial"/>
                      <w:szCs w:val="24"/>
                    </w:rPr>
                  </w:pPr>
                  <w:r>
                    <w:rPr>
                      <w:rFonts w:hint="eastAsia" w:cs="Arial"/>
                      <w:szCs w:val="24"/>
                    </w:rPr>
                    <w:t>XLW-1-14（G）</w:t>
                  </w:r>
                </w:p>
              </w:tc>
              <w:tc>
                <w:tcPr>
                  <w:tcW w:w="595" w:type="dxa"/>
                  <w:tcMar>
                    <w:top w:w="15" w:type="dxa"/>
                    <w:left w:w="15" w:type="dxa"/>
                    <w:right w:w="15" w:type="dxa"/>
                  </w:tcMar>
                  <w:vAlign w:val="center"/>
                </w:tcPr>
                <w:p w14:paraId="1B6EAAA7">
                  <w:pPr>
                    <w:jc w:val="center"/>
                    <w:rPr>
                      <w:rFonts w:cs="Arial"/>
                      <w:szCs w:val="24"/>
                    </w:rPr>
                  </w:pPr>
                  <w:r>
                    <w:rPr>
                      <w:rFonts w:hint="eastAsia" w:cs="Arial"/>
                      <w:szCs w:val="24"/>
                    </w:rPr>
                    <w:t>只</w:t>
                  </w:r>
                </w:p>
              </w:tc>
              <w:tc>
                <w:tcPr>
                  <w:tcW w:w="610" w:type="dxa"/>
                  <w:tcMar>
                    <w:top w:w="15" w:type="dxa"/>
                    <w:left w:w="15" w:type="dxa"/>
                    <w:right w:w="15" w:type="dxa"/>
                  </w:tcMar>
                  <w:vAlign w:val="center"/>
                </w:tcPr>
                <w:p w14:paraId="345DA7A9">
                  <w:pPr>
                    <w:jc w:val="center"/>
                    <w:rPr>
                      <w:rFonts w:cs="Arial"/>
                      <w:szCs w:val="24"/>
                    </w:rPr>
                  </w:pPr>
                  <w:r>
                    <w:rPr>
                      <w:rFonts w:hint="eastAsia" w:cs="Arial"/>
                      <w:szCs w:val="24"/>
                    </w:rPr>
                    <w:t>1</w:t>
                  </w:r>
                </w:p>
              </w:tc>
            </w:tr>
            <w:tr w14:paraId="7CE9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7345CE13">
                  <w:pPr>
                    <w:jc w:val="center"/>
                    <w:rPr>
                      <w:rFonts w:cs="Arial"/>
                      <w:szCs w:val="24"/>
                    </w:rPr>
                  </w:pPr>
                  <w:r>
                    <w:rPr>
                      <w:rFonts w:hint="eastAsia" w:cs="Arial"/>
                      <w:szCs w:val="24"/>
                    </w:rPr>
                    <w:t>12</w:t>
                  </w:r>
                </w:p>
              </w:tc>
              <w:tc>
                <w:tcPr>
                  <w:tcW w:w="2552" w:type="dxa"/>
                  <w:tcMar>
                    <w:top w:w="15" w:type="dxa"/>
                    <w:left w:w="15" w:type="dxa"/>
                    <w:right w:w="15" w:type="dxa"/>
                  </w:tcMar>
                  <w:vAlign w:val="center"/>
                </w:tcPr>
                <w:p w14:paraId="439E932F">
                  <w:pPr>
                    <w:jc w:val="center"/>
                    <w:rPr>
                      <w:rFonts w:cs="Arial"/>
                      <w:szCs w:val="24"/>
                    </w:rPr>
                  </w:pPr>
                  <w:r>
                    <w:rPr>
                      <w:rFonts w:hint="eastAsia" w:cs="Arial"/>
                      <w:szCs w:val="24"/>
                    </w:rPr>
                    <w:t>35kV配电室动力配电箱</w:t>
                  </w:r>
                </w:p>
              </w:tc>
              <w:tc>
                <w:tcPr>
                  <w:tcW w:w="3769" w:type="dxa"/>
                  <w:tcMar>
                    <w:top w:w="15" w:type="dxa"/>
                    <w:left w:w="15" w:type="dxa"/>
                    <w:right w:w="15" w:type="dxa"/>
                  </w:tcMar>
                  <w:vAlign w:val="center"/>
                </w:tcPr>
                <w:p w14:paraId="34D844A7">
                  <w:pPr>
                    <w:jc w:val="center"/>
                    <w:rPr>
                      <w:rFonts w:cs="Arial"/>
                      <w:szCs w:val="24"/>
                    </w:rPr>
                  </w:pPr>
                  <w:r>
                    <w:rPr>
                      <w:rFonts w:hint="eastAsia" w:cs="Arial"/>
                      <w:szCs w:val="24"/>
                    </w:rPr>
                    <w:t>XL-1-14（G）</w:t>
                  </w:r>
                </w:p>
              </w:tc>
              <w:tc>
                <w:tcPr>
                  <w:tcW w:w="595" w:type="dxa"/>
                  <w:tcMar>
                    <w:top w:w="15" w:type="dxa"/>
                    <w:left w:w="15" w:type="dxa"/>
                    <w:right w:w="15" w:type="dxa"/>
                  </w:tcMar>
                  <w:vAlign w:val="center"/>
                </w:tcPr>
                <w:p w14:paraId="1D2BC9FE">
                  <w:pPr>
                    <w:jc w:val="center"/>
                    <w:rPr>
                      <w:rFonts w:cs="Arial"/>
                      <w:szCs w:val="24"/>
                    </w:rPr>
                  </w:pPr>
                  <w:r>
                    <w:rPr>
                      <w:rFonts w:hint="eastAsia" w:cs="Arial"/>
                      <w:szCs w:val="24"/>
                    </w:rPr>
                    <w:t>只</w:t>
                  </w:r>
                </w:p>
              </w:tc>
              <w:tc>
                <w:tcPr>
                  <w:tcW w:w="610" w:type="dxa"/>
                  <w:tcMar>
                    <w:top w:w="15" w:type="dxa"/>
                    <w:left w:w="15" w:type="dxa"/>
                    <w:right w:w="15" w:type="dxa"/>
                  </w:tcMar>
                  <w:vAlign w:val="center"/>
                </w:tcPr>
                <w:p w14:paraId="408B5B69">
                  <w:pPr>
                    <w:jc w:val="center"/>
                    <w:rPr>
                      <w:rFonts w:cs="Arial"/>
                      <w:szCs w:val="24"/>
                    </w:rPr>
                  </w:pPr>
                  <w:r>
                    <w:rPr>
                      <w:rFonts w:hint="eastAsia" w:cs="Arial"/>
                      <w:szCs w:val="24"/>
                    </w:rPr>
                    <w:t>1</w:t>
                  </w:r>
                </w:p>
              </w:tc>
            </w:tr>
            <w:tr w14:paraId="10F6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393B049A">
                  <w:pPr>
                    <w:jc w:val="center"/>
                    <w:rPr>
                      <w:rFonts w:cs="Arial"/>
                      <w:szCs w:val="24"/>
                    </w:rPr>
                  </w:pPr>
                  <w:r>
                    <w:rPr>
                      <w:rFonts w:hint="eastAsia" w:cs="Arial"/>
                      <w:szCs w:val="24"/>
                    </w:rPr>
                    <w:t>13</w:t>
                  </w:r>
                </w:p>
              </w:tc>
              <w:tc>
                <w:tcPr>
                  <w:tcW w:w="2552" w:type="dxa"/>
                  <w:tcMar>
                    <w:top w:w="15" w:type="dxa"/>
                    <w:left w:w="15" w:type="dxa"/>
                    <w:right w:w="15" w:type="dxa"/>
                  </w:tcMar>
                  <w:vAlign w:val="center"/>
                </w:tcPr>
                <w:p w14:paraId="06A44392">
                  <w:pPr>
                    <w:jc w:val="center"/>
                    <w:rPr>
                      <w:rFonts w:cs="Arial"/>
                      <w:szCs w:val="24"/>
                    </w:rPr>
                  </w:pPr>
                  <w:r>
                    <w:rPr>
                      <w:rFonts w:hint="eastAsia" w:cs="Arial"/>
                      <w:szCs w:val="24"/>
                    </w:rPr>
                    <w:t>主变检修配电箱</w:t>
                  </w:r>
                </w:p>
              </w:tc>
              <w:tc>
                <w:tcPr>
                  <w:tcW w:w="3769" w:type="dxa"/>
                  <w:tcMar>
                    <w:top w:w="15" w:type="dxa"/>
                    <w:left w:w="15" w:type="dxa"/>
                    <w:right w:w="15" w:type="dxa"/>
                  </w:tcMar>
                  <w:vAlign w:val="center"/>
                </w:tcPr>
                <w:p w14:paraId="6E26D4C5">
                  <w:pPr>
                    <w:jc w:val="center"/>
                    <w:rPr>
                      <w:rFonts w:cs="Arial"/>
                      <w:szCs w:val="24"/>
                    </w:rPr>
                  </w:pPr>
                  <w:r>
                    <w:rPr>
                      <w:rFonts w:hint="eastAsia" w:cs="Arial"/>
                      <w:szCs w:val="24"/>
                    </w:rPr>
                    <w:t>XLW-1-14（G）</w:t>
                  </w:r>
                </w:p>
              </w:tc>
              <w:tc>
                <w:tcPr>
                  <w:tcW w:w="595" w:type="dxa"/>
                  <w:tcMar>
                    <w:top w:w="15" w:type="dxa"/>
                    <w:left w:w="15" w:type="dxa"/>
                    <w:right w:w="15" w:type="dxa"/>
                  </w:tcMar>
                  <w:vAlign w:val="center"/>
                </w:tcPr>
                <w:p w14:paraId="67CC143A">
                  <w:pPr>
                    <w:jc w:val="center"/>
                    <w:rPr>
                      <w:rFonts w:cs="Arial"/>
                      <w:szCs w:val="24"/>
                    </w:rPr>
                  </w:pPr>
                  <w:r>
                    <w:rPr>
                      <w:rFonts w:hint="eastAsia" w:cs="Arial"/>
                      <w:szCs w:val="24"/>
                    </w:rPr>
                    <w:t>只</w:t>
                  </w:r>
                </w:p>
              </w:tc>
              <w:tc>
                <w:tcPr>
                  <w:tcW w:w="610" w:type="dxa"/>
                  <w:tcMar>
                    <w:top w:w="15" w:type="dxa"/>
                    <w:left w:w="15" w:type="dxa"/>
                    <w:right w:w="15" w:type="dxa"/>
                  </w:tcMar>
                  <w:vAlign w:val="center"/>
                </w:tcPr>
                <w:p w14:paraId="29C727A3">
                  <w:pPr>
                    <w:jc w:val="center"/>
                    <w:rPr>
                      <w:rFonts w:cs="Arial"/>
                      <w:szCs w:val="24"/>
                    </w:rPr>
                  </w:pPr>
                  <w:r>
                    <w:rPr>
                      <w:rFonts w:hint="eastAsia" w:cs="Arial"/>
                      <w:szCs w:val="24"/>
                    </w:rPr>
                    <w:t>1</w:t>
                  </w:r>
                </w:p>
              </w:tc>
            </w:tr>
            <w:tr w14:paraId="02B7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482CBE8C">
                  <w:pPr>
                    <w:jc w:val="center"/>
                    <w:rPr>
                      <w:rFonts w:cs="Arial"/>
                      <w:szCs w:val="24"/>
                    </w:rPr>
                  </w:pPr>
                  <w:r>
                    <w:rPr>
                      <w:rFonts w:hint="eastAsia" w:cs="Arial"/>
                      <w:szCs w:val="24"/>
                    </w:rPr>
                    <w:t>14</w:t>
                  </w:r>
                </w:p>
              </w:tc>
              <w:tc>
                <w:tcPr>
                  <w:tcW w:w="2552" w:type="dxa"/>
                  <w:tcMar>
                    <w:top w:w="15" w:type="dxa"/>
                    <w:left w:w="15" w:type="dxa"/>
                    <w:right w:w="15" w:type="dxa"/>
                  </w:tcMar>
                  <w:vAlign w:val="center"/>
                </w:tcPr>
                <w:p w14:paraId="71851036">
                  <w:pPr>
                    <w:jc w:val="center"/>
                    <w:rPr>
                      <w:rFonts w:cs="Arial"/>
                      <w:szCs w:val="24"/>
                    </w:rPr>
                  </w:pPr>
                  <w:r>
                    <w:rPr>
                      <w:rFonts w:hint="eastAsia" w:cs="Arial"/>
                      <w:szCs w:val="24"/>
                    </w:rPr>
                    <w:t>中控室动力配电箱</w:t>
                  </w:r>
                </w:p>
              </w:tc>
              <w:tc>
                <w:tcPr>
                  <w:tcW w:w="3769" w:type="dxa"/>
                  <w:tcMar>
                    <w:top w:w="15" w:type="dxa"/>
                    <w:left w:w="15" w:type="dxa"/>
                    <w:right w:w="15" w:type="dxa"/>
                  </w:tcMar>
                  <w:vAlign w:val="center"/>
                </w:tcPr>
                <w:p w14:paraId="77D30457">
                  <w:pPr>
                    <w:jc w:val="center"/>
                    <w:rPr>
                      <w:rFonts w:cs="Arial"/>
                      <w:szCs w:val="24"/>
                    </w:rPr>
                  </w:pPr>
                  <w:r>
                    <w:rPr>
                      <w:rFonts w:hint="eastAsia" w:cs="Arial"/>
                      <w:szCs w:val="24"/>
                    </w:rPr>
                    <w:t>XL-1-14（G）</w:t>
                  </w:r>
                </w:p>
              </w:tc>
              <w:tc>
                <w:tcPr>
                  <w:tcW w:w="595" w:type="dxa"/>
                  <w:tcMar>
                    <w:top w:w="15" w:type="dxa"/>
                    <w:left w:w="15" w:type="dxa"/>
                    <w:right w:w="15" w:type="dxa"/>
                  </w:tcMar>
                  <w:vAlign w:val="center"/>
                </w:tcPr>
                <w:p w14:paraId="0EEE5C26">
                  <w:pPr>
                    <w:jc w:val="center"/>
                    <w:rPr>
                      <w:rFonts w:cs="Arial"/>
                      <w:szCs w:val="24"/>
                    </w:rPr>
                  </w:pPr>
                  <w:r>
                    <w:rPr>
                      <w:rFonts w:hint="eastAsia" w:cs="Arial"/>
                      <w:szCs w:val="24"/>
                    </w:rPr>
                    <w:t>只</w:t>
                  </w:r>
                </w:p>
              </w:tc>
              <w:tc>
                <w:tcPr>
                  <w:tcW w:w="610" w:type="dxa"/>
                  <w:tcMar>
                    <w:top w:w="15" w:type="dxa"/>
                    <w:left w:w="15" w:type="dxa"/>
                    <w:right w:w="15" w:type="dxa"/>
                  </w:tcMar>
                  <w:vAlign w:val="center"/>
                </w:tcPr>
                <w:p w14:paraId="0DA38CFA">
                  <w:pPr>
                    <w:jc w:val="center"/>
                    <w:rPr>
                      <w:rFonts w:cs="Arial"/>
                      <w:szCs w:val="24"/>
                    </w:rPr>
                  </w:pPr>
                  <w:r>
                    <w:rPr>
                      <w:rFonts w:hint="eastAsia" w:cs="Arial"/>
                      <w:szCs w:val="24"/>
                    </w:rPr>
                    <w:t>1</w:t>
                  </w:r>
                </w:p>
              </w:tc>
            </w:tr>
            <w:tr w14:paraId="3CBE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704" w:type="dxa"/>
                  <w:tcMar>
                    <w:top w:w="15" w:type="dxa"/>
                    <w:left w:w="15" w:type="dxa"/>
                    <w:right w:w="15" w:type="dxa"/>
                  </w:tcMar>
                  <w:vAlign w:val="center"/>
                </w:tcPr>
                <w:p w14:paraId="4E605831">
                  <w:pPr>
                    <w:jc w:val="center"/>
                    <w:rPr>
                      <w:rFonts w:cs="Arial"/>
                      <w:szCs w:val="24"/>
                    </w:rPr>
                  </w:pPr>
                  <w:r>
                    <w:rPr>
                      <w:rFonts w:hint="eastAsia" w:cs="Arial"/>
                      <w:szCs w:val="24"/>
                    </w:rPr>
                    <w:t>15</w:t>
                  </w:r>
                </w:p>
              </w:tc>
              <w:tc>
                <w:tcPr>
                  <w:tcW w:w="2552" w:type="dxa"/>
                  <w:tcMar>
                    <w:top w:w="15" w:type="dxa"/>
                    <w:left w:w="15" w:type="dxa"/>
                    <w:right w:w="15" w:type="dxa"/>
                  </w:tcMar>
                  <w:vAlign w:val="center"/>
                </w:tcPr>
                <w:p w14:paraId="503B6C18">
                  <w:pPr>
                    <w:jc w:val="center"/>
                    <w:rPr>
                      <w:rFonts w:cs="Arial"/>
                      <w:szCs w:val="24"/>
                    </w:rPr>
                  </w:pPr>
                  <w:r>
                    <w:rPr>
                      <w:rFonts w:hint="eastAsia" w:cs="Arial"/>
                      <w:szCs w:val="24"/>
                    </w:rPr>
                    <w:t>保护屏室动力配电箱</w:t>
                  </w:r>
                </w:p>
              </w:tc>
              <w:tc>
                <w:tcPr>
                  <w:tcW w:w="3769" w:type="dxa"/>
                  <w:tcMar>
                    <w:top w:w="15" w:type="dxa"/>
                    <w:left w:w="15" w:type="dxa"/>
                    <w:right w:w="15" w:type="dxa"/>
                  </w:tcMar>
                  <w:vAlign w:val="center"/>
                </w:tcPr>
                <w:p w14:paraId="65F04D67">
                  <w:pPr>
                    <w:jc w:val="center"/>
                    <w:rPr>
                      <w:rFonts w:cs="Arial"/>
                      <w:szCs w:val="24"/>
                    </w:rPr>
                  </w:pPr>
                  <w:r>
                    <w:rPr>
                      <w:rFonts w:hint="eastAsia" w:cs="Arial"/>
                      <w:szCs w:val="24"/>
                    </w:rPr>
                    <w:t>XL-1-14（G）</w:t>
                  </w:r>
                </w:p>
              </w:tc>
              <w:tc>
                <w:tcPr>
                  <w:tcW w:w="595" w:type="dxa"/>
                  <w:tcMar>
                    <w:top w:w="15" w:type="dxa"/>
                    <w:left w:w="15" w:type="dxa"/>
                    <w:right w:w="15" w:type="dxa"/>
                  </w:tcMar>
                  <w:vAlign w:val="center"/>
                </w:tcPr>
                <w:p w14:paraId="498BF9FE">
                  <w:pPr>
                    <w:jc w:val="center"/>
                    <w:rPr>
                      <w:rFonts w:cs="Arial"/>
                      <w:szCs w:val="24"/>
                    </w:rPr>
                  </w:pPr>
                  <w:r>
                    <w:rPr>
                      <w:rFonts w:hint="eastAsia" w:cs="Arial"/>
                      <w:szCs w:val="24"/>
                    </w:rPr>
                    <w:t>只</w:t>
                  </w:r>
                </w:p>
              </w:tc>
              <w:tc>
                <w:tcPr>
                  <w:tcW w:w="610" w:type="dxa"/>
                  <w:tcMar>
                    <w:top w:w="15" w:type="dxa"/>
                    <w:left w:w="15" w:type="dxa"/>
                    <w:right w:w="15" w:type="dxa"/>
                  </w:tcMar>
                  <w:vAlign w:val="center"/>
                </w:tcPr>
                <w:p w14:paraId="42CD20DF">
                  <w:pPr>
                    <w:jc w:val="center"/>
                    <w:rPr>
                      <w:rFonts w:cs="Arial"/>
                      <w:szCs w:val="24"/>
                    </w:rPr>
                  </w:pPr>
                  <w:r>
                    <w:rPr>
                      <w:rFonts w:hint="eastAsia" w:cs="Arial"/>
                      <w:szCs w:val="24"/>
                    </w:rPr>
                    <w:t>1</w:t>
                  </w:r>
                </w:p>
              </w:tc>
            </w:tr>
            <w:tr w14:paraId="51D5C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723B3135">
                  <w:pPr>
                    <w:jc w:val="center"/>
                    <w:rPr>
                      <w:rFonts w:cs="Arial"/>
                      <w:szCs w:val="24"/>
                    </w:rPr>
                  </w:pPr>
                  <w:r>
                    <w:rPr>
                      <w:rFonts w:hint="eastAsia" w:cs="Arial"/>
                      <w:szCs w:val="24"/>
                    </w:rPr>
                    <w:t>16</w:t>
                  </w:r>
                </w:p>
              </w:tc>
              <w:tc>
                <w:tcPr>
                  <w:tcW w:w="2552" w:type="dxa"/>
                  <w:tcMar>
                    <w:top w:w="15" w:type="dxa"/>
                    <w:left w:w="15" w:type="dxa"/>
                    <w:right w:w="15" w:type="dxa"/>
                  </w:tcMar>
                  <w:vAlign w:val="center"/>
                </w:tcPr>
                <w:p w14:paraId="256AF11A">
                  <w:pPr>
                    <w:jc w:val="center"/>
                    <w:rPr>
                      <w:rFonts w:cs="Arial"/>
                      <w:szCs w:val="24"/>
                    </w:rPr>
                  </w:pPr>
                  <w:r>
                    <w:rPr>
                      <w:rFonts w:hint="eastAsia" w:cs="Arial"/>
                      <w:szCs w:val="24"/>
                    </w:rPr>
                    <w:t>SVG检修箱</w:t>
                  </w:r>
                </w:p>
              </w:tc>
              <w:tc>
                <w:tcPr>
                  <w:tcW w:w="3769" w:type="dxa"/>
                  <w:tcMar>
                    <w:top w:w="15" w:type="dxa"/>
                    <w:left w:w="15" w:type="dxa"/>
                    <w:right w:w="15" w:type="dxa"/>
                  </w:tcMar>
                  <w:vAlign w:val="center"/>
                </w:tcPr>
                <w:p w14:paraId="65D22E50">
                  <w:pPr>
                    <w:jc w:val="center"/>
                    <w:rPr>
                      <w:rFonts w:cs="Arial"/>
                      <w:szCs w:val="24"/>
                    </w:rPr>
                  </w:pPr>
                  <w:r>
                    <w:rPr>
                      <w:rFonts w:hint="eastAsia" w:cs="Arial"/>
                      <w:szCs w:val="24"/>
                    </w:rPr>
                    <w:t>XLW-1-14（G）</w:t>
                  </w:r>
                </w:p>
              </w:tc>
              <w:tc>
                <w:tcPr>
                  <w:tcW w:w="595" w:type="dxa"/>
                  <w:tcMar>
                    <w:top w:w="15" w:type="dxa"/>
                    <w:left w:w="15" w:type="dxa"/>
                    <w:right w:w="15" w:type="dxa"/>
                  </w:tcMar>
                  <w:vAlign w:val="center"/>
                </w:tcPr>
                <w:p w14:paraId="40034146">
                  <w:pPr>
                    <w:jc w:val="center"/>
                    <w:rPr>
                      <w:rFonts w:cs="Arial"/>
                      <w:szCs w:val="24"/>
                    </w:rPr>
                  </w:pPr>
                  <w:r>
                    <w:rPr>
                      <w:rFonts w:hint="eastAsia" w:cs="Arial"/>
                      <w:szCs w:val="24"/>
                    </w:rPr>
                    <w:t>只</w:t>
                  </w:r>
                </w:p>
              </w:tc>
              <w:tc>
                <w:tcPr>
                  <w:tcW w:w="610" w:type="dxa"/>
                  <w:tcMar>
                    <w:top w:w="15" w:type="dxa"/>
                    <w:left w:w="15" w:type="dxa"/>
                    <w:right w:w="15" w:type="dxa"/>
                  </w:tcMar>
                  <w:vAlign w:val="center"/>
                </w:tcPr>
                <w:p w14:paraId="6D3A9CFC">
                  <w:pPr>
                    <w:jc w:val="center"/>
                    <w:rPr>
                      <w:rFonts w:cs="Arial"/>
                      <w:szCs w:val="24"/>
                    </w:rPr>
                  </w:pPr>
                  <w:r>
                    <w:rPr>
                      <w:rFonts w:hint="eastAsia" w:cs="Arial"/>
                      <w:szCs w:val="24"/>
                    </w:rPr>
                    <w:t>1</w:t>
                  </w:r>
                </w:p>
              </w:tc>
            </w:tr>
            <w:tr w14:paraId="6372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62E245EA">
                  <w:pPr>
                    <w:jc w:val="center"/>
                    <w:rPr>
                      <w:rFonts w:cs="Arial"/>
                      <w:szCs w:val="24"/>
                    </w:rPr>
                  </w:pPr>
                  <w:r>
                    <w:rPr>
                      <w:rFonts w:hint="eastAsia" w:cs="Arial"/>
                      <w:szCs w:val="24"/>
                    </w:rPr>
                    <w:t>17</w:t>
                  </w:r>
                </w:p>
              </w:tc>
              <w:tc>
                <w:tcPr>
                  <w:tcW w:w="2552" w:type="dxa"/>
                  <w:tcMar>
                    <w:top w:w="15" w:type="dxa"/>
                    <w:left w:w="15" w:type="dxa"/>
                    <w:right w:w="15" w:type="dxa"/>
                  </w:tcMar>
                  <w:vAlign w:val="center"/>
                </w:tcPr>
                <w:p w14:paraId="7ED530CF">
                  <w:pPr>
                    <w:jc w:val="center"/>
                    <w:rPr>
                      <w:rFonts w:cs="Arial"/>
                      <w:szCs w:val="24"/>
                    </w:rPr>
                  </w:pPr>
                  <w:r>
                    <w:rPr>
                      <w:rFonts w:hint="eastAsia" w:cs="Arial"/>
                      <w:szCs w:val="24"/>
                    </w:rPr>
                    <w:t>主变动力配电箱</w:t>
                  </w:r>
                </w:p>
              </w:tc>
              <w:tc>
                <w:tcPr>
                  <w:tcW w:w="3769" w:type="dxa"/>
                  <w:tcMar>
                    <w:top w:w="15" w:type="dxa"/>
                    <w:left w:w="15" w:type="dxa"/>
                    <w:right w:w="15" w:type="dxa"/>
                  </w:tcMar>
                  <w:vAlign w:val="center"/>
                </w:tcPr>
                <w:p w14:paraId="627010D9">
                  <w:pPr>
                    <w:jc w:val="center"/>
                    <w:rPr>
                      <w:rFonts w:cs="Arial"/>
                      <w:szCs w:val="24"/>
                    </w:rPr>
                  </w:pPr>
                  <w:r>
                    <w:rPr>
                      <w:rFonts w:hint="eastAsia" w:cs="Arial"/>
                      <w:szCs w:val="24"/>
                    </w:rPr>
                    <w:t>XLW-1-14（G）</w:t>
                  </w:r>
                </w:p>
              </w:tc>
              <w:tc>
                <w:tcPr>
                  <w:tcW w:w="595" w:type="dxa"/>
                  <w:tcMar>
                    <w:top w:w="15" w:type="dxa"/>
                    <w:left w:w="15" w:type="dxa"/>
                    <w:right w:w="15" w:type="dxa"/>
                  </w:tcMar>
                  <w:vAlign w:val="center"/>
                </w:tcPr>
                <w:p w14:paraId="247576D0">
                  <w:pPr>
                    <w:jc w:val="center"/>
                    <w:rPr>
                      <w:rFonts w:cs="Arial"/>
                      <w:szCs w:val="24"/>
                    </w:rPr>
                  </w:pPr>
                  <w:r>
                    <w:rPr>
                      <w:rFonts w:hint="eastAsia" w:cs="Arial"/>
                      <w:szCs w:val="24"/>
                    </w:rPr>
                    <w:t>只</w:t>
                  </w:r>
                </w:p>
              </w:tc>
              <w:tc>
                <w:tcPr>
                  <w:tcW w:w="610" w:type="dxa"/>
                  <w:tcMar>
                    <w:top w:w="15" w:type="dxa"/>
                    <w:left w:w="15" w:type="dxa"/>
                    <w:right w:w="15" w:type="dxa"/>
                  </w:tcMar>
                  <w:vAlign w:val="center"/>
                </w:tcPr>
                <w:p w14:paraId="1274A5F5">
                  <w:pPr>
                    <w:jc w:val="center"/>
                    <w:rPr>
                      <w:rFonts w:cs="Arial"/>
                      <w:szCs w:val="24"/>
                    </w:rPr>
                  </w:pPr>
                  <w:r>
                    <w:rPr>
                      <w:rFonts w:hint="eastAsia" w:cs="Arial"/>
                      <w:szCs w:val="24"/>
                    </w:rPr>
                    <w:t>1</w:t>
                  </w:r>
                </w:p>
              </w:tc>
            </w:tr>
            <w:tr w14:paraId="34E1A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378DFE2C">
                  <w:pPr>
                    <w:jc w:val="center"/>
                    <w:rPr>
                      <w:rFonts w:cs="Arial"/>
                      <w:szCs w:val="24"/>
                    </w:rPr>
                  </w:pPr>
                  <w:r>
                    <w:rPr>
                      <w:rFonts w:hint="eastAsia" w:cs="Arial"/>
                      <w:szCs w:val="24"/>
                    </w:rPr>
                    <w:t>18</w:t>
                  </w:r>
                </w:p>
              </w:tc>
              <w:tc>
                <w:tcPr>
                  <w:tcW w:w="2552" w:type="dxa"/>
                  <w:tcMar>
                    <w:top w:w="15" w:type="dxa"/>
                    <w:left w:w="15" w:type="dxa"/>
                    <w:right w:w="15" w:type="dxa"/>
                  </w:tcMar>
                  <w:vAlign w:val="center"/>
                </w:tcPr>
                <w:p w14:paraId="09618A66">
                  <w:pPr>
                    <w:jc w:val="center"/>
                    <w:rPr>
                      <w:rFonts w:cs="Arial"/>
                      <w:szCs w:val="24"/>
                    </w:rPr>
                  </w:pPr>
                  <w:r>
                    <w:rPr>
                      <w:rFonts w:hint="eastAsia" w:cs="Arial"/>
                      <w:szCs w:val="24"/>
                    </w:rPr>
                    <w:t>110kV配电装置检修配电箱</w:t>
                  </w:r>
                </w:p>
              </w:tc>
              <w:tc>
                <w:tcPr>
                  <w:tcW w:w="3769" w:type="dxa"/>
                  <w:tcMar>
                    <w:top w:w="15" w:type="dxa"/>
                    <w:left w:w="15" w:type="dxa"/>
                    <w:right w:w="15" w:type="dxa"/>
                  </w:tcMar>
                  <w:vAlign w:val="center"/>
                </w:tcPr>
                <w:p w14:paraId="4090E836">
                  <w:pPr>
                    <w:jc w:val="center"/>
                    <w:rPr>
                      <w:rFonts w:cs="Arial"/>
                      <w:szCs w:val="24"/>
                    </w:rPr>
                  </w:pPr>
                  <w:r>
                    <w:rPr>
                      <w:rFonts w:hint="eastAsia" w:cs="Arial"/>
                      <w:szCs w:val="24"/>
                    </w:rPr>
                    <w:t>XLW-1-14（G）</w:t>
                  </w:r>
                </w:p>
              </w:tc>
              <w:tc>
                <w:tcPr>
                  <w:tcW w:w="595" w:type="dxa"/>
                  <w:tcMar>
                    <w:top w:w="15" w:type="dxa"/>
                    <w:left w:w="15" w:type="dxa"/>
                    <w:right w:w="15" w:type="dxa"/>
                  </w:tcMar>
                  <w:vAlign w:val="center"/>
                </w:tcPr>
                <w:p w14:paraId="6C4C9A6C">
                  <w:pPr>
                    <w:jc w:val="center"/>
                    <w:rPr>
                      <w:rFonts w:cs="Arial"/>
                      <w:szCs w:val="24"/>
                    </w:rPr>
                  </w:pPr>
                  <w:r>
                    <w:rPr>
                      <w:rFonts w:hint="eastAsia" w:cs="Arial"/>
                      <w:szCs w:val="24"/>
                    </w:rPr>
                    <w:t>只</w:t>
                  </w:r>
                </w:p>
              </w:tc>
              <w:tc>
                <w:tcPr>
                  <w:tcW w:w="610" w:type="dxa"/>
                  <w:tcMar>
                    <w:top w:w="15" w:type="dxa"/>
                    <w:left w:w="15" w:type="dxa"/>
                    <w:right w:w="15" w:type="dxa"/>
                  </w:tcMar>
                  <w:vAlign w:val="center"/>
                </w:tcPr>
                <w:p w14:paraId="72F7F9EA">
                  <w:pPr>
                    <w:jc w:val="center"/>
                    <w:rPr>
                      <w:rFonts w:cs="Arial"/>
                      <w:szCs w:val="24"/>
                    </w:rPr>
                  </w:pPr>
                  <w:r>
                    <w:rPr>
                      <w:rFonts w:hint="eastAsia" w:cs="Arial"/>
                      <w:szCs w:val="24"/>
                    </w:rPr>
                    <w:t>1</w:t>
                  </w:r>
                </w:p>
              </w:tc>
            </w:tr>
            <w:tr w14:paraId="1371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208F76D8">
                  <w:pPr>
                    <w:jc w:val="center"/>
                    <w:rPr>
                      <w:rFonts w:cs="Arial"/>
                      <w:szCs w:val="24"/>
                    </w:rPr>
                  </w:pPr>
                  <w:r>
                    <w:rPr>
                      <w:rFonts w:hint="eastAsia" w:cs="Arial"/>
                      <w:szCs w:val="24"/>
                    </w:rPr>
                    <w:t>（六）</w:t>
                  </w:r>
                </w:p>
              </w:tc>
              <w:tc>
                <w:tcPr>
                  <w:tcW w:w="2552" w:type="dxa"/>
                  <w:tcMar>
                    <w:top w:w="15" w:type="dxa"/>
                    <w:left w:w="15" w:type="dxa"/>
                    <w:right w:w="15" w:type="dxa"/>
                  </w:tcMar>
                  <w:vAlign w:val="center"/>
                </w:tcPr>
                <w:p w14:paraId="6CD6A3A0">
                  <w:pPr>
                    <w:jc w:val="center"/>
                    <w:rPr>
                      <w:rFonts w:cs="Arial"/>
                      <w:szCs w:val="24"/>
                    </w:rPr>
                  </w:pPr>
                  <w:r>
                    <w:rPr>
                      <w:rFonts w:hint="eastAsia" w:cs="Arial"/>
                      <w:szCs w:val="24"/>
                    </w:rPr>
                    <w:t>防雷及接地部分</w:t>
                  </w:r>
                </w:p>
              </w:tc>
              <w:tc>
                <w:tcPr>
                  <w:tcW w:w="3769" w:type="dxa"/>
                  <w:tcMar>
                    <w:top w:w="15" w:type="dxa"/>
                    <w:left w:w="15" w:type="dxa"/>
                    <w:right w:w="15" w:type="dxa"/>
                  </w:tcMar>
                  <w:vAlign w:val="center"/>
                </w:tcPr>
                <w:p w14:paraId="386DAF92">
                  <w:pPr>
                    <w:jc w:val="center"/>
                    <w:rPr>
                      <w:rFonts w:cs="Arial"/>
                      <w:szCs w:val="24"/>
                    </w:rPr>
                  </w:pPr>
                </w:p>
              </w:tc>
              <w:tc>
                <w:tcPr>
                  <w:tcW w:w="595" w:type="dxa"/>
                  <w:tcMar>
                    <w:top w:w="15" w:type="dxa"/>
                    <w:left w:w="15" w:type="dxa"/>
                    <w:right w:w="15" w:type="dxa"/>
                  </w:tcMar>
                  <w:vAlign w:val="center"/>
                </w:tcPr>
                <w:p w14:paraId="62B07A77">
                  <w:pPr>
                    <w:jc w:val="center"/>
                    <w:rPr>
                      <w:rFonts w:cs="Arial"/>
                      <w:szCs w:val="24"/>
                    </w:rPr>
                  </w:pPr>
                </w:p>
              </w:tc>
              <w:tc>
                <w:tcPr>
                  <w:tcW w:w="610" w:type="dxa"/>
                  <w:tcMar>
                    <w:top w:w="15" w:type="dxa"/>
                    <w:left w:w="15" w:type="dxa"/>
                    <w:right w:w="15" w:type="dxa"/>
                  </w:tcMar>
                  <w:vAlign w:val="center"/>
                </w:tcPr>
                <w:p w14:paraId="1D09C614">
                  <w:pPr>
                    <w:jc w:val="center"/>
                    <w:rPr>
                      <w:rFonts w:cs="Arial"/>
                      <w:szCs w:val="24"/>
                    </w:rPr>
                  </w:pPr>
                </w:p>
              </w:tc>
            </w:tr>
            <w:tr w14:paraId="38D1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056AF8A1">
                  <w:pPr>
                    <w:jc w:val="center"/>
                    <w:rPr>
                      <w:rFonts w:cs="Arial"/>
                      <w:szCs w:val="24"/>
                    </w:rPr>
                  </w:pPr>
                  <w:r>
                    <w:rPr>
                      <w:rFonts w:hint="eastAsia" w:cs="Arial"/>
                      <w:szCs w:val="24"/>
                    </w:rPr>
                    <w:t>1</w:t>
                  </w:r>
                </w:p>
              </w:tc>
              <w:tc>
                <w:tcPr>
                  <w:tcW w:w="2552" w:type="dxa"/>
                  <w:tcMar>
                    <w:top w:w="15" w:type="dxa"/>
                    <w:left w:w="15" w:type="dxa"/>
                    <w:right w:w="15" w:type="dxa"/>
                  </w:tcMar>
                  <w:vAlign w:val="center"/>
                </w:tcPr>
                <w:p w14:paraId="41AB9C0C">
                  <w:pPr>
                    <w:jc w:val="center"/>
                    <w:rPr>
                      <w:rFonts w:cs="Arial"/>
                      <w:szCs w:val="24"/>
                    </w:rPr>
                  </w:pPr>
                  <w:r>
                    <w:rPr>
                      <w:rFonts w:hint="eastAsia" w:cs="Arial"/>
                      <w:szCs w:val="24"/>
                    </w:rPr>
                    <w:t>独立避雷针</w:t>
                  </w:r>
                </w:p>
              </w:tc>
              <w:tc>
                <w:tcPr>
                  <w:tcW w:w="3769" w:type="dxa"/>
                  <w:tcMar>
                    <w:top w:w="15" w:type="dxa"/>
                    <w:left w:w="15" w:type="dxa"/>
                    <w:right w:w="15" w:type="dxa"/>
                  </w:tcMar>
                  <w:vAlign w:val="center"/>
                </w:tcPr>
                <w:p w14:paraId="43F8C107">
                  <w:pPr>
                    <w:jc w:val="center"/>
                    <w:rPr>
                      <w:rFonts w:cs="Arial"/>
                      <w:szCs w:val="24"/>
                    </w:rPr>
                  </w:pPr>
                  <w:r>
                    <w:rPr>
                      <w:rFonts w:hint="eastAsia" w:cs="Arial"/>
                      <w:szCs w:val="24"/>
                    </w:rPr>
                    <w:t>35m高独立避雷针</w:t>
                  </w:r>
                </w:p>
              </w:tc>
              <w:tc>
                <w:tcPr>
                  <w:tcW w:w="595" w:type="dxa"/>
                  <w:tcMar>
                    <w:top w:w="15" w:type="dxa"/>
                    <w:left w:w="15" w:type="dxa"/>
                    <w:right w:w="15" w:type="dxa"/>
                  </w:tcMar>
                  <w:vAlign w:val="center"/>
                </w:tcPr>
                <w:p w14:paraId="614A361C">
                  <w:pPr>
                    <w:jc w:val="center"/>
                    <w:rPr>
                      <w:rFonts w:cs="Arial"/>
                      <w:szCs w:val="24"/>
                    </w:rPr>
                  </w:pPr>
                  <w:r>
                    <w:rPr>
                      <w:rFonts w:hint="eastAsia" w:cs="Arial"/>
                      <w:szCs w:val="24"/>
                    </w:rPr>
                    <w:t>棵</w:t>
                  </w:r>
                </w:p>
              </w:tc>
              <w:tc>
                <w:tcPr>
                  <w:tcW w:w="610" w:type="dxa"/>
                  <w:tcMar>
                    <w:top w:w="15" w:type="dxa"/>
                    <w:left w:w="15" w:type="dxa"/>
                    <w:right w:w="15" w:type="dxa"/>
                  </w:tcMar>
                  <w:vAlign w:val="center"/>
                </w:tcPr>
                <w:p w14:paraId="4FBD543C">
                  <w:pPr>
                    <w:jc w:val="center"/>
                    <w:rPr>
                      <w:rFonts w:cs="Arial"/>
                      <w:szCs w:val="24"/>
                    </w:rPr>
                  </w:pPr>
                  <w:r>
                    <w:rPr>
                      <w:rFonts w:hint="eastAsia" w:cs="Arial"/>
                      <w:szCs w:val="24"/>
                    </w:rPr>
                    <w:t>2</w:t>
                  </w:r>
                </w:p>
              </w:tc>
            </w:tr>
            <w:tr w14:paraId="017F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271955AC">
                  <w:pPr>
                    <w:jc w:val="center"/>
                    <w:rPr>
                      <w:rFonts w:cs="Arial"/>
                      <w:szCs w:val="24"/>
                    </w:rPr>
                  </w:pPr>
                  <w:r>
                    <w:rPr>
                      <w:rFonts w:hint="eastAsia" w:cs="Arial"/>
                      <w:szCs w:val="24"/>
                    </w:rPr>
                    <w:t>2</w:t>
                  </w:r>
                </w:p>
              </w:tc>
              <w:tc>
                <w:tcPr>
                  <w:tcW w:w="2552" w:type="dxa"/>
                  <w:tcMar>
                    <w:top w:w="15" w:type="dxa"/>
                    <w:left w:w="15" w:type="dxa"/>
                    <w:right w:w="15" w:type="dxa"/>
                  </w:tcMar>
                  <w:vAlign w:val="center"/>
                </w:tcPr>
                <w:p w14:paraId="01BFA60F">
                  <w:pPr>
                    <w:jc w:val="center"/>
                    <w:rPr>
                      <w:rFonts w:cs="Arial"/>
                      <w:szCs w:val="24"/>
                    </w:rPr>
                  </w:pPr>
                  <w:r>
                    <w:rPr>
                      <w:rFonts w:hint="eastAsia" w:cs="Arial"/>
                      <w:szCs w:val="24"/>
                    </w:rPr>
                    <w:t>构架避雷针</w:t>
                  </w:r>
                </w:p>
              </w:tc>
              <w:tc>
                <w:tcPr>
                  <w:tcW w:w="3769" w:type="dxa"/>
                  <w:tcMar>
                    <w:top w:w="15" w:type="dxa"/>
                    <w:left w:w="15" w:type="dxa"/>
                    <w:right w:w="15" w:type="dxa"/>
                  </w:tcMar>
                  <w:vAlign w:val="center"/>
                </w:tcPr>
                <w:p w14:paraId="2FE2ED22">
                  <w:pPr>
                    <w:jc w:val="center"/>
                    <w:rPr>
                      <w:rFonts w:cs="Arial"/>
                      <w:szCs w:val="24"/>
                    </w:rPr>
                  </w:pPr>
                  <w:r>
                    <w:rPr>
                      <w:rFonts w:hint="eastAsia" w:cs="Arial"/>
                      <w:szCs w:val="24"/>
                    </w:rPr>
                    <w:t>35m高构架避雷针</w:t>
                  </w:r>
                </w:p>
              </w:tc>
              <w:tc>
                <w:tcPr>
                  <w:tcW w:w="595" w:type="dxa"/>
                  <w:tcMar>
                    <w:top w:w="15" w:type="dxa"/>
                    <w:left w:w="15" w:type="dxa"/>
                    <w:right w:w="15" w:type="dxa"/>
                  </w:tcMar>
                  <w:vAlign w:val="center"/>
                </w:tcPr>
                <w:p w14:paraId="52384D0D">
                  <w:pPr>
                    <w:jc w:val="center"/>
                    <w:rPr>
                      <w:rFonts w:cs="Arial"/>
                      <w:szCs w:val="24"/>
                    </w:rPr>
                  </w:pPr>
                  <w:r>
                    <w:rPr>
                      <w:rFonts w:hint="eastAsia" w:cs="Arial"/>
                      <w:szCs w:val="24"/>
                    </w:rPr>
                    <w:t>棵</w:t>
                  </w:r>
                </w:p>
              </w:tc>
              <w:tc>
                <w:tcPr>
                  <w:tcW w:w="610" w:type="dxa"/>
                  <w:tcMar>
                    <w:top w:w="15" w:type="dxa"/>
                    <w:left w:w="15" w:type="dxa"/>
                    <w:right w:w="15" w:type="dxa"/>
                  </w:tcMar>
                  <w:vAlign w:val="center"/>
                </w:tcPr>
                <w:p w14:paraId="09D91AF2">
                  <w:pPr>
                    <w:jc w:val="center"/>
                    <w:rPr>
                      <w:rFonts w:cs="Arial"/>
                      <w:szCs w:val="24"/>
                    </w:rPr>
                  </w:pPr>
                  <w:r>
                    <w:rPr>
                      <w:rFonts w:hint="eastAsia" w:cs="Arial"/>
                      <w:szCs w:val="24"/>
                    </w:rPr>
                    <w:t>1</w:t>
                  </w:r>
                </w:p>
              </w:tc>
            </w:tr>
            <w:tr w14:paraId="6AB1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7688823D">
                  <w:pPr>
                    <w:jc w:val="center"/>
                    <w:rPr>
                      <w:rFonts w:cs="Arial"/>
                      <w:szCs w:val="24"/>
                    </w:rPr>
                  </w:pPr>
                  <w:r>
                    <w:rPr>
                      <w:rFonts w:hint="eastAsia" w:cs="Arial"/>
                      <w:szCs w:val="24"/>
                    </w:rPr>
                    <w:t>3</w:t>
                  </w:r>
                </w:p>
              </w:tc>
              <w:tc>
                <w:tcPr>
                  <w:tcW w:w="2552" w:type="dxa"/>
                  <w:tcMar>
                    <w:top w:w="15" w:type="dxa"/>
                    <w:left w:w="15" w:type="dxa"/>
                    <w:right w:w="15" w:type="dxa"/>
                  </w:tcMar>
                  <w:vAlign w:val="center"/>
                </w:tcPr>
                <w:p w14:paraId="0AAFDD81">
                  <w:pPr>
                    <w:jc w:val="center"/>
                    <w:rPr>
                      <w:rFonts w:cs="Arial"/>
                      <w:szCs w:val="24"/>
                    </w:rPr>
                  </w:pPr>
                  <w:r>
                    <w:rPr>
                      <w:rFonts w:hint="eastAsia" w:cs="Arial"/>
                      <w:szCs w:val="24"/>
                    </w:rPr>
                    <w:t>镀锌扁铁</w:t>
                  </w:r>
                </w:p>
              </w:tc>
              <w:tc>
                <w:tcPr>
                  <w:tcW w:w="3769" w:type="dxa"/>
                  <w:tcMar>
                    <w:top w:w="15" w:type="dxa"/>
                    <w:left w:w="15" w:type="dxa"/>
                    <w:right w:w="15" w:type="dxa"/>
                  </w:tcMar>
                  <w:vAlign w:val="center"/>
                </w:tcPr>
                <w:p w14:paraId="167BFB8B">
                  <w:pPr>
                    <w:jc w:val="center"/>
                    <w:rPr>
                      <w:rFonts w:cs="Arial"/>
                      <w:szCs w:val="24"/>
                    </w:rPr>
                  </w:pPr>
                  <w:r>
                    <w:rPr>
                      <w:rFonts w:hint="eastAsia" w:cs="Arial"/>
                      <w:szCs w:val="24"/>
                    </w:rPr>
                    <w:t>60×6mm</w:t>
                  </w:r>
                </w:p>
              </w:tc>
              <w:tc>
                <w:tcPr>
                  <w:tcW w:w="595" w:type="dxa"/>
                  <w:tcMar>
                    <w:top w:w="15" w:type="dxa"/>
                    <w:left w:w="15" w:type="dxa"/>
                    <w:right w:w="15" w:type="dxa"/>
                  </w:tcMar>
                  <w:vAlign w:val="center"/>
                </w:tcPr>
                <w:p w14:paraId="6880FF1D">
                  <w:pPr>
                    <w:jc w:val="center"/>
                    <w:rPr>
                      <w:rFonts w:cs="Arial"/>
                      <w:szCs w:val="24"/>
                    </w:rPr>
                  </w:pPr>
                  <w:r>
                    <w:rPr>
                      <w:rFonts w:hint="eastAsia" w:cs="Arial"/>
                      <w:szCs w:val="24"/>
                    </w:rPr>
                    <w:t>km</w:t>
                  </w:r>
                </w:p>
              </w:tc>
              <w:tc>
                <w:tcPr>
                  <w:tcW w:w="610" w:type="dxa"/>
                  <w:tcMar>
                    <w:top w:w="15" w:type="dxa"/>
                    <w:left w:w="15" w:type="dxa"/>
                    <w:right w:w="15" w:type="dxa"/>
                  </w:tcMar>
                  <w:vAlign w:val="center"/>
                </w:tcPr>
                <w:p w14:paraId="3C9D0BC3">
                  <w:pPr>
                    <w:jc w:val="center"/>
                    <w:rPr>
                      <w:rFonts w:cs="Arial"/>
                      <w:szCs w:val="24"/>
                    </w:rPr>
                  </w:pPr>
                  <w:r>
                    <w:rPr>
                      <w:rFonts w:hint="eastAsia" w:cs="Arial"/>
                      <w:szCs w:val="24"/>
                    </w:rPr>
                    <w:t>3</w:t>
                  </w:r>
                </w:p>
              </w:tc>
            </w:tr>
            <w:tr w14:paraId="3123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76C201E4">
                  <w:pPr>
                    <w:jc w:val="center"/>
                    <w:rPr>
                      <w:rFonts w:cs="Arial"/>
                      <w:szCs w:val="24"/>
                    </w:rPr>
                  </w:pPr>
                  <w:r>
                    <w:rPr>
                      <w:rFonts w:hint="eastAsia" w:cs="Arial"/>
                      <w:szCs w:val="24"/>
                    </w:rPr>
                    <w:t>4</w:t>
                  </w:r>
                </w:p>
              </w:tc>
              <w:tc>
                <w:tcPr>
                  <w:tcW w:w="2552" w:type="dxa"/>
                  <w:tcMar>
                    <w:top w:w="15" w:type="dxa"/>
                    <w:left w:w="15" w:type="dxa"/>
                    <w:right w:w="15" w:type="dxa"/>
                  </w:tcMar>
                  <w:vAlign w:val="center"/>
                </w:tcPr>
                <w:p w14:paraId="5DB5C0C2">
                  <w:pPr>
                    <w:jc w:val="center"/>
                    <w:rPr>
                      <w:rFonts w:cs="Arial"/>
                      <w:szCs w:val="24"/>
                    </w:rPr>
                  </w:pPr>
                  <w:r>
                    <w:rPr>
                      <w:rFonts w:hint="eastAsia" w:cs="Arial"/>
                      <w:szCs w:val="24"/>
                    </w:rPr>
                    <w:t>镀锌角钢</w:t>
                  </w:r>
                </w:p>
              </w:tc>
              <w:tc>
                <w:tcPr>
                  <w:tcW w:w="3769" w:type="dxa"/>
                  <w:tcMar>
                    <w:top w:w="15" w:type="dxa"/>
                    <w:left w:w="15" w:type="dxa"/>
                    <w:right w:w="15" w:type="dxa"/>
                  </w:tcMar>
                  <w:vAlign w:val="center"/>
                </w:tcPr>
                <w:p w14:paraId="2954972D">
                  <w:pPr>
                    <w:jc w:val="center"/>
                    <w:rPr>
                      <w:rFonts w:cs="Arial"/>
                      <w:szCs w:val="24"/>
                    </w:rPr>
                  </w:pPr>
                  <w:r>
                    <w:rPr>
                      <w:rFonts w:hint="eastAsia" w:cs="Arial"/>
                      <w:szCs w:val="24"/>
                    </w:rPr>
                    <w:t>L50×50×5，L=2500</w:t>
                  </w:r>
                </w:p>
              </w:tc>
              <w:tc>
                <w:tcPr>
                  <w:tcW w:w="595" w:type="dxa"/>
                  <w:tcMar>
                    <w:top w:w="15" w:type="dxa"/>
                    <w:left w:w="15" w:type="dxa"/>
                    <w:right w:w="15" w:type="dxa"/>
                  </w:tcMar>
                  <w:vAlign w:val="center"/>
                </w:tcPr>
                <w:p w14:paraId="0193DEA5">
                  <w:pPr>
                    <w:jc w:val="center"/>
                    <w:rPr>
                      <w:rFonts w:cs="Arial"/>
                      <w:szCs w:val="24"/>
                    </w:rPr>
                  </w:pPr>
                  <w:r>
                    <w:rPr>
                      <w:rFonts w:hint="eastAsia" w:cs="Arial"/>
                      <w:szCs w:val="24"/>
                    </w:rPr>
                    <w:t>根</w:t>
                  </w:r>
                </w:p>
              </w:tc>
              <w:tc>
                <w:tcPr>
                  <w:tcW w:w="610" w:type="dxa"/>
                  <w:tcMar>
                    <w:top w:w="15" w:type="dxa"/>
                    <w:left w:w="15" w:type="dxa"/>
                    <w:right w:w="15" w:type="dxa"/>
                  </w:tcMar>
                  <w:vAlign w:val="center"/>
                </w:tcPr>
                <w:p w14:paraId="246F0E16">
                  <w:pPr>
                    <w:jc w:val="center"/>
                    <w:rPr>
                      <w:rFonts w:cs="Arial"/>
                      <w:szCs w:val="24"/>
                    </w:rPr>
                  </w:pPr>
                  <w:r>
                    <w:rPr>
                      <w:rFonts w:cs="Arial"/>
                      <w:szCs w:val="24"/>
                    </w:rPr>
                    <w:t>80</w:t>
                  </w:r>
                </w:p>
              </w:tc>
            </w:tr>
            <w:tr w14:paraId="28BD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6DF3E5BA">
                  <w:pPr>
                    <w:jc w:val="center"/>
                    <w:rPr>
                      <w:rFonts w:cs="Arial"/>
                      <w:szCs w:val="24"/>
                    </w:rPr>
                  </w:pPr>
                  <w:r>
                    <w:rPr>
                      <w:rFonts w:hint="eastAsia" w:cs="Arial"/>
                      <w:szCs w:val="24"/>
                    </w:rPr>
                    <w:t>5</w:t>
                  </w:r>
                </w:p>
              </w:tc>
              <w:tc>
                <w:tcPr>
                  <w:tcW w:w="2552" w:type="dxa"/>
                  <w:tcMar>
                    <w:top w:w="15" w:type="dxa"/>
                    <w:left w:w="15" w:type="dxa"/>
                    <w:right w:w="15" w:type="dxa"/>
                  </w:tcMar>
                  <w:vAlign w:val="center"/>
                </w:tcPr>
                <w:p w14:paraId="189B6E8D">
                  <w:pPr>
                    <w:jc w:val="center"/>
                    <w:rPr>
                      <w:rFonts w:cs="Arial"/>
                      <w:szCs w:val="24"/>
                    </w:rPr>
                  </w:pPr>
                  <w:r>
                    <w:rPr>
                      <w:rFonts w:hint="eastAsia" w:cs="Arial"/>
                      <w:szCs w:val="24"/>
                    </w:rPr>
                    <w:t>铜离子接地极</w:t>
                  </w:r>
                </w:p>
              </w:tc>
              <w:tc>
                <w:tcPr>
                  <w:tcW w:w="3769" w:type="dxa"/>
                  <w:tcMar>
                    <w:top w:w="15" w:type="dxa"/>
                    <w:left w:w="15" w:type="dxa"/>
                    <w:right w:w="15" w:type="dxa"/>
                  </w:tcMar>
                  <w:vAlign w:val="center"/>
                </w:tcPr>
                <w:p w14:paraId="63B29FE6">
                  <w:pPr>
                    <w:jc w:val="center"/>
                    <w:rPr>
                      <w:rFonts w:cs="Arial"/>
                      <w:szCs w:val="24"/>
                    </w:rPr>
                  </w:pPr>
                </w:p>
              </w:tc>
              <w:tc>
                <w:tcPr>
                  <w:tcW w:w="595" w:type="dxa"/>
                  <w:tcMar>
                    <w:top w:w="15" w:type="dxa"/>
                    <w:left w:w="15" w:type="dxa"/>
                    <w:right w:w="15" w:type="dxa"/>
                  </w:tcMar>
                  <w:vAlign w:val="center"/>
                </w:tcPr>
                <w:p w14:paraId="1CD3D2FD">
                  <w:pPr>
                    <w:jc w:val="center"/>
                    <w:rPr>
                      <w:rFonts w:cs="Arial"/>
                      <w:szCs w:val="24"/>
                    </w:rPr>
                  </w:pPr>
                  <w:r>
                    <w:rPr>
                      <w:rFonts w:hint="eastAsia" w:cs="Arial"/>
                      <w:szCs w:val="24"/>
                    </w:rPr>
                    <w:t>套</w:t>
                  </w:r>
                </w:p>
              </w:tc>
              <w:tc>
                <w:tcPr>
                  <w:tcW w:w="610" w:type="dxa"/>
                  <w:tcMar>
                    <w:top w:w="15" w:type="dxa"/>
                    <w:left w:w="15" w:type="dxa"/>
                    <w:right w:w="15" w:type="dxa"/>
                  </w:tcMar>
                  <w:vAlign w:val="center"/>
                </w:tcPr>
                <w:p w14:paraId="3F8A497A">
                  <w:pPr>
                    <w:jc w:val="center"/>
                    <w:rPr>
                      <w:rFonts w:cs="Arial"/>
                      <w:szCs w:val="24"/>
                    </w:rPr>
                  </w:pPr>
                  <w:r>
                    <w:rPr>
                      <w:rFonts w:hint="eastAsia" w:cs="Arial"/>
                      <w:szCs w:val="24"/>
                    </w:rPr>
                    <w:t>20</w:t>
                  </w:r>
                </w:p>
              </w:tc>
            </w:tr>
            <w:tr w14:paraId="4FB9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02BBDFAE">
                  <w:pPr>
                    <w:jc w:val="center"/>
                    <w:rPr>
                      <w:rFonts w:cs="Arial"/>
                      <w:szCs w:val="24"/>
                    </w:rPr>
                  </w:pPr>
                  <w:r>
                    <w:rPr>
                      <w:rFonts w:hint="eastAsia" w:cs="Arial"/>
                      <w:szCs w:val="24"/>
                    </w:rPr>
                    <w:t>（七）</w:t>
                  </w:r>
                </w:p>
              </w:tc>
              <w:tc>
                <w:tcPr>
                  <w:tcW w:w="2552" w:type="dxa"/>
                  <w:tcMar>
                    <w:top w:w="15" w:type="dxa"/>
                    <w:left w:w="15" w:type="dxa"/>
                    <w:right w:w="15" w:type="dxa"/>
                  </w:tcMar>
                  <w:vAlign w:val="center"/>
                </w:tcPr>
                <w:p w14:paraId="426A9D14">
                  <w:pPr>
                    <w:jc w:val="center"/>
                    <w:rPr>
                      <w:rFonts w:cs="Arial"/>
                      <w:szCs w:val="24"/>
                    </w:rPr>
                  </w:pPr>
                  <w:r>
                    <w:rPr>
                      <w:rFonts w:hint="eastAsia" w:cs="Arial"/>
                      <w:szCs w:val="24"/>
                    </w:rPr>
                    <w:t>照明部分</w:t>
                  </w:r>
                </w:p>
              </w:tc>
              <w:tc>
                <w:tcPr>
                  <w:tcW w:w="3769" w:type="dxa"/>
                  <w:tcMar>
                    <w:top w:w="15" w:type="dxa"/>
                    <w:left w:w="15" w:type="dxa"/>
                    <w:right w:w="15" w:type="dxa"/>
                  </w:tcMar>
                  <w:vAlign w:val="center"/>
                </w:tcPr>
                <w:p w14:paraId="531D9296">
                  <w:pPr>
                    <w:jc w:val="center"/>
                    <w:rPr>
                      <w:rFonts w:cs="Arial"/>
                      <w:szCs w:val="24"/>
                    </w:rPr>
                  </w:pPr>
                </w:p>
              </w:tc>
              <w:tc>
                <w:tcPr>
                  <w:tcW w:w="595" w:type="dxa"/>
                  <w:tcMar>
                    <w:top w:w="15" w:type="dxa"/>
                    <w:left w:w="15" w:type="dxa"/>
                    <w:right w:w="15" w:type="dxa"/>
                  </w:tcMar>
                  <w:vAlign w:val="center"/>
                </w:tcPr>
                <w:p w14:paraId="63023C66">
                  <w:pPr>
                    <w:jc w:val="center"/>
                    <w:rPr>
                      <w:rFonts w:cs="Arial"/>
                      <w:szCs w:val="24"/>
                    </w:rPr>
                  </w:pPr>
                </w:p>
              </w:tc>
              <w:tc>
                <w:tcPr>
                  <w:tcW w:w="610" w:type="dxa"/>
                  <w:tcMar>
                    <w:top w:w="15" w:type="dxa"/>
                    <w:left w:w="15" w:type="dxa"/>
                    <w:right w:w="15" w:type="dxa"/>
                  </w:tcMar>
                  <w:vAlign w:val="center"/>
                </w:tcPr>
                <w:p w14:paraId="719F7C4C">
                  <w:pPr>
                    <w:jc w:val="center"/>
                    <w:rPr>
                      <w:rFonts w:cs="Arial"/>
                      <w:szCs w:val="24"/>
                    </w:rPr>
                  </w:pPr>
                </w:p>
              </w:tc>
            </w:tr>
            <w:tr w14:paraId="3981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6AC7F549">
                  <w:pPr>
                    <w:jc w:val="center"/>
                    <w:rPr>
                      <w:rFonts w:cs="Arial"/>
                      <w:szCs w:val="24"/>
                    </w:rPr>
                  </w:pPr>
                  <w:r>
                    <w:rPr>
                      <w:rFonts w:hint="eastAsia" w:cs="Arial"/>
                      <w:szCs w:val="24"/>
                    </w:rPr>
                    <w:t>1</w:t>
                  </w:r>
                </w:p>
              </w:tc>
              <w:tc>
                <w:tcPr>
                  <w:tcW w:w="2552" w:type="dxa"/>
                  <w:tcMar>
                    <w:top w:w="15" w:type="dxa"/>
                    <w:left w:w="15" w:type="dxa"/>
                    <w:right w:w="15" w:type="dxa"/>
                  </w:tcMar>
                  <w:vAlign w:val="center"/>
                </w:tcPr>
                <w:p w14:paraId="409F0B70">
                  <w:pPr>
                    <w:jc w:val="center"/>
                    <w:rPr>
                      <w:rFonts w:cs="Arial"/>
                      <w:szCs w:val="24"/>
                    </w:rPr>
                  </w:pPr>
                  <w:r>
                    <w:rPr>
                      <w:rFonts w:hint="eastAsia" w:cs="Arial"/>
                      <w:szCs w:val="24"/>
                    </w:rPr>
                    <w:t>照明配电箱</w:t>
                  </w:r>
                </w:p>
              </w:tc>
              <w:tc>
                <w:tcPr>
                  <w:tcW w:w="3769" w:type="dxa"/>
                  <w:tcMar>
                    <w:top w:w="15" w:type="dxa"/>
                    <w:left w:w="15" w:type="dxa"/>
                    <w:right w:w="15" w:type="dxa"/>
                  </w:tcMar>
                  <w:vAlign w:val="center"/>
                </w:tcPr>
                <w:p w14:paraId="298C2B9D">
                  <w:pPr>
                    <w:jc w:val="center"/>
                    <w:rPr>
                      <w:rFonts w:cs="Arial"/>
                      <w:szCs w:val="24"/>
                    </w:rPr>
                  </w:pPr>
                </w:p>
              </w:tc>
              <w:tc>
                <w:tcPr>
                  <w:tcW w:w="595" w:type="dxa"/>
                  <w:tcMar>
                    <w:top w:w="15" w:type="dxa"/>
                    <w:left w:w="15" w:type="dxa"/>
                    <w:right w:w="15" w:type="dxa"/>
                  </w:tcMar>
                  <w:vAlign w:val="center"/>
                </w:tcPr>
                <w:p w14:paraId="7377E615">
                  <w:pPr>
                    <w:jc w:val="center"/>
                    <w:rPr>
                      <w:rFonts w:cs="Arial"/>
                      <w:szCs w:val="24"/>
                    </w:rPr>
                  </w:pPr>
                  <w:r>
                    <w:rPr>
                      <w:rFonts w:hint="eastAsia" w:cs="Arial"/>
                      <w:szCs w:val="24"/>
                    </w:rPr>
                    <w:t>只</w:t>
                  </w:r>
                </w:p>
              </w:tc>
              <w:tc>
                <w:tcPr>
                  <w:tcW w:w="610" w:type="dxa"/>
                  <w:tcMar>
                    <w:top w:w="15" w:type="dxa"/>
                    <w:left w:w="15" w:type="dxa"/>
                    <w:right w:w="15" w:type="dxa"/>
                  </w:tcMar>
                  <w:vAlign w:val="center"/>
                </w:tcPr>
                <w:p w14:paraId="7F709F2E">
                  <w:pPr>
                    <w:jc w:val="center"/>
                    <w:rPr>
                      <w:rFonts w:cs="Arial"/>
                      <w:szCs w:val="24"/>
                    </w:rPr>
                  </w:pPr>
                  <w:r>
                    <w:rPr>
                      <w:rFonts w:hint="eastAsia" w:cs="Arial"/>
                      <w:szCs w:val="24"/>
                    </w:rPr>
                    <w:t>10</w:t>
                  </w:r>
                </w:p>
              </w:tc>
            </w:tr>
            <w:tr w14:paraId="51EA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331BDBC4">
                  <w:pPr>
                    <w:jc w:val="center"/>
                    <w:rPr>
                      <w:rFonts w:cs="Arial"/>
                      <w:szCs w:val="24"/>
                    </w:rPr>
                  </w:pPr>
                  <w:r>
                    <w:rPr>
                      <w:rFonts w:hint="eastAsia" w:cs="Arial"/>
                      <w:szCs w:val="24"/>
                    </w:rPr>
                    <w:t>2</w:t>
                  </w:r>
                </w:p>
              </w:tc>
              <w:tc>
                <w:tcPr>
                  <w:tcW w:w="2552" w:type="dxa"/>
                  <w:tcMar>
                    <w:top w:w="15" w:type="dxa"/>
                    <w:left w:w="15" w:type="dxa"/>
                    <w:right w:w="15" w:type="dxa"/>
                  </w:tcMar>
                  <w:vAlign w:val="center"/>
                </w:tcPr>
                <w:p w14:paraId="520662FF">
                  <w:pPr>
                    <w:jc w:val="center"/>
                    <w:rPr>
                      <w:rFonts w:cs="Arial"/>
                      <w:szCs w:val="24"/>
                    </w:rPr>
                  </w:pPr>
                  <w:r>
                    <w:rPr>
                      <w:rFonts w:hint="eastAsia" w:cs="Arial"/>
                      <w:szCs w:val="24"/>
                    </w:rPr>
                    <w:t>灯具</w:t>
                  </w:r>
                </w:p>
              </w:tc>
              <w:tc>
                <w:tcPr>
                  <w:tcW w:w="3769" w:type="dxa"/>
                  <w:tcMar>
                    <w:top w:w="15" w:type="dxa"/>
                    <w:left w:w="15" w:type="dxa"/>
                    <w:right w:w="15" w:type="dxa"/>
                  </w:tcMar>
                  <w:vAlign w:val="center"/>
                </w:tcPr>
                <w:p w14:paraId="301A113A">
                  <w:pPr>
                    <w:jc w:val="center"/>
                    <w:rPr>
                      <w:rFonts w:cs="Arial"/>
                      <w:szCs w:val="24"/>
                    </w:rPr>
                  </w:pPr>
                </w:p>
              </w:tc>
              <w:tc>
                <w:tcPr>
                  <w:tcW w:w="595" w:type="dxa"/>
                  <w:tcMar>
                    <w:top w:w="15" w:type="dxa"/>
                    <w:left w:w="15" w:type="dxa"/>
                    <w:right w:w="15" w:type="dxa"/>
                  </w:tcMar>
                  <w:vAlign w:val="center"/>
                </w:tcPr>
                <w:p w14:paraId="550386F2">
                  <w:pPr>
                    <w:jc w:val="center"/>
                    <w:rPr>
                      <w:rFonts w:cs="Arial"/>
                      <w:szCs w:val="24"/>
                    </w:rPr>
                  </w:pPr>
                  <w:r>
                    <w:rPr>
                      <w:rFonts w:hint="eastAsia" w:cs="Arial"/>
                      <w:szCs w:val="24"/>
                    </w:rPr>
                    <w:t>套</w:t>
                  </w:r>
                </w:p>
              </w:tc>
              <w:tc>
                <w:tcPr>
                  <w:tcW w:w="610" w:type="dxa"/>
                  <w:tcMar>
                    <w:top w:w="15" w:type="dxa"/>
                    <w:left w:w="15" w:type="dxa"/>
                    <w:right w:w="15" w:type="dxa"/>
                  </w:tcMar>
                  <w:vAlign w:val="center"/>
                </w:tcPr>
                <w:p w14:paraId="4A7FF699">
                  <w:pPr>
                    <w:jc w:val="center"/>
                    <w:rPr>
                      <w:rFonts w:cs="Arial"/>
                      <w:szCs w:val="24"/>
                    </w:rPr>
                  </w:pPr>
                  <w:r>
                    <w:rPr>
                      <w:rFonts w:hint="eastAsia" w:cs="Arial"/>
                      <w:szCs w:val="24"/>
                    </w:rPr>
                    <w:t>100</w:t>
                  </w:r>
                </w:p>
              </w:tc>
            </w:tr>
            <w:tr w14:paraId="311B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257D1E13">
                  <w:pPr>
                    <w:jc w:val="center"/>
                    <w:rPr>
                      <w:rFonts w:cs="Arial"/>
                      <w:szCs w:val="24"/>
                    </w:rPr>
                  </w:pPr>
                  <w:r>
                    <w:rPr>
                      <w:rFonts w:hint="eastAsia" w:cs="Arial"/>
                      <w:szCs w:val="24"/>
                    </w:rPr>
                    <w:t>（八）</w:t>
                  </w:r>
                </w:p>
              </w:tc>
              <w:tc>
                <w:tcPr>
                  <w:tcW w:w="2552" w:type="dxa"/>
                  <w:tcMar>
                    <w:top w:w="15" w:type="dxa"/>
                    <w:left w:w="15" w:type="dxa"/>
                    <w:right w:w="15" w:type="dxa"/>
                  </w:tcMar>
                  <w:vAlign w:val="center"/>
                </w:tcPr>
                <w:p w14:paraId="368E0FF8">
                  <w:pPr>
                    <w:jc w:val="center"/>
                    <w:rPr>
                      <w:rFonts w:cs="Arial"/>
                      <w:szCs w:val="24"/>
                    </w:rPr>
                  </w:pPr>
                  <w:r>
                    <w:rPr>
                      <w:rFonts w:hint="eastAsia" w:cs="Arial"/>
                      <w:szCs w:val="24"/>
                    </w:rPr>
                    <w:t>暖通部分</w:t>
                  </w:r>
                </w:p>
              </w:tc>
              <w:tc>
                <w:tcPr>
                  <w:tcW w:w="3769" w:type="dxa"/>
                  <w:tcMar>
                    <w:top w:w="15" w:type="dxa"/>
                    <w:left w:w="15" w:type="dxa"/>
                    <w:right w:w="15" w:type="dxa"/>
                  </w:tcMar>
                  <w:vAlign w:val="center"/>
                </w:tcPr>
                <w:p w14:paraId="27556CB3">
                  <w:pPr>
                    <w:jc w:val="center"/>
                    <w:rPr>
                      <w:rFonts w:cs="Arial"/>
                      <w:szCs w:val="24"/>
                    </w:rPr>
                  </w:pPr>
                </w:p>
              </w:tc>
              <w:tc>
                <w:tcPr>
                  <w:tcW w:w="595" w:type="dxa"/>
                  <w:tcMar>
                    <w:top w:w="15" w:type="dxa"/>
                    <w:left w:w="15" w:type="dxa"/>
                    <w:right w:w="15" w:type="dxa"/>
                  </w:tcMar>
                  <w:vAlign w:val="center"/>
                </w:tcPr>
                <w:p w14:paraId="70048559">
                  <w:pPr>
                    <w:jc w:val="center"/>
                    <w:rPr>
                      <w:rFonts w:cs="Arial"/>
                      <w:szCs w:val="24"/>
                    </w:rPr>
                  </w:pPr>
                  <w:r>
                    <w:rPr>
                      <w:rFonts w:hint="eastAsia" w:cs="Arial"/>
                      <w:szCs w:val="24"/>
                    </w:rPr>
                    <w:t>套</w:t>
                  </w:r>
                </w:p>
              </w:tc>
              <w:tc>
                <w:tcPr>
                  <w:tcW w:w="610" w:type="dxa"/>
                  <w:tcMar>
                    <w:top w:w="15" w:type="dxa"/>
                    <w:left w:w="15" w:type="dxa"/>
                    <w:right w:w="15" w:type="dxa"/>
                  </w:tcMar>
                  <w:vAlign w:val="center"/>
                </w:tcPr>
                <w:p w14:paraId="29A0025A">
                  <w:pPr>
                    <w:jc w:val="center"/>
                    <w:rPr>
                      <w:rFonts w:cs="Arial"/>
                      <w:szCs w:val="24"/>
                    </w:rPr>
                  </w:pPr>
                  <w:r>
                    <w:rPr>
                      <w:rFonts w:hint="eastAsia" w:cs="Arial"/>
                      <w:szCs w:val="24"/>
                    </w:rPr>
                    <w:t>1</w:t>
                  </w:r>
                </w:p>
              </w:tc>
            </w:tr>
            <w:tr w14:paraId="34C0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15932F1D">
                  <w:pPr>
                    <w:jc w:val="center"/>
                    <w:rPr>
                      <w:rFonts w:cs="Arial"/>
                      <w:szCs w:val="24"/>
                    </w:rPr>
                  </w:pPr>
                  <w:r>
                    <w:rPr>
                      <w:rFonts w:hint="eastAsia" w:cs="Arial"/>
                      <w:szCs w:val="24"/>
                    </w:rPr>
                    <w:t>（九）</w:t>
                  </w:r>
                </w:p>
              </w:tc>
              <w:tc>
                <w:tcPr>
                  <w:tcW w:w="2552" w:type="dxa"/>
                  <w:tcMar>
                    <w:top w:w="15" w:type="dxa"/>
                    <w:left w:w="15" w:type="dxa"/>
                    <w:right w:w="15" w:type="dxa"/>
                  </w:tcMar>
                  <w:vAlign w:val="center"/>
                </w:tcPr>
                <w:p w14:paraId="36C6FEFF">
                  <w:pPr>
                    <w:jc w:val="center"/>
                    <w:rPr>
                      <w:rFonts w:cs="Arial"/>
                      <w:szCs w:val="24"/>
                    </w:rPr>
                  </w:pPr>
                  <w:r>
                    <w:rPr>
                      <w:rFonts w:hint="eastAsia" w:cs="Arial"/>
                      <w:szCs w:val="24"/>
                    </w:rPr>
                    <w:t>电缆标志桩</w:t>
                  </w:r>
                </w:p>
              </w:tc>
              <w:tc>
                <w:tcPr>
                  <w:tcW w:w="3769" w:type="dxa"/>
                  <w:tcMar>
                    <w:top w:w="15" w:type="dxa"/>
                    <w:left w:w="15" w:type="dxa"/>
                    <w:right w:w="15" w:type="dxa"/>
                  </w:tcMar>
                  <w:vAlign w:val="center"/>
                </w:tcPr>
                <w:p w14:paraId="3097C0B3">
                  <w:pPr>
                    <w:jc w:val="center"/>
                    <w:rPr>
                      <w:rFonts w:cs="Arial"/>
                      <w:szCs w:val="24"/>
                    </w:rPr>
                  </w:pPr>
                </w:p>
              </w:tc>
              <w:tc>
                <w:tcPr>
                  <w:tcW w:w="595" w:type="dxa"/>
                  <w:tcMar>
                    <w:top w:w="15" w:type="dxa"/>
                    <w:left w:w="15" w:type="dxa"/>
                    <w:right w:w="15" w:type="dxa"/>
                  </w:tcMar>
                  <w:vAlign w:val="center"/>
                </w:tcPr>
                <w:p w14:paraId="5B43EE78">
                  <w:pPr>
                    <w:jc w:val="center"/>
                    <w:rPr>
                      <w:rFonts w:cs="Arial"/>
                      <w:szCs w:val="24"/>
                    </w:rPr>
                  </w:pPr>
                  <w:r>
                    <w:rPr>
                      <w:rFonts w:hint="eastAsia" w:cs="Arial"/>
                      <w:szCs w:val="24"/>
                    </w:rPr>
                    <w:t>项</w:t>
                  </w:r>
                </w:p>
              </w:tc>
              <w:tc>
                <w:tcPr>
                  <w:tcW w:w="610" w:type="dxa"/>
                  <w:tcMar>
                    <w:top w:w="15" w:type="dxa"/>
                    <w:left w:w="15" w:type="dxa"/>
                    <w:right w:w="15" w:type="dxa"/>
                  </w:tcMar>
                  <w:vAlign w:val="center"/>
                </w:tcPr>
                <w:p w14:paraId="240079F9">
                  <w:pPr>
                    <w:jc w:val="center"/>
                    <w:rPr>
                      <w:rFonts w:cs="Arial"/>
                      <w:szCs w:val="24"/>
                    </w:rPr>
                  </w:pPr>
                  <w:r>
                    <w:rPr>
                      <w:rFonts w:hint="eastAsia" w:cs="Arial"/>
                      <w:szCs w:val="24"/>
                    </w:rPr>
                    <w:t>1</w:t>
                  </w:r>
                </w:p>
              </w:tc>
            </w:tr>
            <w:tr w14:paraId="616C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48ED1478">
                  <w:pPr>
                    <w:jc w:val="center"/>
                    <w:rPr>
                      <w:rFonts w:cs="Arial"/>
                      <w:szCs w:val="24"/>
                    </w:rPr>
                  </w:pPr>
                  <w:r>
                    <w:rPr>
                      <w:rFonts w:hint="eastAsia" w:cs="Arial"/>
                      <w:szCs w:val="24"/>
                    </w:rPr>
                    <w:t>（十）</w:t>
                  </w:r>
                </w:p>
              </w:tc>
              <w:tc>
                <w:tcPr>
                  <w:tcW w:w="2552" w:type="dxa"/>
                  <w:tcMar>
                    <w:top w:w="15" w:type="dxa"/>
                    <w:left w:w="15" w:type="dxa"/>
                    <w:right w:w="15" w:type="dxa"/>
                  </w:tcMar>
                  <w:vAlign w:val="center"/>
                </w:tcPr>
                <w:p w14:paraId="4440B274">
                  <w:pPr>
                    <w:jc w:val="center"/>
                    <w:rPr>
                      <w:rFonts w:cs="Arial"/>
                      <w:szCs w:val="24"/>
                    </w:rPr>
                  </w:pPr>
                  <w:r>
                    <w:rPr>
                      <w:rFonts w:hint="eastAsia" w:cs="Arial"/>
                      <w:szCs w:val="24"/>
                    </w:rPr>
                    <w:t>其它</w:t>
                  </w:r>
                </w:p>
              </w:tc>
              <w:tc>
                <w:tcPr>
                  <w:tcW w:w="3769" w:type="dxa"/>
                  <w:tcMar>
                    <w:top w:w="15" w:type="dxa"/>
                    <w:left w:w="15" w:type="dxa"/>
                    <w:right w:w="15" w:type="dxa"/>
                  </w:tcMar>
                  <w:vAlign w:val="center"/>
                </w:tcPr>
                <w:p w14:paraId="62149C7C">
                  <w:pPr>
                    <w:jc w:val="center"/>
                    <w:rPr>
                      <w:rFonts w:cs="Arial"/>
                      <w:szCs w:val="24"/>
                    </w:rPr>
                  </w:pPr>
                </w:p>
              </w:tc>
              <w:tc>
                <w:tcPr>
                  <w:tcW w:w="595" w:type="dxa"/>
                  <w:tcMar>
                    <w:top w:w="15" w:type="dxa"/>
                    <w:left w:w="15" w:type="dxa"/>
                    <w:right w:w="15" w:type="dxa"/>
                  </w:tcMar>
                  <w:vAlign w:val="center"/>
                </w:tcPr>
                <w:p w14:paraId="7CE87A44">
                  <w:pPr>
                    <w:jc w:val="center"/>
                    <w:rPr>
                      <w:rFonts w:cs="Arial"/>
                      <w:szCs w:val="24"/>
                    </w:rPr>
                  </w:pPr>
                </w:p>
              </w:tc>
              <w:tc>
                <w:tcPr>
                  <w:tcW w:w="610" w:type="dxa"/>
                  <w:tcMar>
                    <w:top w:w="15" w:type="dxa"/>
                    <w:left w:w="15" w:type="dxa"/>
                    <w:right w:w="15" w:type="dxa"/>
                  </w:tcMar>
                  <w:vAlign w:val="center"/>
                </w:tcPr>
                <w:p w14:paraId="0E5734CF">
                  <w:pPr>
                    <w:jc w:val="center"/>
                    <w:rPr>
                      <w:rFonts w:cs="Arial"/>
                      <w:szCs w:val="24"/>
                    </w:rPr>
                  </w:pPr>
                </w:p>
              </w:tc>
            </w:tr>
            <w:tr w14:paraId="072F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704" w:type="dxa"/>
                  <w:tcMar>
                    <w:top w:w="15" w:type="dxa"/>
                    <w:left w:w="15" w:type="dxa"/>
                    <w:right w:w="15" w:type="dxa"/>
                  </w:tcMar>
                  <w:vAlign w:val="center"/>
                </w:tcPr>
                <w:p w14:paraId="7808E156">
                  <w:pPr>
                    <w:jc w:val="center"/>
                    <w:rPr>
                      <w:rFonts w:cs="Arial"/>
                      <w:szCs w:val="24"/>
                    </w:rPr>
                  </w:pPr>
                  <w:r>
                    <w:rPr>
                      <w:rFonts w:cs="Arial"/>
                      <w:szCs w:val="24"/>
                    </w:rPr>
                    <w:t>1</w:t>
                  </w:r>
                </w:p>
              </w:tc>
              <w:tc>
                <w:tcPr>
                  <w:tcW w:w="2552" w:type="dxa"/>
                  <w:tcMar>
                    <w:top w:w="15" w:type="dxa"/>
                    <w:left w:w="15" w:type="dxa"/>
                    <w:right w:w="15" w:type="dxa"/>
                  </w:tcMar>
                  <w:vAlign w:val="center"/>
                </w:tcPr>
                <w:p w14:paraId="3AD1A81B">
                  <w:pPr>
                    <w:jc w:val="center"/>
                    <w:rPr>
                      <w:rFonts w:cs="Arial"/>
                      <w:szCs w:val="24"/>
                    </w:rPr>
                  </w:pPr>
                  <w:r>
                    <w:rPr>
                      <w:rFonts w:hint="eastAsia" w:cs="Arial"/>
                      <w:szCs w:val="24"/>
                    </w:rPr>
                    <w:t>防火封堵材料</w:t>
                  </w:r>
                </w:p>
              </w:tc>
              <w:tc>
                <w:tcPr>
                  <w:tcW w:w="3769" w:type="dxa"/>
                  <w:tcMar>
                    <w:top w:w="15" w:type="dxa"/>
                    <w:left w:w="15" w:type="dxa"/>
                    <w:right w:w="15" w:type="dxa"/>
                  </w:tcMar>
                  <w:vAlign w:val="center"/>
                </w:tcPr>
                <w:p w14:paraId="785D5C00">
                  <w:pPr>
                    <w:jc w:val="center"/>
                    <w:rPr>
                      <w:rFonts w:cs="Arial"/>
                      <w:szCs w:val="24"/>
                    </w:rPr>
                  </w:pPr>
                </w:p>
              </w:tc>
              <w:tc>
                <w:tcPr>
                  <w:tcW w:w="595" w:type="dxa"/>
                  <w:tcMar>
                    <w:top w:w="15" w:type="dxa"/>
                    <w:left w:w="15" w:type="dxa"/>
                    <w:right w:w="15" w:type="dxa"/>
                  </w:tcMar>
                  <w:vAlign w:val="center"/>
                </w:tcPr>
                <w:p w14:paraId="65D0AE15">
                  <w:pPr>
                    <w:jc w:val="center"/>
                    <w:rPr>
                      <w:rFonts w:cs="Arial"/>
                      <w:szCs w:val="24"/>
                    </w:rPr>
                  </w:pPr>
                  <w:r>
                    <w:rPr>
                      <w:rFonts w:hint="eastAsia" w:cs="Arial"/>
                      <w:szCs w:val="24"/>
                    </w:rPr>
                    <w:t>项</w:t>
                  </w:r>
                </w:p>
              </w:tc>
              <w:tc>
                <w:tcPr>
                  <w:tcW w:w="610" w:type="dxa"/>
                  <w:tcMar>
                    <w:top w:w="15" w:type="dxa"/>
                    <w:left w:w="15" w:type="dxa"/>
                    <w:right w:w="15" w:type="dxa"/>
                  </w:tcMar>
                  <w:vAlign w:val="center"/>
                </w:tcPr>
                <w:p w14:paraId="0C46BE46">
                  <w:pPr>
                    <w:jc w:val="center"/>
                    <w:rPr>
                      <w:rFonts w:cs="Arial"/>
                      <w:szCs w:val="24"/>
                    </w:rPr>
                  </w:pPr>
                  <w:r>
                    <w:rPr>
                      <w:rFonts w:hint="eastAsia" w:cs="Arial"/>
                      <w:szCs w:val="24"/>
                    </w:rPr>
                    <w:t>1</w:t>
                  </w:r>
                </w:p>
              </w:tc>
            </w:tr>
            <w:tr w14:paraId="1038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4D07DB24">
                  <w:pPr>
                    <w:jc w:val="center"/>
                    <w:rPr>
                      <w:rFonts w:cs="Arial"/>
                      <w:szCs w:val="24"/>
                    </w:rPr>
                  </w:pPr>
                  <w:r>
                    <w:rPr>
                      <w:rFonts w:cs="Arial"/>
                      <w:szCs w:val="24"/>
                    </w:rPr>
                    <w:t>2</w:t>
                  </w:r>
                </w:p>
              </w:tc>
              <w:tc>
                <w:tcPr>
                  <w:tcW w:w="2552" w:type="dxa"/>
                  <w:tcMar>
                    <w:top w:w="15" w:type="dxa"/>
                    <w:left w:w="15" w:type="dxa"/>
                    <w:right w:w="15" w:type="dxa"/>
                  </w:tcMar>
                  <w:vAlign w:val="center"/>
                </w:tcPr>
                <w:p w14:paraId="74BF81DA">
                  <w:pPr>
                    <w:jc w:val="center"/>
                    <w:rPr>
                      <w:rFonts w:cs="Arial"/>
                      <w:szCs w:val="24"/>
                    </w:rPr>
                  </w:pPr>
                  <w:r>
                    <w:rPr>
                      <w:rFonts w:hint="eastAsia" w:cs="Arial"/>
                      <w:szCs w:val="24"/>
                    </w:rPr>
                    <w:t>防锈漆</w:t>
                  </w:r>
                </w:p>
              </w:tc>
              <w:tc>
                <w:tcPr>
                  <w:tcW w:w="3769" w:type="dxa"/>
                  <w:tcMar>
                    <w:top w:w="15" w:type="dxa"/>
                    <w:left w:w="15" w:type="dxa"/>
                    <w:right w:w="15" w:type="dxa"/>
                  </w:tcMar>
                  <w:vAlign w:val="center"/>
                </w:tcPr>
                <w:p w14:paraId="41FC3B2A">
                  <w:pPr>
                    <w:jc w:val="center"/>
                    <w:rPr>
                      <w:rFonts w:cs="Arial"/>
                      <w:szCs w:val="24"/>
                    </w:rPr>
                  </w:pPr>
                </w:p>
              </w:tc>
              <w:tc>
                <w:tcPr>
                  <w:tcW w:w="595" w:type="dxa"/>
                  <w:tcMar>
                    <w:top w:w="15" w:type="dxa"/>
                    <w:left w:w="15" w:type="dxa"/>
                    <w:right w:w="15" w:type="dxa"/>
                  </w:tcMar>
                  <w:vAlign w:val="center"/>
                </w:tcPr>
                <w:p w14:paraId="6B5AEE69">
                  <w:pPr>
                    <w:jc w:val="center"/>
                    <w:rPr>
                      <w:rFonts w:cs="Arial"/>
                      <w:szCs w:val="24"/>
                    </w:rPr>
                  </w:pPr>
                  <w:r>
                    <w:rPr>
                      <w:rFonts w:hint="eastAsia" w:cs="Arial"/>
                      <w:szCs w:val="24"/>
                    </w:rPr>
                    <w:t>项</w:t>
                  </w:r>
                </w:p>
              </w:tc>
              <w:tc>
                <w:tcPr>
                  <w:tcW w:w="610" w:type="dxa"/>
                  <w:tcMar>
                    <w:top w:w="15" w:type="dxa"/>
                    <w:left w:w="15" w:type="dxa"/>
                    <w:right w:w="15" w:type="dxa"/>
                  </w:tcMar>
                  <w:vAlign w:val="center"/>
                </w:tcPr>
                <w:p w14:paraId="726C0FCC">
                  <w:pPr>
                    <w:jc w:val="center"/>
                    <w:rPr>
                      <w:rFonts w:cs="Arial"/>
                      <w:szCs w:val="24"/>
                    </w:rPr>
                  </w:pPr>
                  <w:r>
                    <w:rPr>
                      <w:rFonts w:hint="eastAsia" w:cs="Arial"/>
                      <w:szCs w:val="24"/>
                    </w:rPr>
                    <w:t>1</w:t>
                  </w:r>
                </w:p>
              </w:tc>
            </w:tr>
            <w:tr w14:paraId="0668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21609B56">
                  <w:pPr>
                    <w:jc w:val="center"/>
                    <w:rPr>
                      <w:rFonts w:cs="Arial"/>
                      <w:szCs w:val="24"/>
                    </w:rPr>
                  </w:pPr>
                  <w:r>
                    <w:rPr>
                      <w:rFonts w:hint="eastAsia" w:cs="Arial"/>
                      <w:szCs w:val="24"/>
                    </w:rPr>
                    <w:t>（十一）</w:t>
                  </w:r>
                </w:p>
              </w:tc>
              <w:tc>
                <w:tcPr>
                  <w:tcW w:w="2552" w:type="dxa"/>
                  <w:tcMar>
                    <w:top w:w="15" w:type="dxa"/>
                    <w:left w:w="15" w:type="dxa"/>
                    <w:right w:w="15" w:type="dxa"/>
                  </w:tcMar>
                  <w:vAlign w:val="center"/>
                </w:tcPr>
                <w:p w14:paraId="107FE5D5">
                  <w:pPr>
                    <w:jc w:val="center"/>
                    <w:rPr>
                      <w:rFonts w:cs="Arial"/>
                      <w:szCs w:val="24"/>
                    </w:rPr>
                  </w:pPr>
                  <w:r>
                    <w:rPr>
                      <w:rFonts w:hint="eastAsia" w:cs="Arial"/>
                      <w:szCs w:val="24"/>
                    </w:rPr>
                    <w:t>预制舱</w:t>
                  </w:r>
                </w:p>
              </w:tc>
              <w:tc>
                <w:tcPr>
                  <w:tcW w:w="3769" w:type="dxa"/>
                  <w:tcMar>
                    <w:top w:w="15" w:type="dxa"/>
                    <w:left w:w="15" w:type="dxa"/>
                    <w:right w:w="15" w:type="dxa"/>
                  </w:tcMar>
                  <w:vAlign w:val="center"/>
                </w:tcPr>
                <w:p w14:paraId="6A12E5FA">
                  <w:pPr>
                    <w:jc w:val="center"/>
                    <w:rPr>
                      <w:rFonts w:cs="Arial"/>
                      <w:szCs w:val="24"/>
                    </w:rPr>
                  </w:pPr>
                </w:p>
              </w:tc>
              <w:tc>
                <w:tcPr>
                  <w:tcW w:w="595" w:type="dxa"/>
                  <w:tcMar>
                    <w:top w:w="15" w:type="dxa"/>
                    <w:left w:w="15" w:type="dxa"/>
                    <w:right w:w="15" w:type="dxa"/>
                  </w:tcMar>
                  <w:vAlign w:val="center"/>
                </w:tcPr>
                <w:p w14:paraId="38DFE710">
                  <w:pPr>
                    <w:jc w:val="center"/>
                    <w:rPr>
                      <w:rFonts w:cs="Arial"/>
                      <w:szCs w:val="24"/>
                    </w:rPr>
                  </w:pPr>
                </w:p>
              </w:tc>
              <w:tc>
                <w:tcPr>
                  <w:tcW w:w="610" w:type="dxa"/>
                  <w:tcMar>
                    <w:top w:w="15" w:type="dxa"/>
                    <w:left w:w="15" w:type="dxa"/>
                    <w:right w:w="15" w:type="dxa"/>
                  </w:tcMar>
                  <w:vAlign w:val="center"/>
                </w:tcPr>
                <w:p w14:paraId="4EA3BB82">
                  <w:pPr>
                    <w:jc w:val="center"/>
                    <w:rPr>
                      <w:rFonts w:cs="Arial"/>
                      <w:szCs w:val="24"/>
                    </w:rPr>
                  </w:pPr>
                </w:p>
              </w:tc>
            </w:tr>
            <w:tr w14:paraId="1BDA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50D21F41">
                  <w:pPr>
                    <w:jc w:val="center"/>
                    <w:rPr>
                      <w:rFonts w:cs="Arial"/>
                      <w:szCs w:val="24"/>
                    </w:rPr>
                  </w:pPr>
                  <w:r>
                    <w:rPr>
                      <w:rFonts w:hint="eastAsia" w:cs="Arial"/>
                      <w:szCs w:val="24"/>
                    </w:rPr>
                    <w:t>1</w:t>
                  </w:r>
                </w:p>
              </w:tc>
              <w:tc>
                <w:tcPr>
                  <w:tcW w:w="2552" w:type="dxa"/>
                  <w:tcMar>
                    <w:top w:w="15" w:type="dxa"/>
                    <w:left w:w="15" w:type="dxa"/>
                    <w:right w:w="15" w:type="dxa"/>
                  </w:tcMar>
                  <w:vAlign w:val="center"/>
                </w:tcPr>
                <w:p w14:paraId="69222047">
                  <w:pPr>
                    <w:jc w:val="center"/>
                    <w:rPr>
                      <w:rFonts w:cs="Arial"/>
                      <w:szCs w:val="24"/>
                    </w:rPr>
                  </w:pPr>
                  <w:r>
                    <w:rPr>
                      <w:szCs w:val="24"/>
                    </w:rPr>
                    <w:t>一次设备预制舱及其附属设备</w:t>
                  </w:r>
                </w:p>
              </w:tc>
              <w:tc>
                <w:tcPr>
                  <w:tcW w:w="3769" w:type="dxa"/>
                  <w:tcMar>
                    <w:top w:w="15" w:type="dxa"/>
                    <w:left w:w="15" w:type="dxa"/>
                    <w:right w:w="15" w:type="dxa"/>
                  </w:tcMar>
                  <w:vAlign w:val="center"/>
                </w:tcPr>
                <w:p w14:paraId="5C55DCC8">
                  <w:pPr>
                    <w:jc w:val="center"/>
                    <w:rPr>
                      <w:rFonts w:cs="Arial"/>
                      <w:szCs w:val="24"/>
                    </w:rPr>
                  </w:pPr>
                  <w:r>
                    <w:rPr>
                      <w:szCs w:val="24"/>
                    </w:rPr>
                    <w:t>长×宽：</w:t>
                  </w:r>
                  <w:r>
                    <w:rPr>
                      <w:rFonts w:hint="eastAsia"/>
                      <w:szCs w:val="24"/>
                    </w:rPr>
                    <w:t>23.9</w:t>
                  </w:r>
                  <w:r>
                    <w:rPr>
                      <w:szCs w:val="24"/>
                    </w:rPr>
                    <w:t>m</w:t>
                  </w:r>
                  <w:r>
                    <w:rPr>
                      <w:rFonts w:hint="eastAsia"/>
                      <w:szCs w:val="24"/>
                    </w:rPr>
                    <w:t>×6.5</w:t>
                  </w:r>
                  <w:r>
                    <w:rPr>
                      <w:szCs w:val="24"/>
                    </w:rPr>
                    <w:t>m；防护等级不低于IP54</w:t>
                  </w:r>
                  <w:r>
                    <w:rPr>
                      <w:rFonts w:hint="eastAsia"/>
                      <w:szCs w:val="24"/>
                    </w:rPr>
                    <w:t>，</w:t>
                  </w:r>
                  <w:r>
                    <w:rPr>
                      <w:szCs w:val="24"/>
                    </w:rPr>
                    <w:t>含绝缘垫、一、二次接地网、电缆槽盒及其空调、通风、消防、火灾报警、环境监测等满足工程需要的附属设备</w:t>
                  </w:r>
                </w:p>
              </w:tc>
              <w:tc>
                <w:tcPr>
                  <w:tcW w:w="595" w:type="dxa"/>
                  <w:tcMar>
                    <w:top w:w="15" w:type="dxa"/>
                    <w:left w:w="15" w:type="dxa"/>
                    <w:right w:w="15" w:type="dxa"/>
                  </w:tcMar>
                  <w:vAlign w:val="center"/>
                </w:tcPr>
                <w:p w14:paraId="6E4AD088">
                  <w:pPr>
                    <w:jc w:val="center"/>
                    <w:rPr>
                      <w:rFonts w:cs="Arial"/>
                      <w:szCs w:val="24"/>
                    </w:rPr>
                  </w:pPr>
                  <w:r>
                    <w:rPr>
                      <w:rFonts w:hint="eastAsia" w:cs="Arial"/>
                      <w:szCs w:val="24"/>
                    </w:rPr>
                    <w:t>套</w:t>
                  </w:r>
                </w:p>
              </w:tc>
              <w:tc>
                <w:tcPr>
                  <w:tcW w:w="610" w:type="dxa"/>
                  <w:tcMar>
                    <w:top w:w="15" w:type="dxa"/>
                    <w:left w:w="15" w:type="dxa"/>
                    <w:right w:w="15" w:type="dxa"/>
                  </w:tcMar>
                  <w:vAlign w:val="center"/>
                </w:tcPr>
                <w:p w14:paraId="6103275B">
                  <w:pPr>
                    <w:jc w:val="center"/>
                    <w:rPr>
                      <w:rFonts w:cs="Arial"/>
                      <w:szCs w:val="24"/>
                    </w:rPr>
                  </w:pPr>
                  <w:r>
                    <w:rPr>
                      <w:rFonts w:hint="eastAsia" w:cs="Arial"/>
                      <w:szCs w:val="24"/>
                    </w:rPr>
                    <w:t>1</w:t>
                  </w:r>
                </w:p>
              </w:tc>
            </w:tr>
            <w:tr w14:paraId="5184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04" w:type="dxa"/>
                  <w:tcMar>
                    <w:top w:w="15" w:type="dxa"/>
                    <w:left w:w="15" w:type="dxa"/>
                    <w:right w:w="15" w:type="dxa"/>
                  </w:tcMar>
                  <w:vAlign w:val="center"/>
                </w:tcPr>
                <w:p w14:paraId="1B18F85F">
                  <w:pPr>
                    <w:jc w:val="center"/>
                    <w:rPr>
                      <w:rFonts w:cs="Arial"/>
                      <w:szCs w:val="24"/>
                    </w:rPr>
                  </w:pPr>
                  <w:r>
                    <w:rPr>
                      <w:rFonts w:hint="eastAsia" w:cs="Arial"/>
                      <w:szCs w:val="24"/>
                    </w:rPr>
                    <w:t>2</w:t>
                  </w:r>
                </w:p>
              </w:tc>
              <w:tc>
                <w:tcPr>
                  <w:tcW w:w="2552" w:type="dxa"/>
                  <w:tcMar>
                    <w:top w:w="15" w:type="dxa"/>
                    <w:left w:w="15" w:type="dxa"/>
                    <w:right w:w="15" w:type="dxa"/>
                  </w:tcMar>
                  <w:vAlign w:val="center"/>
                </w:tcPr>
                <w:p w14:paraId="18D50E0E">
                  <w:pPr>
                    <w:jc w:val="center"/>
                    <w:rPr>
                      <w:szCs w:val="24"/>
                    </w:rPr>
                  </w:pPr>
                  <w:r>
                    <w:rPr>
                      <w:rFonts w:hint="eastAsia"/>
                      <w:szCs w:val="24"/>
                    </w:rPr>
                    <w:t>二次设备预制舱及其附属设备</w:t>
                  </w:r>
                </w:p>
              </w:tc>
              <w:tc>
                <w:tcPr>
                  <w:tcW w:w="3769" w:type="dxa"/>
                  <w:tcMar>
                    <w:top w:w="15" w:type="dxa"/>
                    <w:left w:w="15" w:type="dxa"/>
                    <w:right w:w="15" w:type="dxa"/>
                  </w:tcMar>
                  <w:vAlign w:val="center"/>
                </w:tcPr>
                <w:p w14:paraId="5B355934">
                  <w:pPr>
                    <w:jc w:val="center"/>
                    <w:rPr>
                      <w:szCs w:val="24"/>
                    </w:rPr>
                  </w:pPr>
                  <w:r>
                    <w:rPr>
                      <w:rFonts w:hint="eastAsia"/>
                      <w:szCs w:val="24"/>
                    </w:rPr>
                    <w:t>长×宽：23.9</w:t>
                  </w:r>
                  <w:r>
                    <w:rPr>
                      <w:szCs w:val="24"/>
                    </w:rPr>
                    <w:t>m</w:t>
                  </w:r>
                  <w:r>
                    <w:rPr>
                      <w:rFonts w:hint="eastAsia"/>
                      <w:szCs w:val="24"/>
                    </w:rPr>
                    <w:t>×6.5</w:t>
                  </w:r>
                  <w:r>
                    <w:rPr>
                      <w:szCs w:val="24"/>
                    </w:rPr>
                    <w:t>m</w:t>
                  </w:r>
                  <w:r>
                    <w:rPr>
                      <w:rFonts w:hint="eastAsia"/>
                      <w:szCs w:val="24"/>
                    </w:rPr>
                    <w:t>；防护等级不低于</w:t>
                  </w:r>
                  <w:r>
                    <w:rPr>
                      <w:szCs w:val="24"/>
                    </w:rPr>
                    <w:t>IP54</w:t>
                  </w:r>
                  <w:r>
                    <w:rPr>
                      <w:rFonts w:hint="eastAsia"/>
                      <w:szCs w:val="24"/>
                    </w:rPr>
                    <w:t>，含绝缘垫、一、二次接地网、电缆槽盒及其空调、通风、消防、火灾报警、环境监测等满足工程需要的附属设备</w:t>
                  </w:r>
                </w:p>
              </w:tc>
              <w:tc>
                <w:tcPr>
                  <w:tcW w:w="595" w:type="dxa"/>
                  <w:tcMar>
                    <w:top w:w="15" w:type="dxa"/>
                    <w:left w:w="15" w:type="dxa"/>
                    <w:right w:w="15" w:type="dxa"/>
                  </w:tcMar>
                  <w:vAlign w:val="center"/>
                </w:tcPr>
                <w:p w14:paraId="5320A77C">
                  <w:pPr>
                    <w:jc w:val="center"/>
                    <w:rPr>
                      <w:rFonts w:cs="Arial"/>
                      <w:szCs w:val="24"/>
                    </w:rPr>
                  </w:pPr>
                  <w:r>
                    <w:rPr>
                      <w:rFonts w:hint="eastAsia" w:cs="Arial"/>
                      <w:szCs w:val="24"/>
                    </w:rPr>
                    <w:t>套</w:t>
                  </w:r>
                </w:p>
              </w:tc>
              <w:tc>
                <w:tcPr>
                  <w:tcW w:w="610" w:type="dxa"/>
                  <w:tcMar>
                    <w:top w:w="15" w:type="dxa"/>
                    <w:left w:w="15" w:type="dxa"/>
                    <w:right w:w="15" w:type="dxa"/>
                  </w:tcMar>
                  <w:vAlign w:val="center"/>
                </w:tcPr>
                <w:p w14:paraId="2087915A">
                  <w:pPr>
                    <w:jc w:val="center"/>
                    <w:rPr>
                      <w:rFonts w:cs="Arial"/>
                      <w:szCs w:val="24"/>
                    </w:rPr>
                  </w:pPr>
                  <w:r>
                    <w:rPr>
                      <w:rFonts w:hint="eastAsia" w:cs="Arial"/>
                      <w:szCs w:val="24"/>
                    </w:rPr>
                    <w:t>1</w:t>
                  </w:r>
                </w:p>
              </w:tc>
            </w:tr>
          </w:tbl>
          <w:p w14:paraId="77BEB36A">
            <w:pPr>
              <w:pStyle w:val="112"/>
              <w:adjustRightInd/>
              <w:snapToGrid/>
              <w:spacing w:line="360" w:lineRule="auto"/>
              <w:ind w:firstLine="480" w:firstLineChars="200"/>
              <w:rPr>
                <w:rFonts w:ascii="Times New Roman"/>
                <w:snapToGrid/>
                <w:spacing w:val="0"/>
                <w:sz w:val="24"/>
              </w:rPr>
            </w:pPr>
            <w:r>
              <w:rPr>
                <w:rFonts w:hint="eastAsia" w:ascii="Times New Roman"/>
                <w:snapToGrid/>
                <w:spacing w:val="0"/>
                <w:sz w:val="24"/>
              </w:rPr>
              <w:t>（1）光伏组件典型参数</w:t>
            </w:r>
          </w:p>
          <w:p w14:paraId="4906B1E4">
            <w:pPr>
              <w:pStyle w:val="112"/>
              <w:adjustRightInd/>
              <w:snapToGrid/>
              <w:spacing w:line="360" w:lineRule="auto"/>
              <w:ind w:firstLine="480" w:firstLineChars="200"/>
              <w:rPr>
                <w:rFonts w:ascii="Times New Roman"/>
                <w:snapToGrid/>
                <w:spacing w:val="0"/>
                <w:sz w:val="24"/>
              </w:rPr>
            </w:pPr>
            <w:r>
              <w:rPr>
                <w:rFonts w:hint="eastAsia" w:ascii="Times New Roman"/>
                <w:snapToGrid/>
                <w:spacing w:val="0"/>
                <w:sz w:val="24"/>
              </w:rPr>
              <w:t>光伏组件典型参数见表2</w:t>
            </w:r>
            <w:r>
              <w:rPr>
                <w:rFonts w:ascii="Times New Roman"/>
                <w:snapToGrid/>
                <w:spacing w:val="0"/>
                <w:sz w:val="24"/>
              </w:rPr>
              <w:t>.2.2-3</w:t>
            </w:r>
            <w:r>
              <w:rPr>
                <w:rFonts w:hint="eastAsia" w:ascii="Times New Roman"/>
                <w:snapToGrid/>
                <w:spacing w:val="0"/>
                <w:sz w:val="24"/>
              </w:rPr>
              <w:t>。</w:t>
            </w:r>
          </w:p>
          <w:p w14:paraId="3A6354F6">
            <w:pPr>
              <w:pStyle w:val="219"/>
              <w:spacing w:before="0" w:beforeLines="0"/>
              <w:rPr>
                <w:rFonts w:hint="eastAsia"/>
                <w:sz w:val="24"/>
                <w:szCs w:val="24"/>
              </w:rPr>
            </w:pPr>
            <w:r>
              <w:rPr>
                <w:rFonts w:hint="eastAsia"/>
                <w:sz w:val="24"/>
                <w:szCs w:val="24"/>
              </w:rPr>
              <w:t>表2</w:t>
            </w:r>
            <w:r>
              <w:rPr>
                <w:sz w:val="24"/>
                <w:szCs w:val="24"/>
              </w:rPr>
              <w:t xml:space="preserve">.2.2-3  </w:t>
            </w:r>
            <w:r>
              <w:rPr>
                <w:rFonts w:hint="eastAsia"/>
                <w:sz w:val="24"/>
                <w:szCs w:val="24"/>
              </w:rPr>
              <w:t>光伏组件典型参数表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3564"/>
              <w:gridCol w:w="1692"/>
              <w:gridCol w:w="3080"/>
            </w:tblGrid>
            <w:tr w14:paraId="4202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79DF7D85">
                  <w:pPr>
                    <w:pStyle w:val="95"/>
                    <w:overflowPunct w:val="0"/>
                    <w:topLinePunct/>
                    <w:adjustRightInd w:val="0"/>
                    <w:snapToGrid w:val="0"/>
                  </w:pPr>
                  <w:r>
                    <w:t>项目</w:t>
                  </w:r>
                </w:p>
              </w:tc>
              <w:tc>
                <w:tcPr>
                  <w:tcW w:w="1015" w:type="pct"/>
                  <w:shd w:val="clear" w:color="auto" w:fill="FFFFFF"/>
                  <w:noWrap/>
                  <w:tcMar>
                    <w:top w:w="15" w:type="dxa"/>
                    <w:left w:w="15" w:type="dxa"/>
                    <w:right w:w="15" w:type="dxa"/>
                  </w:tcMar>
                  <w:vAlign w:val="center"/>
                </w:tcPr>
                <w:p w14:paraId="3A0CC703">
                  <w:pPr>
                    <w:pStyle w:val="95"/>
                    <w:overflowPunct w:val="0"/>
                    <w:topLinePunct/>
                    <w:adjustRightInd w:val="0"/>
                    <w:snapToGrid w:val="0"/>
                  </w:pPr>
                  <w:r>
                    <w:t>单位</w:t>
                  </w:r>
                </w:p>
              </w:tc>
              <w:tc>
                <w:tcPr>
                  <w:tcW w:w="1847" w:type="pct"/>
                  <w:shd w:val="clear" w:color="auto" w:fill="FFFFFF"/>
                  <w:tcMar>
                    <w:top w:w="15" w:type="dxa"/>
                    <w:left w:w="15" w:type="dxa"/>
                    <w:right w:w="15" w:type="dxa"/>
                  </w:tcMar>
                  <w:vAlign w:val="center"/>
                </w:tcPr>
                <w:p w14:paraId="68A463F7">
                  <w:pPr>
                    <w:pStyle w:val="95"/>
                    <w:overflowPunct w:val="0"/>
                    <w:topLinePunct/>
                    <w:adjustRightInd w:val="0"/>
                    <w:snapToGrid w:val="0"/>
                  </w:pPr>
                  <w:r>
                    <w:t>参数</w:t>
                  </w:r>
                </w:p>
              </w:tc>
            </w:tr>
            <w:tr w14:paraId="2CDC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5B6B4288">
                  <w:pPr>
                    <w:pStyle w:val="95"/>
                    <w:overflowPunct w:val="0"/>
                    <w:topLinePunct/>
                    <w:adjustRightInd w:val="0"/>
                    <w:snapToGrid w:val="0"/>
                  </w:pPr>
                  <w:r>
                    <w:t>峰值功率</w:t>
                  </w:r>
                </w:p>
              </w:tc>
              <w:tc>
                <w:tcPr>
                  <w:tcW w:w="1015" w:type="pct"/>
                  <w:shd w:val="clear" w:color="auto" w:fill="FFFFFF"/>
                  <w:noWrap/>
                  <w:tcMar>
                    <w:top w:w="15" w:type="dxa"/>
                    <w:left w:w="15" w:type="dxa"/>
                    <w:right w:w="15" w:type="dxa"/>
                  </w:tcMar>
                  <w:vAlign w:val="center"/>
                </w:tcPr>
                <w:p w14:paraId="3D765ACC">
                  <w:pPr>
                    <w:pStyle w:val="95"/>
                    <w:overflowPunct w:val="0"/>
                    <w:topLinePunct/>
                    <w:adjustRightInd w:val="0"/>
                    <w:snapToGrid w:val="0"/>
                  </w:pPr>
                  <w:r>
                    <w:t>Wp</w:t>
                  </w:r>
                </w:p>
              </w:tc>
              <w:tc>
                <w:tcPr>
                  <w:tcW w:w="1847" w:type="pct"/>
                  <w:shd w:val="clear" w:color="auto" w:fill="FFFFFF"/>
                  <w:tcMar>
                    <w:top w:w="15" w:type="dxa"/>
                    <w:left w:w="15" w:type="dxa"/>
                    <w:right w:w="15" w:type="dxa"/>
                  </w:tcMar>
                  <w:vAlign w:val="center"/>
                </w:tcPr>
                <w:p w14:paraId="7DC738A3">
                  <w:pPr>
                    <w:pStyle w:val="95"/>
                    <w:overflowPunct w:val="0"/>
                    <w:topLinePunct/>
                    <w:adjustRightInd w:val="0"/>
                    <w:snapToGrid w:val="0"/>
                  </w:pPr>
                  <w:r>
                    <w:rPr>
                      <w:rFonts w:hint="eastAsia"/>
                    </w:rPr>
                    <w:t>720</w:t>
                  </w:r>
                </w:p>
              </w:tc>
            </w:tr>
            <w:tr w14:paraId="7ED4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55F166CE">
                  <w:pPr>
                    <w:pStyle w:val="95"/>
                    <w:overflowPunct w:val="0"/>
                    <w:topLinePunct/>
                    <w:adjustRightInd w:val="0"/>
                    <w:snapToGrid w:val="0"/>
                  </w:pPr>
                  <w:r>
                    <w:t>组件长</w:t>
                  </w:r>
                </w:p>
              </w:tc>
              <w:tc>
                <w:tcPr>
                  <w:tcW w:w="1015" w:type="pct"/>
                  <w:shd w:val="clear" w:color="auto" w:fill="FFFFFF"/>
                  <w:noWrap/>
                  <w:tcMar>
                    <w:top w:w="15" w:type="dxa"/>
                    <w:left w:w="15" w:type="dxa"/>
                    <w:right w:w="15" w:type="dxa"/>
                  </w:tcMar>
                  <w:vAlign w:val="center"/>
                </w:tcPr>
                <w:p w14:paraId="4D76C455">
                  <w:pPr>
                    <w:pStyle w:val="95"/>
                    <w:overflowPunct w:val="0"/>
                    <w:topLinePunct/>
                    <w:adjustRightInd w:val="0"/>
                    <w:snapToGrid w:val="0"/>
                  </w:pPr>
                  <w:r>
                    <w:t>mm</w:t>
                  </w:r>
                </w:p>
              </w:tc>
              <w:tc>
                <w:tcPr>
                  <w:tcW w:w="1847" w:type="pct"/>
                  <w:shd w:val="clear" w:color="auto" w:fill="FFFFFF"/>
                  <w:tcMar>
                    <w:top w:w="15" w:type="dxa"/>
                    <w:left w:w="15" w:type="dxa"/>
                    <w:right w:w="15" w:type="dxa"/>
                  </w:tcMar>
                  <w:vAlign w:val="center"/>
                </w:tcPr>
                <w:p w14:paraId="1EDAE150">
                  <w:pPr>
                    <w:pStyle w:val="95"/>
                    <w:overflowPunct w:val="0"/>
                    <w:topLinePunct/>
                    <w:adjustRightInd w:val="0"/>
                    <w:snapToGrid w:val="0"/>
                  </w:pPr>
                  <w:r>
                    <w:rPr>
                      <w:rFonts w:hint="eastAsia"/>
                    </w:rPr>
                    <w:t>2384</w:t>
                  </w:r>
                </w:p>
              </w:tc>
            </w:tr>
            <w:tr w14:paraId="0EFA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1511959F">
                  <w:pPr>
                    <w:pStyle w:val="95"/>
                    <w:overflowPunct w:val="0"/>
                    <w:topLinePunct/>
                    <w:adjustRightInd w:val="0"/>
                    <w:snapToGrid w:val="0"/>
                  </w:pPr>
                  <w:r>
                    <w:t>组件宽</w:t>
                  </w:r>
                </w:p>
              </w:tc>
              <w:tc>
                <w:tcPr>
                  <w:tcW w:w="1015" w:type="pct"/>
                  <w:shd w:val="clear" w:color="auto" w:fill="FFFFFF"/>
                  <w:noWrap/>
                  <w:tcMar>
                    <w:top w:w="15" w:type="dxa"/>
                    <w:left w:w="15" w:type="dxa"/>
                    <w:right w:w="15" w:type="dxa"/>
                  </w:tcMar>
                  <w:vAlign w:val="center"/>
                </w:tcPr>
                <w:p w14:paraId="0E4C6F56">
                  <w:pPr>
                    <w:pStyle w:val="95"/>
                    <w:overflowPunct w:val="0"/>
                    <w:topLinePunct/>
                    <w:adjustRightInd w:val="0"/>
                    <w:snapToGrid w:val="0"/>
                  </w:pPr>
                  <w:r>
                    <w:t>mm</w:t>
                  </w:r>
                </w:p>
              </w:tc>
              <w:tc>
                <w:tcPr>
                  <w:tcW w:w="1847" w:type="pct"/>
                  <w:shd w:val="clear" w:color="auto" w:fill="FFFFFF"/>
                  <w:tcMar>
                    <w:top w:w="15" w:type="dxa"/>
                    <w:left w:w="15" w:type="dxa"/>
                    <w:right w:w="15" w:type="dxa"/>
                  </w:tcMar>
                  <w:vAlign w:val="center"/>
                </w:tcPr>
                <w:p w14:paraId="310CBF4C">
                  <w:pPr>
                    <w:pStyle w:val="95"/>
                    <w:overflowPunct w:val="0"/>
                    <w:topLinePunct/>
                    <w:adjustRightInd w:val="0"/>
                    <w:snapToGrid w:val="0"/>
                  </w:pPr>
                  <w:r>
                    <w:rPr>
                      <w:rFonts w:hint="eastAsia"/>
                    </w:rPr>
                    <w:t>1303</w:t>
                  </w:r>
                </w:p>
              </w:tc>
            </w:tr>
            <w:tr w14:paraId="55A1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37BBB26E">
                  <w:pPr>
                    <w:pStyle w:val="95"/>
                    <w:overflowPunct w:val="0"/>
                    <w:topLinePunct/>
                    <w:adjustRightInd w:val="0"/>
                    <w:snapToGrid w:val="0"/>
                  </w:pPr>
                  <w:r>
                    <w:t>组件高</w:t>
                  </w:r>
                </w:p>
              </w:tc>
              <w:tc>
                <w:tcPr>
                  <w:tcW w:w="1015" w:type="pct"/>
                  <w:shd w:val="clear" w:color="auto" w:fill="FFFFFF"/>
                  <w:noWrap/>
                  <w:tcMar>
                    <w:top w:w="15" w:type="dxa"/>
                    <w:left w:w="15" w:type="dxa"/>
                    <w:right w:w="15" w:type="dxa"/>
                  </w:tcMar>
                  <w:vAlign w:val="center"/>
                </w:tcPr>
                <w:p w14:paraId="412DF0F6">
                  <w:pPr>
                    <w:pStyle w:val="95"/>
                    <w:overflowPunct w:val="0"/>
                    <w:topLinePunct/>
                    <w:adjustRightInd w:val="0"/>
                    <w:snapToGrid w:val="0"/>
                  </w:pPr>
                  <w:r>
                    <w:t>mm</w:t>
                  </w:r>
                </w:p>
              </w:tc>
              <w:tc>
                <w:tcPr>
                  <w:tcW w:w="1847" w:type="pct"/>
                  <w:shd w:val="clear" w:color="auto" w:fill="FFFFFF"/>
                  <w:tcMar>
                    <w:top w:w="15" w:type="dxa"/>
                    <w:left w:w="15" w:type="dxa"/>
                    <w:right w:w="15" w:type="dxa"/>
                  </w:tcMar>
                  <w:vAlign w:val="center"/>
                </w:tcPr>
                <w:p w14:paraId="60325CB5">
                  <w:pPr>
                    <w:pStyle w:val="95"/>
                    <w:overflowPunct w:val="0"/>
                    <w:topLinePunct/>
                    <w:adjustRightInd w:val="0"/>
                    <w:snapToGrid w:val="0"/>
                  </w:pPr>
                  <w:r>
                    <w:t>30</w:t>
                  </w:r>
                </w:p>
              </w:tc>
            </w:tr>
            <w:tr w14:paraId="3977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2BB1F949">
                  <w:pPr>
                    <w:pStyle w:val="95"/>
                    <w:overflowPunct w:val="0"/>
                    <w:topLinePunct/>
                    <w:adjustRightInd w:val="0"/>
                    <w:snapToGrid w:val="0"/>
                  </w:pPr>
                  <w:r>
                    <w:t>光伏组件的开路电压</w:t>
                  </w:r>
                </w:p>
              </w:tc>
              <w:tc>
                <w:tcPr>
                  <w:tcW w:w="1015" w:type="pct"/>
                  <w:shd w:val="clear" w:color="auto" w:fill="FFFFFF"/>
                  <w:noWrap/>
                  <w:tcMar>
                    <w:top w:w="15" w:type="dxa"/>
                    <w:left w:w="15" w:type="dxa"/>
                    <w:right w:w="15" w:type="dxa"/>
                  </w:tcMar>
                  <w:vAlign w:val="center"/>
                </w:tcPr>
                <w:p w14:paraId="4AA6FE62">
                  <w:pPr>
                    <w:pStyle w:val="95"/>
                    <w:overflowPunct w:val="0"/>
                    <w:topLinePunct/>
                    <w:adjustRightInd w:val="0"/>
                    <w:snapToGrid w:val="0"/>
                  </w:pPr>
                  <w:r>
                    <w:t>V</w:t>
                  </w:r>
                </w:p>
              </w:tc>
              <w:tc>
                <w:tcPr>
                  <w:tcW w:w="1847" w:type="pct"/>
                  <w:shd w:val="clear" w:color="auto" w:fill="FFFFFF"/>
                  <w:tcMar>
                    <w:top w:w="15" w:type="dxa"/>
                    <w:left w:w="15" w:type="dxa"/>
                    <w:right w:w="15" w:type="dxa"/>
                  </w:tcMar>
                  <w:vAlign w:val="center"/>
                </w:tcPr>
                <w:p w14:paraId="018830AA">
                  <w:pPr>
                    <w:pStyle w:val="95"/>
                    <w:overflowPunct w:val="0"/>
                    <w:topLinePunct/>
                    <w:adjustRightInd w:val="0"/>
                    <w:snapToGrid w:val="0"/>
                  </w:pPr>
                  <w:r>
                    <w:rPr>
                      <w:rFonts w:hint="eastAsia"/>
                    </w:rPr>
                    <w:t>49.40</w:t>
                  </w:r>
                </w:p>
              </w:tc>
            </w:tr>
            <w:tr w14:paraId="76B4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58FEEE42">
                  <w:pPr>
                    <w:pStyle w:val="95"/>
                    <w:overflowPunct w:val="0"/>
                    <w:topLinePunct/>
                    <w:adjustRightInd w:val="0"/>
                    <w:snapToGrid w:val="0"/>
                  </w:pPr>
                  <w:r>
                    <w:t>光伏组件的工作电压</w:t>
                  </w:r>
                </w:p>
              </w:tc>
              <w:tc>
                <w:tcPr>
                  <w:tcW w:w="1015" w:type="pct"/>
                  <w:shd w:val="clear" w:color="auto" w:fill="FFFFFF"/>
                  <w:noWrap/>
                  <w:tcMar>
                    <w:top w:w="15" w:type="dxa"/>
                    <w:left w:w="15" w:type="dxa"/>
                    <w:right w:w="15" w:type="dxa"/>
                  </w:tcMar>
                  <w:vAlign w:val="center"/>
                </w:tcPr>
                <w:p w14:paraId="60669412">
                  <w:pPr>
                    <w:pStyle w:val="95"/>
                    <w:overflowPunct w:val="0"/>
                    <w:topLinePunct/>
                    <w:adjustRightInd w:val="0"/>
                    <w:snapToGrid w:val="0"/>
                  </w:pPr>
                  <w:r>
                    <w:t>V</w:t>
                  </w:r>
                </w:p>
              </w:tc>
              <w:tc>
                <w:tcPr>
                  <w:tcW w:w="1847" w:type="pct"/>
                  <w:shd w:val="clear" w:color="auto" w:fill="FFFFFF"/>
                  <w:tcMar>
                    <w:top w:w="15" w:type="dxa"/>
                    <w:left w:w="15" w:type="dxa"/>
                    <w:right w:w="15" w:type="dxa"/>
                  </w:tcMar>
                  <w:vAlign w:val="center"/>
                </w:tcPr>
                <w:p w14:paraId="0283CBD7">
                  <w:pPr>
                    <w:pStyle w:val="95"/>
                    <w:overflowPunct w:val="0"/>
                    <w:topLinePunct/>
                    <w:adjustRightInd w:val="0"/>
                    <w:snapToGrid w:val="0"/>
                  </w:pPr>
                  <w:r>
                    <w:t>41.20</w:t>
                  </w:r>
                </w:p>
              </w:tc>
            </w:tr>
            <w:tr w14:paraId="2A84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636EFE4A">
                  <w:pPr>
                    <w:pStyle w:val="95"/>
                    <w:overflowPunct w:val="0"/>
                    <w:topLinePunct/>
                    <w:adjustRightInd w:val="0"/>
                    <w:snapToGrid w:val="0"/>
                  </w:pPr>
                  <w:r>
                    <w:t>光伏组件的短路电流</w:t>
                  </w:r>
                </w:p>
              </w:tc>
              <w:tc>
                <w:tcPr>
                  <w:tcW w:w="1015" w:type="pct"/>
                  <w:shd w:val="clear" w:color="auto" w:fill="FFFFFF"/>
                  <w:noWrap/>
                  <w:tcMar>
                    <w:top w:w="15" w:type="dxa"/>
                    <w:left w:w="15" w:type="dxa"/>
                    <w:right w:w="15" w:type="dxa"/>
                  </w:tcMar>
                  <w:vAlign w:val="center"/>
                </w:tcPr>
                <w:p w14:paraId="66C39109">
                  <w:pPr>
                    <w:pStyle w:val="95"/>
                    <w:overflowPunct w:val="0"/>
                    <w:topLinePunct/>
                    <w:adjustRightInd w:val="0"/>
                    <w:snapToGrid w:val="0"/>
                  </w:pPr>
                  <w:r>
                    <w:t>A</w:t>
                  </w:r>
                </w:p>
              </w:tc>
              <w:tc>
                <w:tcPr>
                  <w:tcW w:w="1847" w:type="pct"/>
                  <w:shd w:val="clear" w:color="auto" w:fill="FFFFFF"/>
                  <w:tcMar>
                    <w:top w:w="15" w:type="dxa"/>
                    <w:left w:w="15" w:type="dxa"/>
                    <w:right w:w="15" w:type="dxa"/>
                  </w:tcMar>
                  <w:vAlign w:val="center"/>
                </w:tcPr>
                <w:p w14:paraId="3DA64242">
                  <w:pPr>
                    <w:pStyle w:val="95"/>
                    <w:overflowPunct w:val="0"/>
                    <w:topLinePunct/>
                    <w:adjustRightInd w:val="0"/>
                    <w:snapToGrid w:val="0"/>
                  </w:pPr>
                  <w:r>
                    <w:rPr>
                      <w:rFonts w:hint="eastAsia"/>
                    </w:rPr>
                    <w:t>18.49</w:t>
                  </w:r>
                </w:p>
              </w:tc>
            </w:tr>
            <w:tr w14:paraId="2A33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30AFD951">
                  <w:pPr>
                    <w:pStyle w:val="95"/>
                    <w:overflowPunct w:val="0"/>
                    <w:topLinePunct/>
                    <w:adjustRightInd w:val="0"/>
                    <w:snapToGrid w:val="0"/>
                  </w:pPr>
                  <w:r>
                    <w:t>光伏组件的工作电流</w:t>
                  </w:r>
                </w:p>
              </w:tc>
              <w:tc>
                <w:tcPr>
                  <w:tcW w:w="1015" w:type="pct"/>
                  <w:shd w:val="clear" w:color="auto" w:fill="FFFFFF"/>
                  <w:noWrap/>
                  <w:tcMar>
                    <w:top w:w="15" w:type="dxa"/>
                    <w:left w:w="15" w:type="dxa"/>
                    <w:right w:w="15" w:type="dxa"/>
                  </w:tcMar>
                  <w:vAlign w:val="center"/>
                </w:tcPr>
                <w:p w14:paraId="77BA7703">
                  <w:pPr>
                    <w:pStyle w:val="95"/>
                    <w:overflowPunct w:val="0"/>
                    <w:topLinePunct/>
                    <w:adjustRightInd w:val="0"/>
                    <w:snapToGrid w:val="0"/>
                  </w:pPr>
                  <w:r>
                    <w:t>A</w:t>
                  </w:r>
                </w:p>
              </w:tc>
              <w:tc>
                <w:tcPr>
                  <w:tcW w:w="1847" w:type="pct"/>
                  <w:shd w:val="clear" w:color="auto" w:fill="FFFFFF"/>
                  <w:tcMar>
                    <w:top w:w="15" w:type="dxa"/>
                    <w:left w:w="15" w:type="dxa"/>
                    <w:right w:w="15" w:type="dxa"/>
                  </w:tcMar>
                  <w:vAlign w:val="center"/>
                </w:tcPr>
                <w:p w14:paraId="7A8F473A">
                  <w:pPr>
                    <w:pStyle w:val="95"/>
                    <w:overflowPunct w:val="0"/>
                    <w:topLinePunct/>
                    <w:adjustRightInd w:val="0"/>
                    <w:snapToGrid w:val="0"/>
                  </w:pPr>
                  <w:r>
                    <w:rPr>
                      <w:rFonts w:hint="eastAsia"/>
                    </w:rPr>
                    <w:t>17.44</w:t>
                  </w:r>
                </w:p>
              </w:tc>
            </w:tr>
            <w:tr w14:paraId="0BB4B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653F711D">
                  <w:pPr>
                    <w:pStyle w:val="95"/>
                    <w:overflowPunct w:val="0"/>
                    <w:topLinePunct/>
                    <w:adjustRightInd w:val="0"/>
                    <w:snapToGrid w:val="0"/>
                  </w:pPr>
                  <w:r>
                    <w:t>光伏组件的开路电压温度系数</w:t>
                  </w:r>
                </w:p>
              </w:tc>
              <w:tc>
                <w:tcPr>
                  <w:tcW w:w="1015" w:type="pct"/>
                  <w:shd w:val="clear" w:color="auto" w:fill="FFFFFF"/>
                  <w:noWrap/>
                  <w:tcMar>
                    <w:top w:w="15" w:type="dxa"/>
                    <w:left w:w="15" w:type="dxa"/>
                    <w:right w:w="15" w:type="dxa"/>
                  </w:tcMar>
                  <w:vAlign w:val="center"/>
                </w:tcPr>
                <w:p w14:paraId="305E3AA6">
                  <w:pPr>
                    <w:pStyle w:val="95"/>
                    <w:overflowPunct w:val="0"/>
                    <w:topLinePunct/>
                    <w:adjustRightInd w:val="0"/>
                    <w:snapToGrid w:val="0"/>
                  </w:pPr>
                  <w:r>
                    <w:t>%/℃</w:t>
                  </w:r>
                </w:p>
              </w:tc>
              <w:tc>
                <w:tcPr>
                  <w:tcW w:w="1847" w:type="pct"/>
                  <w:shd w:val="clear" w:color="auto" w:fill="FFFFFF"/>
                  <w:tcMar>
                    <w:top w:w="15" w:type="dxa"/>
                    <w:left w:w="15" w:type="dxa"/>
                    <w:right w:w="15" w:type="dxa"/>
                  </w:tcMar>
                  <w:vAlign w:val="center"/>
                </w:tcPr>
                <w:p w14:paraId="55A190F6">
                  <w:pPr>
                    <w:pStyle w:val="95"/>
                    <w:overflowPunct w:val="0"/>
                    <w:topLinePunct/>
                    <w:adjustRightInd w:val="0"/>
                    <w:snapToGrid w:val="0"/>
                  </w:pPr>
                  <w:r>
                    <w:t>-0.</w:t>
                  </w:r>
                  <w:r>
                    <w:rPr>
                      <w:rFonts w:hint="eastAsia"/>
                    </w:rPr>
                    <w:t>24</w:t>
                  </w:r>
                </w:p>
              </w:tc>
            </w:tr>
            <w:tr w14:paraId="2D3D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30EB7EEF">
                  <w:pPr>
                    <w:pStyle w:val="95"/>
                    <w:overflowPunct w:val="0"/>
                    <w:topLinePunct/>
                    <w:adjustRightInd w:val="0"/>
                    <w:snapToGrid w:val="0"/>
                  </w:pPr>
                  <w:r>
                    <w:t>光伏组件的工作电压温度系数</w:t>
                  </w:r>
                </w:p>
              </w:tc>
              <w:tc>
                <w:tcPr>
                  <w:tcW w:w="1015" w:type="pct"/>
                  <w:shd w:val="clear" w:color="auto" w:fill="FFFFFF"/>
                  <w:noWrap/>
                  <w:tcMar>
                    <w:top w:w="15" w:type="dxa"/>
                    <w:left w:w="15" w:type="dxa"/>
                    <w:right w:w="15" w:type="dxa"/>
                  </w:tcMar>
                  <w:vAlign w:val="center"/>
                </w:tcPr>
                <w:p w14:paraId="7799E062">
                  <w:pPr>
                    <w:pStyle w:val="95"/>
                    <w:overflowPunct w:val="0"/>
                    <w:topLinePunct/>
                    <w:adjustRightInd w:val="0"/>
                    <w:snapToGrid w:val="0"/>
                  </w:pPr>
                  <w:r>
                    <w:t>%/℃</w:t>
                  </w:r>
                </w:p>
              </w:tc>
              <w:tc>
                <w:tcPr>
                  <w:tcW w:w="1847" w:type="pct"/>
                  <w:shd w:val="clear" w:color="auto" w:fill="FFFFFF"/>
                  <w:tcMar>
                    <w:top w:w="15" w:type="dxa"/>
                    <w:left w:w="15" w:type="dxa"/>
                    <w:right w:w="15" w:type="dxa"/>
                  </w:tcMar>
                  <w:vAlign w:val="center"/>
                </w:tcPr>
                <w:p w14:paraId="24E08A9C">
                  <w:pPr>
                    <w:pStyle w:val="95"/>
                    <w:overflowPunct w:val="0"/>
                    <w:topLinePunct/>
                    <w:adjustRightInd w:val="0"/>
                    <w:snapToGrid w:val="0"/>
                  </w:pPr>
                  <w:r>
                    <w:t>-0.2</w:t>
                  </w:r>
                  <w:r>
                    <w:rPr>
                      <w:rFonts w:hint="eastAsia"/>
                    </w:rPr>
                    <w:t>9</w:t>
                  </w:r>
                </w:p>
              </w:tc>
            </w:tr>
            <w:tr w14:paraId="1B2F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0DD8FBC5">
                  <w:pPr>
                    <w:pStyle w:val="95"/>
                    <w:overflowPunct w:val="0"/>
                    <w:topLinePunct/>
                    <w:adjustRightInd w:val="0"/>
                    <w:snapToGrid w:val="0"/>
                  </w:pPr>
                  <w:r>
                    <w:t>光伏组件工作条件下的极限低温</w:t>
                  </w:r>
                </w:p>
              </w:tc>
              <w:tc>
                <w:tcPr>
                  <w:tcW w:w="1015" w:type="pct"/>
                  <w:shd w:val="clear" w:color="auto" w:fill="FFFFFF"/>
                  <w:noWrap/>
                  <w:tcMar>
                    <w:top w:w="15" w:type="dxa"/>
                    <w:left w:w="15" w:type="dxa"/>
                    <w:right w:w="15" w:type="dxa"/>
                  </w:tcMar>
                  <w:vAlign w:val="center"/>
                </w:tcPr>
                <w:p w14:paraId="6CE64693">
                  <w:pPr>
                    <w:pStyle w:val="95"/>
                    <w:overflowPunct w:val="0"/>
                    <w:topLinePunct/>
                    <w:adjustRightInd w:val="0"/>
                    <w:snapToGrid w:val="0"/>
                  </w:pPr>
                  <w:r>
                    <w:t>℃</w:t>
                  </w:r>
                </w:p>
              </w:tc>
              <w:tc>
                <w:tcPr>
                  <w:tcW w:w="1847" w:type="pct"/>
                  <w:shd w:val="clear" w:color="auto" w:fill="FFFFFF"/>
                  <w:tcMar>
                    <w:top w:w="15" w:type="dxa"/>
                    <w:left w:w="15" w:type="dxa"/>
                    <w:right w:w="15" w:type="dxa"/>
                  </w:tcMar>
                  <w:vAlign w:val="center"/>
                </w:tcPr>
                <w:p w14:paraId="21F9D1CF">
                  <w:pPr>
                    <w:pStyle w:val="95"/>
                    <w:overflowPunct w:val="0"/>
                    <w:topLinePunct/>
                    <w:adjustRightInd w:val="0"/>
                    <w:snapToGrid w:val="0"/>
                  </w:pPr>
                  <w:r>
                    <w:t>-40</w:t>
                  </w:r>
                </w:p>
              </w:tc>
            </w:tr>
            <w:tr w14:paraId="3C6A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2F3231FD">
                  <w:pPr>
                    <w:pStyle w:val="95"/>
                    <w:overflowPunct w:val="0"/>
                    <w:topLinePunct/>
                    <w:adjustRightInd w:val="0"/>
                    <w:snapToGrid w:val="0"/>
                  </w:pPr>
                  <w:r>
                    <w:t>光伏组件工作条件下的极限高温</w:t>
                  </w:r>
                </w:p>
              </w:tc>
              <w:tc>
                <w:tcPr>
                  <w:tcW w:w="1015" w:type="pct"/>
                  <w:shd w:val="clear" w:color="auto" w:fill="FFFFFF"/>
                  <w:noWrap/>
                  <w:tcMar>
                    <w:top w:w="15" w:type="dxa"/>
                    <w:left w:w="15" w:type="dxa"/>
                    <w:right w:w="15" w:type="dxa"/>
                  </w:tcMar>
                  <w:vAlign w:val="center"/>
                </w:tcPr>
                <w:p w14:paraId="4346619D">
                  <w:pPr>
                    <w:pStyle w:val="95"/>
                    <w:overflowPunct w:val="0"/>
                    <w:topLinePunct/>
                    <w:adjustRightInd w:val="0"/>
                    <w:snapToGrid w:val="0"/>
                  </w:pPr>
                  <w:r>
                    <w:t>℃</w:t>
                  </w:r>
                </w:p>
              </w:tc>
              <w:tc>
                <w:tcPr>
                  <w:tcW w:w="1847" w:type="pct"/>
                  <w:shd w:val="clear" w:color="auto" w:fill="FFFFFF"/>
                  <w:tcMar>
                    <w:top w:w="15" w:type="dxa"/>
                    <w:left w:w="15" w:type="dxa"/>
                    <w:right w:w="15" w:type="dxa"/>
                  </w:tcMar>
                  <w:vAlign w:val="center"/>
                </w:tcPr>
                <w:p w14:paraId="2F15CE61">
                  <w:pPr>
                    <w:pStyle w:val="95"/>
                    <w:overflowPunct w:val="0"/>
                    <w:topLinePunct/>
                    <w:adjustRightInd w:val="0"/>
                    <w:snapToGrid w:val="0"/>
                  </w:pPr>
                  <w:r>
                    <w:rPr>
                      <w:rFonts w:hint="eastAsia"/>
                    </w:rPr>
                    <w:t>70</w:t>
                  </w:r>
                </w:p>
              </w:tc>
            </w:tr>
            <w:tr w14:paraId="5B99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5FDE452F">
                  <w:pPr>
                    <w:pStyle w:val="95"/>
                    <w:overflowPunct w:val="0"/>
                    <w:topLinePunct/>
                    <w:adjustRightInd w:val="0"/>
                    <w:snapToGrid w:val="0"/>
                  </w:pPr>
                  <w:r>
                    <w:t>组件效率</w:t>
                  </w:r>
                </w:p>
              </w:tc>
              <w:tc>
                <w:tcPr>
                  <w:tcW w:w="1015" w:type="pct"/>
                  <w:shd w:val="clear" w:color="auto" w:fill="FFFFFF"/>
                  <w:noWrap/>
                  <w:tcMar>
                    <w:top w:w="15" w:type="dxa"/>
                    <w:left w:w="15" w:type="dxa"/>
                    <w:right w:w="15" w:type="dxa"/>
                  </w:tcMar>
                  <w:vAlign w:val="center"/>
                </w:tcPr>
                <w:p w14:paraId="4BA06EC7">
                  <w:pPr>
                    <w:pStyle w:val="95"/>
                    <w:overflowPunct w:val="0"/>
                    <w:topLinePunct/>
                    <w:adjustRightInd w:val="0"/>
                    <w:snapToGrid w:val="0"/>
                  </w:pPr>
                  <w:r>
                    <w:t>%</w:t>
                  </w:r>
                </w:p>
              </w:tc>
              <w:tc>
                <w:tcPr>
                  <w:tcW w:w="1847" w:type="pct"/>
                  <w:shd w:val="clear" w:color="auto" w:fill="FFFFFF"/>
                  <w:tcMar>
                    <w:top w:w="15" w:type="dxa"/>
                    <w:left w:w="15" w:type="dxa"/>
                    <w:right w:w="15" w:type="dxa"/>
                  </w:tcMar>
                  <w:vAlign w:val="center"/>
                </w:tcPr>
                <w:p w14:paraId="35B3605B">
                  <w:pPr>
                    <w:pStyle w:val="95"/>
                    <w:overflowPunct w:val="0"/>
                    <w:topLinePunct/>
                    <w:adjustRightInd w:val="0"/>
                    <w:snapToGrid w:val="0"/>
                  </w:pPr>
                  <w:r>
                    <w:rPr>
                      <w:rFonts w:hint="eastAsia"/>
                    </w:rPr>
                    <w:t>23.18</w:t>
                  </w:r>
                </w:p>
              </w:tc>
            </w:tr>
            <w:tr w14:paraId="6AC6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596A849F">
                  <w:pPr>
                    <w:pStyle w:val="95"/>
                    <w:overflowPunct w:val="0"/>
                    <w:topLinePunct/>
                    <w:adjustRightInd w:val="0"/>
                    <w:snapToGrid w:val="0"/>
                  </w:pPr>
                  <w:r>
                    <w:t>组件重量</w:t>
                  </w:r>
                </w:p>
              </w:tc>
              <w:tc>
                <w:tcPr>
                  <w:tcW w:w="1015" w:type="pct"/>
                  <w:shd w:val="clear" w:color="auto" w:fill="FFFFFF"/>
                  <w:noWrap/>
                  <w:tcMar>
                    <w:top w:w="15" w:type="dxa"/>
                    <w:left w:w="15" w:type="dxa"/>
                    <w:right w:w="15" w:type="dxa"/>
                  </w:tcMar>
                  <w:vAlign w:val="center"/>
                </w:tcPr>
                <w:p w14:paraId="147C2F62">
                  <w:pPr>
                    <w:pStyle w:val="95"/>
                    <w:overflowPunct w:val="0"/>
                    <w:topLinePunct/>
                    <w:adjustRightInd w:val="0"/>
                    <w:snapToGrid w:val="0"/>
                  </w:pPr>
                  <w:r>
                    <w:t>kg</w:t>
                  </w:r>
                </w:p>
              </w:tc>
              <w:tc>
                <w:tcPr>
                  <w:tcW w:w="1847" w:type="pct"/>
                  <w:shd w:val="clear" w:color="auto" w:fill="FFFFFF"/>
                  <w:tcMar>
                    <w:top w:w="15" w:type="dxa"/>
                    <w:left w:w="15" w:type="dxa"/>
                    <w:right w:w="15" w:type="dxa"/>
                  </w:tcMar>
                  <w:vAlign w:val="center"/>
                </w:tcPr>
                <w:p w14:paraId="6C7C5FF1">
                  <w:pPr>
                    <w:pStyle w:val="95"/>
                    <w:overflowPunct w:val="0"/>
                    <w:topLinePunct/>
                    <w:adjustRightInd w:val="0"/>
                    <w:snapToGrid w:val="0"/>
                  </w:pPr>
                  <w:r>
                    <w:rPr>
                      <w:rFonts w:hint="eastAsia"/>
                    </w:rPr>
                    <w:t>38.3</w:t>
                  </w:r>
                </w:p>
              </w:tc>
            </w:tr>
            <w:tr w14:paraId="678F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5892BBB3">
                  <w:pPr>
                    <w:pStyle w:val="95"/>
                    <w:overflowPunct w:val="0"/>
                    <w:topLinePunct/>
                    <w:adjustRightInd w:val="0"/>
                    <w:snapToGrid w:val="0"/>
                  </w:pPr>
                  <w:r>
                    <w:t>首年功率衰减率</w:t>
                  </w:r>
                </w:p>
              </w:tc>
              <w:tc>
                <w:tcPr>
                  <w:tcW w:w="1015" w:type="pct"/>
                  <w:shd w:val="clear" w:color="auto" w:fill="FFFFFF"/>
                  <w:noWrap/>
                  <w:tcMar>
                    <w:top w:w="15" w:type="dxa"/>
                    <w:left w:w="15" w:type="dxa"/>
                    <w:right w:w="15" w:type="dxa"/>
                  </w:tcMar>
                  <w:vAlign w:val="center"/>
                </w:tcPr>
                <w:p w14:paraId="482C8C67">
                  <w:pPr>
                    <w:pStyle w:val="95"/>
                    <w:overflowPunct w:val="0"/>
                    <w:topLinePunct/>
                    <w:adjustRightInd w:val="0"/>
                    <w:snapToGrid w:val="0"/>
                  </w:pPr>
                  <w:r>
                    <w:t>%</w:t>
                  </w:r>
                </w:p>
              </w:tc>
              <w:tc>
                <w:tcPr>
                  <w:tcW w:w="1847" w:type="pct"/>
                  <w:shd w:val="clear" w:color="auto" w:fill="FFFFFF"/>
                  <w:tcMar>
                    <w:top w:w="15" w:type="dxa"/>
                    <w:left w:w="15" w:type="dxa"/>
                    <w:right w:w="15" w:type="dxa"/>
                  </w:tcMar>
                  <w:vAlign w:val="center"/>
                </w:tcPr>
                <w:p w14:paraId="04A1A0D3">
                  <w:pPr>
                    <w:pStyle w:val="95"/>
                    <w:overflowPunct w:val="0"/>
                    <w:topLinePunct/>
                    <w:adjustRightInd w:val="0"/>
                    <w:snapToGrid w:val="0"/>
                  </w:pPr>
                  <w:r>
                    <w:t>1</w:t>
                  </w:r>
                </w:p>
              </w:tc>
            </w:tr>
            <w:tr w14:paraId="4997E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38" w:type="pct"/>
                  <w:shd w:val="clear" w:color="auto" w:fill="FFFFFF"/>
                  <w:noWrap/>
                  <w:tcMar>
                    <w:top w:w="15" w:type="dxa"/>
                    <w:left w:w="15" w:type="dxa"/>
                    <w:right w:w="15" w:type="dxa"/>
                  </w:tcMar>
                  <w:vAlign w:val="center"/>
                </w:tcPr>
                <w:p w14:paraId="28CC2D40">
                  <w:pPr>
                    <w:pStyle w:val="95"/>
                    <w:overflowPunct w:val="0"/>
                    <w:topLinePunct/>
                    <w:adjustRightInd w:val="0"/>
                    <w:snapToGrid w:val="0"/>
                  </w:pPr>
                  <w:r>
                    <w:t>首年后逐年衰减率</w:t>
                  </w:r>
                </w:p>
              </w:tc>
              <w:tc>
                <w:tcPr>
                  <w:tcW w:w="1015" w:type="pct"/>
                  <w:shd w:val="clear" w:color="auto" w:fill="FFFFFF"/>
                  <w:noWrap/>
                  <w:tcMar>
                    <w:top w:w="15" w:type="dxa"/>
                    <w:left w:w="15" w:type="dxa"/>
                    <w:right w:w="15" w:type="dxa"/>
                  </w:tcMar>
                  <w:vAlign w:val="center"/>
                </w:tcPr>
                <w:p w14:paraId="3112968F">
                  <w:pPr>
                    <w:pStyle w:val="95"/>
                    <w:overflowPunct w:val="0"/>
                    <w:topLinePunct/>
                    <w:adjustRightInd w:val="0"/>
                    <w:snapToGrid w:val="0"/>
                  </w:pPr>
                  <w:r>
                    <w:t>%</w:t>
                  </w:r>
                </w:p>
              </w:tc>
              <w:tc>
                <w:tcPr>
                  <w:tcW w:w="1847" w:type="pct"/>
                  <w:shd w:val="clear" w:color="auto" w:fill="FFFFFF"/>
                  <w:tcMar>
                    <w:top w:w="15" w:type="dxa"/>
                    <w:left w:w="15" w:type="dxa"/>
                    <w:right w:w="15" w:type="dxa"/>
                  </w:tcMar>
                  <w:vAlign w:val="center"/>
                </w:tcPr>
                <w:p w14:paraId="47D17B53">
                  <w:pPr>
                    <w:pStyle w:val="95"/>
                    <w:overflowPunct w:val="0"/>
                    <w:topLinePunct/>
                    <w:adjustRightInd w:val="0"/>
                    <w:snapToGrid w:val="0"/>
                  </w:pPr>
                  <w:r>
                    <w:t>0.4</w:t>
                  </w:r>
                </w:p>
              </w:tc>
            </w:tr>
          </w:tbl>
          <w:p w14:paraId="53A77EE0">
            <w:pPr>
              <w:pStyle w:val="112"/>
              <w:adjustRightInd/>
              <w:snapToGrid/>
              <w:spacing w:line="360" w:lineRule="auto"/>
              <w:ind w:firstLine="480" w:firstLineChars="200"/>
              <w:rPr>
                <w:rFonts w:ascii="Times New Roman"/>
                <w:snapToGrid/>
                <w:spacing w:val="0"/>
                <w:sz w:val="24"/>
              </w:rPr>
            </w:pPr>
            <w:r>
              <w:rPr>
                <w:rFonts w:hint="eastAsia" w:ascii="Times New Roman"/>
                <w:snapToGrid/>
                <w:spacing w:val="0"/>
                <w:sz w:val="24"/>
              </w:rPr>
              <w:t>（</w:t>
            </w:r>
            <w:r>
              <w:rPr>
                <w:rFonts w:ascii="Times New Roman"/>
                <w:snapToGrid/>
                <w:spacing w:val="0"/>
                <w:sz w:val="24"/>
              </w:rPr>
              <w:t>2</w:t>
            </w:r>
            <w:r>
              <w:rPr>
                <w:rFonts w:hint="eastAsia" w:ascii="Times New Roman"/>
                <w:snapToGrid/>
                <w:spacing w:val="0"/>
                <w:sz w:val="24"/>
              </w:rPr>
              <w:t>）逆变器典型参数</w:t>
            </w:r>
          </w:p>
          <w:p w14:paraId="54DFAFB4">
            <w:pPr>
              <w:pStyle w:val="112"/>
              <w:adjustRightInd/>
              <w:snapToGrid/>
              <w:spacing w:line="360" w:lineRule="auto"/>
              <w:ind w:firstLine="480" w:firstLineChars="200"/>
              <w:rPr>
                <w:rFonts w:ascii="Times New Roman"/>
                <w:snapToGrid/>
                <w:spacing w:val="0"/>
                <w:sz w:val="24"/>
              </w:rPr>
            </w:pPr>
            <w:r>
              <w:rPr>
                <w:rFonts w:hint="eastAsia" w:ascii="Times New Roman"/>
                <w:snapToGrid/>
                <w:spacing w:val="0"/>
                <w:sz w:val="24"/>
              </w:rPr>
              <w:t>逆变器主要参数见表2</w:t>
            </w:r>
            <w:r>
              <w:rPr>
                <w:rFonts w:ascii="Times New Roman"/>
                <w:snapToGrid/>
                <w:spacing w:val="0"/>
                <w:sz w:val="24"/>
              </w:rPr>
              <w:t>.2.2-4</w:t>
            </w:r>
            <w:r>
              <w:rPr>
                <w:rFonts w:hint="eastAsia" w:ascii="Times New Roman"/>
                <w:snapToGrid/>
                <w:spacing w:val="0"/>
                <w:sz w:val="24"/>
              </w:rPr>
              <w:t>。</w:t>
            </w:r>
          </w:p>
          <w:p w14:paraId="55033C14">
            <w:pPr>
              <w:pStyle w:val="219"/>
              <w:spacing w:before="0" w:beforeLines="0"/>
              <w:rPr>
                <w:sz w:val="24"/>
                <w:szCs w:val="24"/>
              </w:rPr>
            </w:pPr>
            <w:r>
              <w:rPr>
                <w:rFonts w:hint="eastAsia"/>
                <w:sz w:val="24"/>
                <w:szCs w:val="24"/>
              </w:rPr>
              <w:t>表2</w:t>
            </w:r>
            <w:r>
              <w:rPr>
                <w:sz w:val="24"/>
                <w:szCs w:val="24"/>
              </w:rPr>
              <w:t xml:space="preserve">.2.2-4  </w:t>
            </w:r>
            <w:r>
              <w:rPr>
                <w:rFonts w:hint="eastAsia"/>
                <w:sz w:val="24"/>
                <w:szCs w:val="24"/>
              </w:rPr>
              <w:t>组串式逆变器主要参数</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2236"/>
              <w:gridCol w:w="2656"/>
              <w:gridCol w:w="2656"/>
            </w:tblGrid>
            <w:tr w14:paraId="5F89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814" w:type="pct"/>
                  <w:gridSpan w:val="2"/>
                  <w:tcMar>
                    <w:left w:w="28" w:type="dxa"/>
                    <w:right w:w="28" w:type="dxa"/>
                  </w:tcMar>
                  <w:vAlign w:val="center"/>
                </w:tcPr>
                <w:p w14:paraId="5F1AA0B8">
                  <w:pPr>
                    <w:pStyle w:val="95"/>
                    <w:overflowPunct w:val="0"/>
                    <w:topLinePunct/>
                    <w:adjustRightInd w:val="0"/>
                    <w:snapToGrid w:val="0"/>
                    <w:spacing w:before="0" w:after="0"/>
                  </w:pPr>
                  <w:r>
                    <w:t>项  目</w:t>
                  </w:r>
                </w:p>
              </w:tc>
              <w:tc>
                <w:tcPr>
                  <w:tcW w:w="1593" w:type="pct"/>
                  <w:vAlign w:val="center"/>
                </w:tcPr>
                <w:p w14:paraId="5087914A">
                  <w:pPr>
                    <w:pStyle w:val="95"/>
                    <w:overflowPunct w:val="0"/>
                    <w:topLinePunct/>
                    <w:adjustRightInd w:val="0"/>
                    <w:snapToGrid w:val="0"/>
                    <w:spacing w:before="0" w:after="0"/>
                  </w:pPr>
                  <w:r>
                    <w:t>300kW逆变器</w:t>
                  </w:r>
                </w:p>
              </w:tc>
              <w:tc>
                <w:tcPr>
                  <w:tcW w:w="1593" w:type="pct"/>
                  <w:vAlign w:val="center"/>
                </w:tcPr>
                <w:p w14:paraId="77433CB3">
                  <w:pPr>
                    <w:pStyle w:val="95"/>
                    <w:overflowPunct w:val="0"/>
                    <w:topLinePunct/>
                    <w:adjustRightInd w:val="0"/>
                    <w:snapToGrid w:val="0"/>
                    <w:spacing w:before="0" w:after="0"/>
                  </w:pPr>
                  <w:r>
                    <w:t>320kW逆变器</w:t>
                  </w:r>
                </w:p>
              </w:tc>
            </w:tr>
            <w:tr w14:paraId="56E8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restart"/>
                  <w:tcMar>
                    <w:left w:w="28" w:type="dxa"/>
                    <w:right w:w="28" w:type="dxa"/>
                  </w:tcMar>
                  <w:vAlign w:val="center"/>
                </w:tcPr>
                <w:p w14:paraId="74DCD52C">
                  <w:pPr>
                    <w:pStyle w:val="95"/>
                    <w:overflowPunct w:val="0"/>
                    <w:topLinePunct/>
                    <w:adjustRightInd w:val="0"/>
                    <w:snapToGrid w:val="0"/>
                    <w:spacing w:before="0" w:after="0"/>
                  </w:pPr>
                  <w:r>
                    <w:t>输入参数</w:t>
                  </w:r>
                </w:p>
              </w:tc>
              <w:tc>
                <w:tcPr>
                  <w:tcW w:w="1341" w:type="pct"/>
                  <w:tcMar>
                    <w:left w:w="28" w:type="dxa"/>
                    <w:right w:w="28" w:type="dxa"/>
                  </w:tcMar>
                  <w:vAlign w:val="center"/>
                </w:tcPr>
                <w:p w14:paraId="1BE90935">
                  <w:pPr>
                    <w:pStyle w:val="95"/>
                    <w:overflowPunct w:val="0"/>
                    <w:topLinePunct/>
                    <w:adjustRightInd w:val="0"/>
                    <w:snapToGrid w:val="0"/>
                    <w:spacing w:before="0" w:after="0"/>
                  </w:pPr>
                  <w:r>
                    <w:t>最大输入电压（Vdc）</w:t>
                  </w:r>
                </w:p>
              </w:tc>
              <w:tc>
                <w:tcPr>
                  <w:tcW w:w="1593" w:type="pct"/>
                  <w:vAlign w:val="center"/>
                </w:tcPr>
                <w:p w14:paraId="65E79BF5">
                  <w:pPr>
                    <w:pStyle w:val="95"/>
                    <w:overflowPunct w:val="0"/>
                    <w:topLinePunct/>
                    <w:adjustRightInd w:val="0"/>
                    <w:snapToGrid w:val="0"/>
                    <w:spacing w:before="0" w:after="0"/>
                  </w:pPr>
                  <w:r>
                    <w:t>1500</w:t>
                  </w:r>
                </w:p>
              </w:tc>
              <w:tc>
                <w:tcPr>
                  <w:tcW w:w="1593" w:type="pct"/>
                  <w:vAlign w:val="center"/>
                </w:tcPr>
                <w:p w14:paraId="3A6FA61F">
                  <w:pPr>
                    <w:pStyle w:val="95"/>
                    <w:overflowPunct w:val="0"/>
                    <w:topLinePunct/>
                    <w:adjustRightInd w:val="0"/>
                    <w:snapToGrid w:val="0"/>
                    <w:spacing w:before="0" w:after="0"/>
                  </w:pPr>
                  <w:r>
                    <w:t>1500</w:t>
                  </w:r>
                </w:p>
              </w:tc>
            </w:tr>
            <w:tr w14:paraId="603C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6E1AC822">
                  <w:pPr>
                    <w:pStyle w:val="95"/>
                    <w:overflowPunct w:val="0"/>
                    <w:topLinePunct/>
                    <w:adjustRightInd w:val="0"/>
                    <w:snapToGrid w:val="0"/>
                    <w:spacing w:before="0" w:after="0"/>
                  </w:pPr>
                </w:p>
              </w:tc>
              <w:tc>
                <w:tcPr>
                  <w:tcW w:w="1341" w:type="pct"/>
                  <w:tcMar>
                    <w:left w:w="28" w:type="dxa"/>
                    <w:right w:w="28" w:type="dxa"/>
                  </w:tcMar>
                  <w:vAlign w:val="center"/>
                </w:tcPr>
                <w:p w14:paraId="17F04811">
                  <w:pPr>
                    <w:pStyle w:val="95"/>
                    <w:overflowPunct w:val="0"/>
                    <w:topLinePunct/>
                    <w:adjustRightInd w:val="0"/>
                    <w:snapToGrid w:val="0"/>
                    <w:spacing w:before="0" w:after="0"/>
                  </w:pPr>
                  <w:r>
                    <w:t>直流输入支路数</w:t>
                  </w:r>
                </w:p>
              </w:tc>
              <w:tc>
                <w:tcPr>
                  <w:tcW w:w="1593" w:type="pct"/>
                  <w:vAlign w:val="center"/>
                </w:tcPr>
                <w:p w14:paraId="0081BD74">
                  <w:pPr>
                    <w:pStyle w:val="95"/>
                    <w:overflowPunct w:val="0"/>
                    <w:topLinePunct/>
                    <w:adjustRightInd w:val="0"/>
                    <w:snapToGrid w:val="0"/>
                    <w:spacing w:before="0" w:after="0"/>
                  </w:pPr>
                  <w:r>
                    <w:t>4/5/5/4/5/5</w:t>
                  </w:r>
                </w:p>
              </w:tc>
              <w:tc>
                <w:tcPr>
                  <w:tcW w:w="1593" w:type="pct"/>
                  <w:vAlign w:val="center"/>
                </w:tcPr>
                <w:p w14:paraId="0CFE09D4">
                  <w:pPr>
                    <w:pStyle w:val="95"/>
                    <w:overflowPunct w:val="0"/>
                    <w:topLinePunct/>
                    <w:adjustRightInd w:val="0"/>
                    <w:snapToGrid w:val="0"/>
                    <w:spacing w:before="0" w:after="0"/>
                  </w:pPr>
                  <w:r>
                    <w:t>5</w:t>
                  </w:r>
                </w:p>
              </w:tc>
            </w:tr>
            <w:tr w14:paraId="44615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09285178">
                  <w:pPr>
                    <w:pStyle w:val="95"/>
                    <w:overflowPunct w:val="0"/>
                    <w:topLinePunct/>
                    <w:adjustRightInd w:val="0"/>
                    <w:snapToGrid w:val="0"/>
                    <w:spacing w:before="0" w:after="0"/>
                  </w:pPr>
                </w:p>
              </w:tc>
              <w:tc>
                <w:tcPr>
                  <w:tcW w:w="1341" w:type="pct"/>
                  <w:tcMar>
                    <w:left w:w="28" w:type="dxa"/>
                    <w:right w:w="28" w:type="dxa"/>
                  </w:tcMar>
                  <w:vAlign w:val="center"/>
                </w:tcPr>
                <w:p w14:paraId="0BAFDBF5">
                  <w:pPr>
                    <w:pStyle w:val="95"/>
                    <w:overflowPunct w:val="0"/>
                    <w:topLinePunct/>
                    <w:adjustRightInd w:val="0"/>
                    <w:snapToGrid w:val="0"/>
                    <w:spacing w:before="0" w:after="0"/>
                  </w:pPr>
                  <w:r>
                    <w:t>MPPT路数</w:t>
                  </w:r>
                </w:p>
              </w:tc>
              <w:tc>
                <w:tcPr>
                  <w:tcW w:w="1593" w:type="pct"/>
                  <w:vAlign w:val="center"/>
                </w:tcPr>
                <w:p w14:paraId="03290C99">
                  <w:pPr>
                    <w:pStyle w:val="95"/>
                    <w:overflowPunct w:val="0"/>
                    <w:topLinePunct/>
                    <w:adjustRightInd w:val="0"/>
                    <w:snapToGrid w:val="0"/>
                    <w:spacing w:before="0" w:after="0"/>
                  </w:pPr>
                  <w:r>
                    <w:t>6</w:t>
                  </w:r>
                </w:p>
              </w:tc>
              <w:tc>
                <w:tcPr>
                  <w:tcW w:w="1593" w:type="pct"/>
                  <w:vAlign w:val="center"/>
                </w:tcPr>
                <w:p w14:paraId="616DE2FC">
                  <w:pPr>
                    <w:pStyle w:val="95"/>
                    <w:overflowPunct w:val="0"/>
                    <w:topLinePunct/>
                    <w:adjustRightInd w:val="0"/>
                    <w:snapToGrid w:val="0"/>
                    <w:spacing w:before="0" w:after="0"/>
                  </w:pPr>
                  <w:r>
                    <w:t>6</w:t>
                  </w:r>
                </w:p>
              </w:tc>
            </w:tr>
            <w:tr w14:paraId="3F08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5C20EFCA">
                  <w:pPr>
                    <w:pStyle w:val="95"/>
                    <w:overflowPunct w:val="0"/>
                    <w:topLinePunct/>
                    <w:adjustRightInd w:val="0"/>
                    <w:snapToGrid w:val="0"/>
                    <w:spacing w:before="0" w:after="0"/>
                  </w:pPr>
                </w:p>
              </w:tc>
              <w:tc>
                <w:tcPr>
                  <w:tcW w:w="1341" w:type="pct"/>
                  <w:tcMar>
                    <w:left w:w="28" w:type="dxa"/>
                    <w:right w:w="28" w:type="dxa"/>
                  </w:tcMar>
                  <w:vAlign w:val="center"/>
                </w:tcPr>
                <w:p w14:paraId="63A4044B">
                  <w:pPr>
                    <w:pStyle w:val="95"/>
                    <w:overflowPunct w:val="0"/>
                    <w:topLinePunct/>
                    <w:adjustRightInd w:val="0"/>
                    <w:snapToGrid w:val="0"/>
                    <w:spacing w:before="0" w:after="0"/>
                  </w:pPr>
                  <w:r>
                    <w:t>允许电压范围（Vac）</w:t>
                  </w:r>
                </w:p>
              </w:tc>
              <w:tc>
                <w:tcPr>
                  <w:tcW w:w="1593" w:type="pct"/>
                  <w:vAlign w:val="center"/>
                </w:tcPr>
                <w:p w14:paraId="252D16FF">
                  <w:pPr>
                    <w:pStyle w:val="95"/>
                    <w:overflowPunct w:val="0"/>
                    <w:topLinePunct/>
                    <w:adjustRightInd w:val="0"/>
                    <w:snapToGrid w:val="0"/>
                    <w:spacing w:before="0" w:after="0"/>
                  </w:pPr>
                  <w:r>
                    <w:t>500～1500</w:t>
                  </w:r>
                </w:p>
              </w:tc>
              <w:tc>
                <w:tcPr>
                  <w:tcW w:w="1593" w:type="pct"/>
                  <w:vAlign w:val="center"/>
                </w:tcPr>
                <w:p w14:paraId="2B7CC6AC">
                  <w:pPr>
                    <w:pStyle w:val="95"/>
                    <w:overflowPunct w:val="0"/>
                    <w:topLinePunct/>
                    <w:adjustRightInd w:val="0"/>
                    <w:snapToGrid w:val="0"/>
                    <w:spacing w:before="0" w:after="0"/>
                  </w:pPr>
                  <w:r>
                    <w:t>500～1500</w:t>
                  </w:r>
                </w:p>
              </w:tc>
            </w:tr>
            <w:tr w14:paraId="028B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67F668D4">
                  <w:pPr>
                    <w:pStyle w:val="95"/>
                    <w:overflowPunct w:val="0"/>
                    <w:topLinePunct/>
                    <w:adjustRightInd w:val="0"/>
                    <w:snapToGrid w:val="0"/>
                    <w:spacing w:before="0" w:after="0"/>
                  </w:pPr>
                </w:p>
              </w:tc>
              <w:tc>
                <w:tcPr>
                  <w:tcW w:w="1341" w:type="pct"/>
                  <w:tcMar>
                    <w:left w:w="28" w:type="dxa"/>
                    <w:right w:w="28" w:type="dxa"/>
                  </w:tcMar>
                  <w:vAlign w:val="center"/>
                </w:tcPr>
                <w:p w14:paraId="4E6CFBA2">
                  <w:pPr>
                    <w:pStyle w:val="95"/>
                    <w:overflowPunct w:val="0"/>
                    <w:topLinePunct/>
                    <w:adjustRightInd w:val="0"/>
                    <w:snapToGrid w:val="0"/>
                    <w:spacing w:before="0" w:after="0"/>
                  </w:pPr>
                  <w:r>
                    <w:t>每路MPPT最大输入电流（Adc）</w:t>
                  </w:r>
                </w:p>
              </w:tc>
              <w:tc>
                <w:tcPr>
                  <w:tcW w:w="1593" w:type="pct"/>
                  <w:vAlign w:val="center"/>
                </w:tcPr>
                <w:p w14:paraId="6BF1D4A5">
                  <w:pPr>
                    <w:pStyle w:val="95"/>
                    <w:overflowPunct w:val="0"/>
                    <w:topLinePunct/>
                    <w:adjustRightInd w:val="0"/>
                    <w:snapToGrid w:val="0"/>
                    <w:spacing w:before="0" w:after="0"/>
                  </w:pPr>
                  <w:r>
                    <w:t>65</w:t>
                  </w:r>
                </w:p>
              </w:tc>
              <w:tc>
                <w:tcPr>
                  <w:tcW w:w="1593" w:type="pct"/>
                  <w:vAlign w:val="center"/>
                </w:tcPr>
                <w:p w14:paraId="3531B0BD">
                  <w:pPr>
                    <w:pStyle w:val="95"/>
                    <w:overflowPunct w:val="0"/>
                    <w:topLinePunct/>
                    <w:adjustRightInd w:val="0"/>
                    <w:snapToGrid w:val="0"/>
                    <w:spacing w:before="0" w:after="0"/>
                  </w:pPr>
                  <w:r>
                    <w:t>75</w:t>
                  </w:r>
                </w:p>
              </w:tc>
            </w:tr>
            <w:tr w14:paraId="4F0B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restart"/>
                  <w:tcMar>
                    <w:left w:w="28" w:type="dxa"/>
                    <w:right w:w="28" w:type="dxa"/>
                  </w:tcMar>
                  <w:vAlign w:val="center"/>
                </w:tcPr>
                <w:p w14:paraId="64762DEA">
                  <w:pPr>
                    <w:pStyle w:val="95"/>
                    <w:overflowPunct w:val="0"/>
                    <w:topLinePunct/>
                    <w:adjustRightInd w:val="0"/>
                    <w:snapToGrid w:val="0"/>
                    <w:spacing w:before="0" w:after="0"/>
                  </w:pPr>
                  <w:r>
                    <w:t>输出参数</w:t>
                  </w:r>
                </w:p>
              </w:tc>
              <w:tc>
                <w:tcPr>
                  <w:tcW w:w="1341" w:type="pct"/>
                  <w:tcMar>
                    <w:left w:w="28" w:type="dxa"/>
                    <w:right w:w="28" w:type="dxa"/>
                  </w:tcMar>
                  <w:vAlign w:val="center"/>
                </w:tcPr>
                <w:p w14:paraId="3EF7DE2B">
                  <w:pPr>
                    <w:pStyle w:val="95"/>
                    <w:overflowPunct w:val="0"/>
                    <w:topLinePunct/>
                    <w:adjustRightInd w:val="0"/>
                    <w:snapToGrid w:val="0"/>
                    <w:spacing w:before="0" w:after="0"/>
                  </w:pPr>
                  <w:r>
                    <w:t>额定交流输出功率（kW）</w:t>
                  </w:r>
                </w:p>
              </w:tc>
              <w:tc>
                <w:tcPr>
                  <w:tcW w:w="1593" w:type="pct"/>
                  <w:vAlign w:val="center"/>
                </w:tcPr>
                <w:p w14:paraId="13F8CFE6">
                  <w:pPr>
                    <w:pStyle w:val="95"/>
                    <w:overflowPunct w:val="0"/>
                    <w:topLinePunct/>
                    <w:adjustRightInd w:val="0"/>
                    <w:snapToGrid w:val="0"/>
                    <w:spacing w:before="0" w:after="0"/>
                  </w:pPr>
                  <w:r>
                    <w:t>300</w:t>
                  </w:r>
                </w:p>
              </w:tc>
              <w:tc>
                <w:tcPr>
                  <w:tcW w:w="1593" w:type="pct"/>
                  <w:vAlign w:val="center"/>
                </w:tcPr>
                <w:p w14:paraId="114BDD48">
                  <w:pPr>
                    <w:pStyle w:val="95"/>
                    <w:overflowPunct w:val="0"/>
                    <w:topLinePunct/>
                    <w:adjustRightInd w:val="0"/>
                    <w:snapToGrid w:val="0"/>
                    <w:spacing w:before="0" w:after="0"/>
                  </w:pPr>
                  <w:r>
                    <w:t>320</w:t>
                  </w:r>
                </w:p>
              </w:tc>
            </w:tr>
            <w:tr w14:paraId="7BC0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767F1F8E">
                  <w:pPr>
                    <w:pStyle w:val="95"/>
                    <w:overflowPunct w:val="0"/>
                    <w:topLinePunct/>
                    <w:adjustRightInd w:val="0"/>
                    <w:snapToGrid w:val="0"/>
                    <w:spacing w:before="0" w:after="0"/>
                  </w:pPr>
                </w:p>
              </w:tc>
              <w:tc>
                <w:tcPr>
                  <w:tcW w:w="1341" w:type="pct"/>
                  <w:tcMar>
                    <w:left w:w="28" w:type="dxa"/>
                    <w:right w:w="28" w:type="dxa"/>
                  </w:tcMar>
                  <w:vAlign w:val="center"/>
                </w:tcPr>
                <w:p w14:paraId="5D02A5AE">
                  <w:pPr>
                    <w:pStyle w:val="95"/>
                    <w:overflowPunct w:val="0"/>
                    <w:topLinePunct/>
                    <w:adjustRightInd w:val="0"/>
                    <w:snapToGrid w:val="0"/>
                    <w:spacing w:before="0" w:after="0"/>
                  </w:pPr>
                  <w:r>
                    <w:t>最大输出功率（kVA）</w:t>
                  </w:r>
                </w:p>
              </w:tc>
              <w:tc>
                <w:tcPr>
                  <w:tcW w:w="1593" w:type="pct"/>
                  <w:vAlign w:val="center"/>
                </w:tcPr>
                <w:p w14:paraId="0648A8F0">
                  <w:pPr>
                    <w:pStyle w:val="95"/>
                    <w:overflowPunct w:val="0"/>
                    <w:topLinePunct/>
                    <w:adjustRightInd w:val="0"/>
                    <w:snapToGrid w:val="0"/>
                    <w:spacing w:before="0" w:after="0"/>
                  </w:pPr>
                  <w:r>
                    <w:t>330</w:t>
                  </w:r>
                </w:p>
              </w:tc>
              <w:tc>
                <w:tcPr>
                  <w:tcW w:w="1593" w:type="pct"/>
                  <w:vAlign w:val="center"/>
                </w:tcPr>
                <w:p w14:paraId="7A13FE09">
                  <w:pPr>
                    <w:pStyle w:val="95"/>
                    <w:overflowPunct w:val="0"/>
                    <w:topLinePunct/>
                    <w:adjustRightInd w:val="0"/>
                    <w:snapToGrid w:val="0"/>
                    <w:spacing w:before="0" w:after="0"/>
                  </w:pPr>
                  <w:r>
                    <w:t>352</w:t>
                  </w:r>
                </w:p>
              </w:tc>
            </w:tr>
            <w:tr w14:paraId="644C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784511E3">
                  <w:pPr>
                    <w:pStyle w:val="95"/>
                    <w:overflowPunct w:val="0"/>
                    <w:topLinePunct/>
                    <w:adjustRightInd w:val="0"/>
                    <w:snapToGrid w:val="0"/>
                    <w:spacing w:before="0" w:after="0"/>
                  </w:pPr>
                </w:p>
              </w:tc>
              <w:tc>
                <w:tcPr>
                  <w:tcW w:w="1341" w:type="pct"/>
                  <w:tcMar>
                    <w:left w:w="28" w:type="dxa"/>
                    <w:right w:w="28" w:type="dxa"/>
                  </w:tcMar>
                  <w:vAlign w:val="center"/>
                </w:tcPr>
                <w:p w14:paraId="4C77CC6A">
                  <w:pPr>
                    <w:pStyle w:val="95"/>
                    <w:overflowPunct w:val="0"/>
                    <w:topLinePunct/>
                    <w:adjustRightInd w:val="0"/>
                    <w:snapToGrid w:val="0"/>
                    <w:spacing w:before="0" w:after="0"/>
                  </w:pPr>
                  <w:r>
                    <w:t>最大输出电流（Aac）</w:t>
                  </w:r>
                </w:p>
              </w:tc>
              <w:tc>
                <w:tcPr>
                  <w:tcW w:w="1593" w:type="pct"/>
                  <w:vAlign w:val="center"/>
                </w:tcPr>
                <w:p w14:paraId="5B17DD52">
                  <w:pPr>
                    <w:pStyle w:val="95"/>
                    <w:overflowPunct w:val="0"/>
                    <w:topLinePunct/>
                    <w:adjustRightInd w:val="0"/>
                    <w:snapToGrid w:val="0"/>
                    <w:spacing w:before="0" w:after="0"/>
                  </w:pPr>
                  <w:r>
                    <w:t>238.2</w:t>
                  </w:r>
                </w:p>
              </w:tc>
              <w:tc>
                <w:tcPr>
                  <w:tcW w:w="1593" w:type="pct"/>
                  <w:vAlign w:val="center"/>
                </w:tcPr>
                <w:p w14:paraId="5A726642">
                  <w:pPr>
                    <w:pStyle w:val="95"/>
                    <w:overflowPunct w:val="0"/>
                    <w:topLinePunct/>
                    <w:adjustRightInd w:val="0"/>
                    <w:snapToGrid w:val="0"/>
                    <w:spacing w:before="0" w:after="0"/>
                  </w:pPr>
                  <w:r>
                    <w:t>254</w:t>
                  </w:r>
                </w:p>
              </w:tc>
            </w:tr>
            <w:tr w14:paraId="29F7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73" w:type="pct"/>
                  <w:vMerge w:val="continue"/>
                  <w:tcMar>
                    <w:left w:w="28" w:type="dxa"/>
                    <w:right w:w="28" w:type="dxa"/>
                  </w:tcMar>
                  <w:vAlign w:val="center"/>
                </w:tcPr>
                <w:p w14:paraId="477D3B8D">
                  <w:pPr>
                    <w:pStyle w:val="95"/>
                    <w:overflowPunct w:val="0"/>
                    <w:topLinePunct/>
                    <w:adjustRightInd w:val="0"/>
                    <w:snapToGrid w:val="0"/>
                    <w:spacing w:before="0" w:after="0"/>
                  </w:pPr>
                </w:p>
              </w:tc>
              <w:tc>
                <w:tcPr>
                  <w:tcW w:w="1341" w:type="pct"/>
                  <w:tcMar>
                    <w:left w:w="28" w:type="dxa"/>
                    <w:right w:w="28" w:type="dxa"/>
                  </w:tcMar>
                  <w:vAlign w:val="center"/>
                </w:tcPr>
                <w:p w14:paraId="6D8B1F35">
                  <w:pPr>
                    <w:pStyle w:val="95"/>
                    <w:overflowPunct w:val="0"/>
                    <w:topLinePunct/>
                    <w:adjustRightInd w:val="0"/>
                    <w:snapToGrid w:val="0"/>
                    <w:spacing w:before="0" w:after="0"/>
                  </w:pPr>
                  <w:r>
                    <w:t>额定电网频率（Hz）</w:t>
                  </w:r>
                </w:p>
              </w:tc>
              <w:tc>
                <w:tcPr>
                  <w:tcW w:w="1593" w:type="pct"/>
                  <w:vAlign w:val="center"/>
                </w:tcPr>
                <w:p w14:paraId="10978C3F">
                  <w:pPr>
                    <w:pStyle w:val="95"/>
                    <w:overflowPunct w:val="0"/>
                    <w:topLinePunct/>
                    <w:adjustRightInd w:val="0"/>
                    <w:snapToGrid w:val="0"/>
                    <w:spacing w:before="0" w:after="0"/>
                  </w:pPr>
                  <w:r>
                    <w:t>50</w:t>
                  </w:r>
                </w:p>
              </w:tc>
              <w:tc>
                <w:tcPr>
                  <w:tcW w:w="1593" w:type="pct"/>
                  <w:vAlign w:val="center"/>
                </w:tcPr>
                <w:p w14:paraId="7C0C8688">
                  <w:pPr>
                    <w:pStyle w:val="95"/>
                    <w:overflowPunct w:val="0"/>
                    <w:topLinePunct/>
                    <w:adjustRightInd w:val="0"/>
                    <w:snapToGrid w:val="0"/>
                    <w:spacing w:before="0" w:after="0"/>
                  </w:pPr>
                  <w:r>
                    <w:t>50</w:t>
                  </w:r>
                </w:p>
              </w:tc>
            </w:tr>
            <w:tr w14:paraId="7B42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3B1F0A7F">
                  <w:pPr>
                    <w:pStyle w:val="95"/>
                    <w:overflowPunct w:val="0"/>
                    <w:topLinePunct/>
                    <w:adjustRightInd w:val="0"/>
                    <w:snapToGrid w:val="0"/>
                    <w:spacing w:before="0" w:after="0"/>
                  </w:pPr>
                </w:p>
              </w:tc>
              <w:tc>
                <w:tcPr>
                  <w:tcW w:w="1341" w:type="pct"/>
                  <w:tcMar>
                    <w:left w:w="28" w:type="dxa"/>
                    <w:right w:w="28" w:type="dxa"/>
                  </w:tcMar>
                  <w:vAlign w:val="center"/>
                </w:tcPr>
                <w:p w14:paraId="6AD7B859">
                  <w:pPr>
                    <w:pStyle w:val="95"/>
                    <w:overflowPunct w:val="0"/>
                    <w:topLinePunct/>
                    <w:adjustRightInd w:val="0"/>
                    <w:snapToGrid w:val="0"/>
                    <w:spacing w:before="0" w:after="0"/>
                  </w:pPr>
                  <w:r>
                    <w:t>额定输出电压（V）</w:t>
                  </w:r>
                </w:p>
              </w:tc>
              <w:tc>
                <w:tcPr>
                  <w:tcW w:w="1593" w:type="pct"/>
                  <w:vAlign w:val="center"/>
                </w:tcPr>
                <w:p w14:paraId="2F5B8EFE">
                  <w:pPr>
                    <w:pStyle w:val="95"/>
                    <w:overflowPunct w:val="0"/>
                    <w:topLinePunct/>
                    <w:adjustRightInd w:val="0"/>
                    <w:snapToGrid w:val="0"/>
                    <w:spacing w:before="0" w:after="0"/>
                  </w:pPr>
                  <w:r>
                    <w:t>800，3W+PE</w:t>
                  </w:r>
                </w:p>
              </w:tc>
              <w:tc>
                <w:tcPr>
                  <w:tcW w:w="1593" w:type="pct"/>
                  <w:vAlign w:val="center"/>
                </w:tcPr>
                <w:p w14:paraId="45615A3F">
                  <w:pPr>
                    <w:pStyle w:val="95"/>
                    <w:overflowPunct w:val="0"/>
                    <w:topLinePunct/>
                    <w:adjustRightInd w:val="0"/>
                    <w:snapToGrid w:val="0"/>
                    <w:spacing w:before="0" w:after="0"/>
                  </w:pPr>
                  <w:r>
                    <w:t>800，3W+PE</w:t>
                  </w:r>
                </w:p>
              </w:tc>
            </w:tr>
            <w:tr w14:paraId="135C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73" w:type="pct"/>
                  <w:vMerge w:val="continue"/>
                  <w:tcMar>
                    <w:left w:w="28" w:type="dxa"/>
                    <w:right w:w="28" w:type="dxa"/>
                  </w:tcMar>
                  <w:vAlign w:val="center"/>
                </w:tcPr>
                <w:p w14:paraId="794A2B48">
                  <w:pPr>
                    <w:pStyle w:val="95"/>
                    <w:overflowPunct w:val="0"/>
                    <w:topLinePunct/>
                    <w:adjustRightInd w:val="0"/>
                    <w:snapToGrid w:val="0"/>
                    <w:spacing w:before="0" w:after="0"/>
                  </w:pPr>
                </w:p>
              </w:tc>
              <w:tc>
                <w:tcPr>
                  <w:tcW w:w="1341" w:type="pct"/>
                  <w:tcMar>
                    <w:left w:w="28" w:type="dxa"/>
                    <w:right w:w="28" w:type="dxa"/>
                  </w:tcMar>
                  <w:vAlign w:val="center"/>
                </w:tcPr>
                <w:p w14:paraId="20D1229C">
                  <w:pPr>
                    <w:pStyle w:val="95"/>
                    <w:overflowPunct w:val="0"/>
                    <w:topLinePunct/>
                    <w:adjustRightInd w:val="0"/>
                    <w:snapToGrid w:val="0"/>
                    <w:spacing w:before="0" w:after="0"/>
                  </w:pPr>
                  <w:r>
                    <w:t>功率因数</w:t>
                  </w:r>
                </w:p>
              </w:tc>
              <w:tc>
                <w:tcPr>
                  <w:tcW w:w="1593" w:type="pct"/>
                  <w:vAlign w:val="center"/>
                </w:tcPr>
                <w:p w14:paraId="4BD2A927">
                  <w:pPr>
                    <w:pStyle w:val="95"/>
                    <w:overflowPunct w:val="0"/>
                    <w:topLinePunct/>
                    <w:adjustRightInd w:val="0"/>
                    <w:snapToGrid w:val="0"/>
                    <w:spacing w:before="0" w:after="0"/>
                  </w:pPr>
                  <w:r>
                    <w:t>0.8（超前）～0.8（滞后）</w:t>
                  </w:r>
                </w:p>
              </w:tc>
              <w:tc>
                <w:tcPr>
                  <w:tcW w:w="1593" w:type="pct"/>
                  <w:vAlign w:val="center"/>
                </w:tcPr>
                <w:p w14:paraId="20B6E333">
                  <w:pPr>
                    <w:pStyle w:val="95"/>
                    <w:overflowPunct w:val="0"/>
                    <w:topLinePunct/>
                    <w:adjustRightInd w:val="0"/>
                    <w:snapToGrid w:val="0"/>
                    <w:spacing w:before="0" w:after="0"/>
                  </w:pPr>
                  <w:r>
                    <w:t>0.8（超前）～0.8（滞后）</w:t>
                  </w:r>
                </w:p>
              </w:tc>
            </w:tr>
            <w:tr w14:paraId="4275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3EFADE18">
                  <w:pPr>
                    <w:pStyle w:val="95"/>
                    <w:overflowPunct w:val="0"/>
                    <w:topLinePunct/>
                    <w:adjustRightInd w:val="0"/>
                    <w:snapToGrid w:val="0"/>
                    <w:spacing w:before="0" w:after="0"/>
                  </w:pPr>
                </w:p>
              </w:tc>
              <w:tc>
                <w:tcPr>
                  <w:tcW w:w="1341" w:type="pct"/>
                  <w:tcMar>
                    <w:left w:w="28" w:type="dxa"/>
                    <w:right w:w="28" w:type="dxa"/>
                  </w:tcMar>
                  <w:vAlign w:val="center"/>
                </w:tcPr>
                <w:p w14:paraId="241A40EB">
                  <w:pPr>
                    <w:pStyle w:val="95"/>
                    <w:overflowPunct w:val="0"/>
                    <w:topLinePunct/>
                    <w:adjustRightInd w:val="0"/>
                    <w:snapToGrid w:val="0"/>
                    <w:spacing w:before="0" w:after="0"/>
                  </w:pPr>
                  <w:r>
                    <w:t>最大总谐波失真</w:t>
                  </w:r>
                </w:p>
              </w:tc>
              <w:tc>
                <w:tcPr>
                  <w:tcW w:w="1593" w:type="pct"/>
                  <w:vAlign w:val="center"/>
                </w:tcPr>
                <w:p w14:paraId="7B966047">
                  <w:pPr>
                    <w:pStyle w:val="95"/>
                    <w:overflowPunct w:val="0"/>
                    <w:topLinePunct/>
                    <w:adjustRightInd w:val="0"/>
                    <w:snapToGrid w:val="0"/>
                    <w:spacing w:before="0" w:after="0"/>
                  </w:pPr>
                  <w:r>
                    <w:t>＜1%</w:t>
                  </w:r>
                </w:p>
              </w:tc>
              <w:tc>
                <w:tcPr>
                  <w:tcW w:w="1593" w:type="pct"/>
                  <w:vAlign w:val="center"/>
                </w:tcPr>
                <w:p w14:paraId="04B1FAC7">
                  <w:pPr>
                    <w:pStyle w:val="95"/>
                    <w:overflowPunct w:val="0"/>
                    <w:topLinePunct/>
                    <w:adjustRightInd w:val="0"/>
                    <w:snapToGrid w:val="0"/>
                    <w:spacing w:before="0" w:after="0"/>
                  </w:pPr>
                  <w:r>
                    <w:t>＜1%</w:t>
                  </w:r>
                </w:p>
              </w:tc>
            </w:tr>
            <w:tr w14:paraId="3FB8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restart"/>
                  <w:tcMar>
                    <w:left w:w="28" w:type="dxa"/>
                    <w:right w:w="28" w:type="dxa"/>
                  </w:tcMar>
                  <w:vAlign w:val="center"/>
                </w:tcPr>
                <w:p w14:paraId="128CC9BD">
                  <w:pPr>
                    <w:pStyle w:val="95"/>
                    <w:overflowPunct w:val="0"/>
                    <w:topLinePunct/>
                    <w:adjustRightInd w:val="0"/>
                    <w:snapToGrid w:val="0"/>
                    <w:spacing w:before="0" w:after="0"/>
                  </w:pPr>
                  <w:r>
                    <w:t>系统性能</w:t>
                  </w:r>
                </w:p>
              </w:tc>
              <w:tc>
                <w:tcPr>
                  <w:tcW w:w="1341" w:type="pct"/>
                  <w:tcMar>
                    <w:left w:w="28" w:type="dxa"/>
                    <w:right w:w="28" w:type="dxa"/>
                  </w:tcMar>
                  <w:vAlign w:val="center"/>
                </w:tcPr>
                <w:p w14:paraId="166EA9A0">
                  <w:pPr>
                    <w:pStyle w:val="95"/>
                    <w:overflowPunct w:val="0"/>
                    <w:topLinePunct/>
                    <w:adjustRightInd w:val="0"/>
                    <w:snapToGrid w:val="0"/>
                    <w:spacing w:before="0" w:after="0"/>
                  </w:pPr>
                  <w:r>
                    <w:t>最大逆变器效率（%）</w:t>
                  </w:r>
                </w:p>
              </w:tc>
              <w:tc>
                <w:tcPr>
                  <w:tcW w:w="1593" w:type="pct"/>
                  <w:vAlign w:val="center"/>
                </w:tcPr>
                <w:p w14:paraId="380F40B8">
                  <w:pPr>
                    <w:pStyle w:val="95"/>
                    <w:overflowPunct w:val="0"/>
                    <w:topLinePunct/>
                    <w:adjustRightInd w:val="0"/>
                    <w:snapToGrid w:val="0"/>
                    <w:spacing w:before="0" w:after="0"/>
                  </w:pPr>
                  <w:r>
                    <w:t>≥99.0</w:t>
                  </w:r>
                </w:p>
              </w:tc>
              <w:tc>
                <w:tcPr>
                  <w:tcW w:w="1593" w:type="pct"/>
                  <w:vAlign w:val="center"/>
                </w:tcPr>
                <w:p w14:paraId="7D81EB3B">
                  <w:pPr>
                    <w:pStyle w:val="95"/>
                    <w:overflowPunct w:val="0"/>
                    <w:topLinePunct/>
                    <w:adjustRightInd w:val="0"/>
                    <w:snapToGrid w:val="0"/>
                    <w:spacing w:before="0" w:after="0"/>
                  </w:pPr>
                  <w:r>
                    <w:t>99.03</w:t>
                  </w:r>
                </w:p>
              </w:tc>
            </w:tr>
            <w:tr w14:paraId="22D6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0CB72816">
                  <w:pPr>
                    <w:pStyle w:val="95"/>
                    <w:overflowPunct w:val="0"/>
                    <w:topLinePunct/>
                    <w:adjustRightInd w:val="0"/>
                    <w:snapToGrid w:val="0"/>
                    <w:spacing w:before="0" w:after="0"/>
                  </w:pPr>
                </w:p>
              </w:tc>
              <w:tc>
                <w:tcPr>
                  <w:tcW w:w="1341" w:type="pct"/>
                  <w:tcMar>
                    <w:left w:w="28" w:type="dxa"/>
                    <w:right w:w="28" w:type="dxa"/>
                  </w:tcMar>
                  <w:vAlign w:val="center"/>
                </w:tcPr>
                <w:p w14:paraId="57D14457">
                  <w:pPr>
                    <w:pStyle w:val="95"/>
                    <w:overflowPunct w:val="0"/>
                    <w:topLinePunct/>
                    <w:adjustRightInd w:val="0"/>
                    <w:snapToGrid w:val="0"/>
                    <w:spacing w:before="0" w:after="0"/>
                  </w:pPr>
                  <w:r>
                    <w:t>中国效率（%）</w:t>
                  </w:r>
                </w:p>
              </w:tc>
              <w:tc>
                <w:tcPr>
                  <w:tcW w:w="1593" w:type="pct"/>
                  <w:vAlign w:val="center"/>
                </w:tcPr>
                <w:p w14:paraId="26C785B9">
                  <w:pPr>
                    <w:pStyle w:val="95"/>
                    <w:overflowPunct w:val="0"/>
                    <w:topLinePunct/>
                    <w:adjustRightInd w:val="0"/>
                    <w:snapToGrid w:val="0"/>
                    <w:spacing w:before="0" w:after="0"/>
                  </w:pPr>
                  <w:r>
                    <w:t>≥98.5</w:t>
                  </w:r>
                </w:p>
              </w:tc>
              <w:tc>
                <w:tcPr>
                  <w:tcW w:w="1593" w:type="pct"/>
                  <w:vAlign w:val="center"/>
                </w:tcPr>
                <w:p w14:paraId="5D532A09">
                  <w:pPr>
                    <w:pStyle w:val="95"/>
                    <w:overflowPunct w:val="0"/>
                    <w:topLinePunct/>
                    <w:adjustRightInd w:val="0"/>
                    <w:snapToGrid w:val="0"/>
                    <w:spacing w:before="0" w:after="0"/>
                  </w:pPr>
                  <w:r>
                    <w:t>98.53</w:t>
                  </w:r>
                </w:p>
              </w:tc>
            </w:tr>
            <w:tr w14:paraId="4FF3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6E4301E8">
                  <w:pPr>
                    <w:pStyle w:val="95"/>
                    <w:overflowPunct w:val="0"/>
                    <w:topLinePunct/>
                    <w:adjustRightInd w:val="0"/>
                    <w:snapToGrid w:val="0"/>
                    <w:spacing w:before="0" w:after="0"/>
                  </w:pPr>
                </w:p>
              </w:tc>
              <w:tc>
                <w:tcPr>
                  <w:tcW w:w="1341" w:type="pct"/>
                  <w:tcMar>
                    <w:left w:w="28" w:type="dxa"/>
                    <w:right w:w="28" w:type="dxa"/>
                  </w:tcMar>
                  <w:vAlign w:val="center"/>
                </w:tcPr>
                <w:p w14:paraId="05B76479">
                  <w:pPr>
                    <w:pStyle w:val="95"/>
                    <w:overflowPunct w:val="0"/>
                    <w:topLinePunct/>
                    <w:adjustRightInd w:val="0"/>
                    <w:snapToGrid w:val="0"/>
                    <w:spacing w:before="0" w:after="0"/>
                  </w:pPr>
                  <w:r>
                    <w:t>外壳防护等级</w:t>
                  </w:r>
                </w:p>
              </w:tc>
              <w:tc>
                <w:tcPr>
                  <w:tcW w:w="1593" w:type="pct"/>
                  <w:vAlign w:val="center"/>
                </w:tcPr>
                <w:p w14:paraId="1127FEF7">
                  <w:pPr>
                    <w:pStyle w:val="95"/>
                    <w:overflowPunct w:val="0"/>
                    <w:topLinePunct/>
                    <w:adjustRightInd w:val="0"/>
                    <w:snapToGrid w:val="0"/>
                    <w:spacing w:before="0" w:after="0"/>
                  </w:pPr>
                  <w:r>
                    <w:t>IP66</w:t>
                  </w:r>
                </w:p>
              </w:tc>
              <w:tc>
                <w:tcPr>
                  <w:tcW w:w="1593" w:type="pct"/>
                  <w:vAlign w:val="center"/>
                </w:tcPr>
                <w:p w14:paraId="48982D66">
                  <w:pPr>
                    <w:pStyle w:val="95"/>
                    <w:overflowPunct w:val="0"/>
                    <w:topLinePunct/>
                    <w:adjustRightInd w:val="0"/>
                    <w:snapToGrid w:val="0"/>
                    <w:spacing w:before="0" w:after="0"/>
                  </w:pPr>
                  <w:r>
                    <w:t>IP66</w:t>
                  </w:r>
                </w:p>
              </w:tc>
            </w:tr>
            <w:tr w14:paraId="0ECB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58BE5554">
                  <w:pPr>
                    <w:pStyle w:val="95"/>
                    <w:overflowPunct w:val="0"/>
                    <w:topLinePunct/>
                    <w:adjustRightInd w:val="0"/>
                    <w:snapToGrid w:val="0"/>
                    <w:spacing w:before="0" w:after="0"/>
                  </w:pPr>
                </w:p>
              </w:tc>
              <w:tc>
                <w:tcPr>
                  <w:tcW w:w="1341" w:type="pct"/>
                  <w:tcMar>
                    <w:left w:w="28" w:type="dxa"/>
                    <w:right w:w="28" w:type="dxa"/>
                  </w:tcMar>
                  <w:vAlign w:val="center"/>
                </w:tcPr>
                <w:p w14:paraId="2942C487">
                  <w:pPr>
                    <w:pStyle w:val="95"/>
                    <w:overflowPunct w:val="0"/>
                    <w:topLinePunct/>
                    <w:adjustRightInd w:val="0"/>
                    <w:snapToGrid w:val="0"/>
                    <w:spacing w:before="0" w:after="0"/>
                  </w:pPr>
                  <w:r>
                    <w:t>环境温度（℃）</w:t>
                  </w:r>
                </w:p>
              </w:tc>
              <w:tc>
                <w:tcPr>
                  <w:tcW w:w="1593" w:type="pct"/>
                  <w:vAlign w:val="center"/>
                </w:tcPr>
                <w:p w14:paraId="2B8F4B99">
                  <w:pPr>
                    <w:pStyle w:val="95"/>
                    <w:overflowPunct w:val="0"/>
                    <w:topLinePunct/>
                    <w:adjustRightInd w:val="0"/>
                    <w:snapToGrid w:val="0"/>
                    <w:spacing w:before="0" w:after="0"/>
                  </w:pPr>
                  <w:r>
                    <w:t>-25～60</w:t>
                  </w:r>
                </w:p>
              </w:tc>
              <w:tc>
                <w:tcPr>
                  <w:tcW w:w="1593" w:type="pct"/>
                  <w:vAlign w:val="center"/>
                </w:tcPr>
                <w:p w14:paraId="4B79FB65">
                  <w:pPr>
                    <w:pStyle w:val="95"/>
                    <w:overflowPunct w:val="0"/>
                    <w:topLinePunct/>
                    <w:adjustRightInd w:val="0"/>
                    <w:snapToGrid w:val="0"/>
                    <w:spacing w:before="0" w:after="0"/>
                  </w:pPr>
                  <w:r>
                    <w:t>-30～60</w:t>
                  </w:r>
                </w:p>
              </w:tc>
            </w:tr>
            <w:tr w14:paraId="5D64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2D33805F">
                  <w:pPr>
                    <w:pStyle w:val="95"/>
                    <w:overflowPunct w:val="0"/>
                    <w:topLinePunct/>
                    <w:adjustRightInd w:val="0"/>
                    <w:snapToGrid w:val="0"/>
                    <w:spacing w:before="0" w:after="0"/>
                  </w:pPr>
                </w:p>
              </w:tc>
              <w:tc>
                <w:tcPr>
                  <w:tcW w:w="1341" w:type="pct"/>
                  <w:tcMar>
                    <w:left w:w="28" w:type="dxa"/>
                    <w:right w:w="28" w:type="dxa"/>
                  </w:tcMar>
                  <w:vAlign w:val="center"/>
                </w:tcPr>
                <w:p w14:paraId="41662FB0">
                  <w:pPr>
                    <w:pStyle w:val="95"/>
                    <w:overflowPunct w:val="0"/>
                    <w:topLinePunct/>
                    <w:adjustRightInd w:val="0"/>
                    <w:snapToGrid w:val="0"/>
                    <w:spacing w:before="0" w:after="0"/>
                  </w:pPr>
                  <w:r>
                    <w:t>冷却方式</w:t>
                  </w:r>
                </w:p>
              </w:tc>
              <w:tc>
                <w:tcPr>
                  <w:tcW w:w="1593" w:type="pct"/>
                  <w:vAlign w:val="center"/>
                </w:tcPr>
                <w:p w14:paraId="66E515A9">
                  <w:pPr>
                    <w:pStyle w:val="95"/>
                    <w:overflowPunct w:val="0"/>
                    <w:topLinePunct/>
                    <w:adjustRightInd w:val="0"/>
                    <w:snapToGrid w:val="0"/>
                    <w:spacing w:before="0" w:after="0"/>
                  </w:pPr>
                  <w:r>
                    <w:t>智能风冷</w:t>
                  </w:r>
                </w:p>
              </w:tc>
              <w:tc>
                <w:tcPr>
                  <w:tcW w:w="1593" w:type="pct"/>
                  <w:vAlign w:val="center"/>
                </w:tcPr>
                <w:p w14:paraId="7F86F892">
                  <w:pPr>
                    <w:pStyle w:val="95"/>
                    <w:overflowPunct w:val="0"/>
                    <w:topLinePunct/>
                    <w:adjustRightInd w:val="0"/>
                    <w:snapToGrid w:val="0"/>
                    <w:spacing w:before="0" w:after="0"/>
                  </w:pPr>
                  <w:r>
                    <w:t>智能风冷</w:t>
                  </w:r>
                </w:p>
              </w:tc>
            </w:tr>
            <w:tr w14:paraId="6243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27343608">
                  <w:pPr>
                    <w:pStyle w:val="95"/>
                    <w:overflowPunct w:val="0"/>
                    <w:topLinePunct/>
                    <w:adjustRightInd w:val="0"/>
                    <w:snapToGrid w:val="0"/>
                    <w:spacing w:before="0" w:after="0"/>
                  </w:pPr>
                </w:p>
              </w:tc>
              <w:tc>
                <w:tcPr>
                  <w:tcW w:w="1341" w:type="pct"/>
                  <w:tcMar>
                    <w:left w:w="28" w:type="dxa"/>
                    <w:right w:w="28" w:type="dxa"/>
                  </w:tcMar>
                  <w:vAlign w:val="center"/>
                </w:tcPr>
                <w:p w14:paraId="50F0C7CE">
                  <w:pPr>
                    <w:pStyle w:val="95"/>
                    <w:overflowPunct w:val="0"/>
                    <w:topLinePunct/>
                    <w:adjustRightInd w:val="0"/>
                    <w:snapToGrid w:val="0"/>
                    <w:spacing w:before="0" w:after="0"/>
                  </w:pPr>
                  <w:r>
                    <w:t>相对湿度（%）</w:t>
                  </w:r>
                </w:p>
              </w:tc>
              <w:tc>
                <w:tcPr>
                  <w:tcW w:w="1593" w:type="pct"/>
                  <w:vAlign w:val="center"/>
                </w:tcPr>
                <w:p w14:paraId="3E830C7F">
                  <w:pPr>
                    <w:pStyle w:val="95"/>
                    <w:overflowPunct w:val="0"/>
                    <w:topLinePunct/>
                    <w:adjustRightInd w:val="0"/>
                    <w:snapToGrid w:val="0"/>
                    <w:spacing w:before="0" w:after="0"/>
                  </w:pPr>
                  <w:r>
                    <w:t>0%～100%</w:t>
                  </w:r>
                </w:p>
              </w:tc>
              <w:tc>
                <w:tcPr>
                  <w:tcW w:w="1593" w:type="pct"/>
                  <w:vAlign w:val="center"/>
                </w:tcPr>
                <w:p w14:paraId="2B235096">
                  <w:pPr>
                    <w:pStyle w:val="95"/>
                    <w:overflowPunct w:val="0"/>
                    <w:topLinePunct/>
                    <w:adjustRightInd w:val="0"/>
                    <w:snapToGrid w:val="0"/>
                    <w:spacing w:before="0" w:after="0"/>
                  </w:pPr>
                  <w:r>
                    <w:t>0%～100%</w:t>
                  </w:r>
                </w:p>
              </w:tc>
            </w:tr>
            <w:tr w14:paraId="277F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4A9EAE77">
                  <w:pPr>
                    <w:pStyle w:val="95"/>
                    <w:overflowPunct w:val="0"/>
                    <w:topLinePunct/>
                    <w:adjustRightInd w:val="0"/>
                    <w:snapToGrid w:val="0"/>
                    <w:spacing w:before="0" w:after="0"/>
                  </w:pPr>
                </w:p>
              </w:tc>
              <w:tc>
                <w:tcPr>
                  <w:tcW w:w="1341" w:type="pct"/>
                  <w:tcMar>
                    <w:left w:w="28" w:type="dxa"/>
                    <w:right w:w="28" w:type="dxa"/>
                  </w:tcMar>
                  <w:vAlign w:val="center"/>
                </w:tcPr>
                <w:p w14:paraId="7E4895F6">
                  <w:pPr>
                    <w:pStyle w:val="95"/>
                    <w:overflowPunct w:val="0"/>
                    <w:topLinePunct/>
                    <w:adjustRightInd w:val="0"/>
                    <w:snapToGrid w:val="0"/>
                    <w:spacing w:before="0" w:after="0"/>
                  </w:pPr>
                  <w:r>
                    <w:t>允许最高安装海拔高度（m）</w:t>
                  </w:r>
                </w:p>
              </w:tc>
              <w:tc>
                <w:tcPr>
                  <w:tcW w:w="1593" w:type="pct"/>
                  <w:vAlign w:val="center"/>
                </w:tcPr>
                <w:p w14:paraId="1ADB4259">
                  <w:pPr>
                    <w:pStyle w:val="95"/>
                    <w:overflowPunct w:val="0"/>
                    <w:topLinePunct/>
                    <w:adjustRightInd w:val="0"/>
                    <w:snapToGrid w:val="0"/>
                    <w:spacing w:before="0" w:after="0"/>
                  </w:pPr>
                  <w:r>
                    <w:t>5000m（&gt; 4000m降额）</w:t>
                  </w:r>
                </w:p>
              </w:tc>
              <w:tc>
                <w:tcPr>
                  <w:tcW w:w="1593" w:type="pct"/>
                  <w:vAlign w:val="center"/>
                </w:tcPr>
                <w:p w14:paraId="0FFF4BF9">
                  <w:pPr>
                    <w:pStyle w:val="95"/>
                    <w:overflowPunct w:val="0"/>
                    <w:topLinePunct/>
                    <w:adjustRightInd w:val="0"/>
                    <w:snapToGrid w:val="0"/>
                    <w:spacing w:before="0" w:after="0"/>
                  </w:pPr>
                  <w:r>
                    <w:t>5000  （&gt; 4000 降额）</w:t>
                  </w:r>
                </w:p>
              </w:tc>
            </w:tr>
            <w:tr w14:paraId="46F0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73" w:type="pct"/>
                  <w:vMerge w:val="continue"/>
                  <w:tcMar>
                    <w:left w:w="28" w:type="dxa"/>
                    <w:right w:w="28" w:type="dxa"/>
                  </w:tcMar>
                  <w:vAlign w:val="center"/>
                </w:tcPr>
                <w:p w14:paraId="69AA2B22">
                  <w:pPr>
                    <w:pStyle w:val="95"/>
                    <w:overflowPunct w:val="0"/>
                    <w:topLinePunct/>
                    <w:adjustRightInd w:val="0"/>
                    <w:snapToGrid w:val="0"/>
                    <w:spacing w:before="0" w:after="0"/>
                  </w:pPr>
                </w:p>
              </w:tc>
              <w:tc>
                <w:tcPr>
                  <w:tcW w:w="1341" w:type="pct"/>
                  <w:tcMar>
                    <w:left w:w="28" w:type="dxa"/>
                    <w:right w:w="28" w:type="dxa"/>
                  </w:tcMar>
                  <w:vAlign w:val="center"/>
                </w:tcPr>
                <w:p w14:paraId="34CC7115">
                  <w:pPr>
                    <w:pStyle w:val="95"/>
                    <w:overflowPunct w:val="0"/>
                    <w:topLinePunct/>
                    <w:adjustRightInd w:val="0"/>
                    <w:snapToGrid w:val="0"/>
                    <w:spacing w:before="0" w:after="0"/>
                  </w:pPr>
                  <w:r>
                    <w:t>通讯方式</w:t>
                  </w:r>
                </w:p>
              </w:tc>
              <w:tc>
                <w:tcPr>
                  <w:tcW w:w="1593" w:type="pct"/>
                  <w:vAlign w:val="center"/>
                </w:tcPr>
                <w:p w14:paraId="712DF433">
                  <w:pPr>
                    <w:pStyle w:val="95"/>
                    <w:overflowPunct w:val="0"/>
                    <w:topLinePunct/>
                    <w:adjustRightInd w:val="0"/>
                    <w:snapToGrid w:val="0"/>
                    <w:spacing w:before="0" w:after="0"/>
                  </w:pPr>
                  <w:r>
                    <w:t>RS485</w:t>
                  </w:r>
                </w:p>
              </w:tc>
              <w:tc>
                <w:tcPr>
                  <w:tcW w:w="1593" w:type="pct"/>
                  <w:vAlign w:val="center"/>
                </w:tcPr>
                <w:p w14:paraId="1B7F9DFD">
                  <w:pPr>
                    <w:pStyle w:val="95"/>
                    <w:overflowPunct w:val="0"/>
                    <w:topLinePunct/>
                    <w:adjustRightInd w:val="0"/>
                    <w:snapToGrid w:val="0"/>
                    <w:spacing w:before="0" w:after="0"/>
                  </w:pPr>
                  <w:r>
                    <w:t>RS485</w:t>
                  </w:r>
                </w:p>
              </w:tc>
            </w:tr>
            <w:tr w14:paraId="6F72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11ADB494">
                  <w:pPr>
                    <w:pStyle w:val="95"/>
                    <w:overflowPunct w:val="0"/>
                    <w:topLinePunct/>
                    <w:adjustRightInd w:val="0"/>
                    <w:snapToGrid w:val="0"/>
                    <w:spacing w:before="0" w:after="0"/>
                  </w:pPr>
                </w:p>
              </w:tc>
              <w:tc>
                <w:tcPr>
                  <w:tcW w:w="1341" w:type="pct"/>
                  <w:tcMar>
                    <w:left w:w="28" w:type="dxa"/>
                    <w:right w:w="28" w:type="dxa"/>
                  </w:tcMar>
                  <w:vAlign w:val="center"/>
                </w:tcPr>
                <w:p w14:paraId="37A19180">
                  <w:pPr>
                    <w:pStyle w:val="95"/>
                    <w:overflowPunct w:val="0"/>
                    <w:topLinePunct/>
                    <w:adjustRightInd w:val="0"/>
                    <w:snapToGrid w:val="0"/>
                    <w:spacing w:before="0" w:after="0"/>
                  </w:pPr>
                  <w:r>
                    <w:t>宽×高×深（mm）</w:t>
                  </w:r>
                </w:p>
              </w:tc>
              <w:tc>
                <w:tcPr>
                  <w:tcW w:w="1593" w:type="pct"/>
                  <w:vAlign w:val="center"/>
                </w:tcPr>
                <w:p w14:paraId="368E1E35">
                  <w:pPr>
                    <w:pStyle w:val="95"/>
                    <w:overflowPunct w:val="0"/>
                    <w:topLinePunct/>
                    <w:adjustRightInd w:val="0"/>
                    <w:snapToGrid w:val="0"/>
                    <w:spacing w:before="0" w:after="0"/>
                  </w:pPr>
                  <w:r>
                    <w:t>1045×730×395mm</w:t>
                  </w:r>
                </w:p>
              </w:tc>
              <w:tc>
                <w:tcPr>
                  <w:tcW w:w="1593" w:type="pct"/>
                  <w:vAlign w:val="center"/>
                </w:tcPr>
                <w:p w14:paraId="3E5F6456">
                  <w:pPr>
                    <w:pStyle w:val="95"/>
                    <w:overflowPunct w:val="0"/>
                    <w:topLinePunct/>
                    <w:adjustRightInd w:val="0"/>
                    <w:snapToGrid w:val="0"/>
                    <w:spacing w:before="0" w:after="0"/>
                  </w:pPr>
                  <w:r>
                    <w:t>1148×779×371</w:t>
                  </w:r>
                </w:p>
              </w:tc>
            </w:tr>
            <w:tr w14:paraId="1A61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vMerge w:val="continue"/>
                  <w:tcMar>
                    <w:left w:w="28" w:type="dxa"/>
                    <w:right w:w="28" w:type="dxa"/>
                  </w:tcMar>
                  <w:vAlign w:val="center"/>
                </w:tcPr>
                <w:p w14:paraId="05D8FC65">
                  <w:pPr>
                    <w:pStyle w:val="95"/>
                    <w:overflowPunct w:val="0"/>
                    <w:topLinePunct/>
                    <w:adjustRightInd w:val="0"/>
                    <w:snapToGrid w:val="0"/>
                    <w:spacing w:before="0" w:after="0"/>
                  </w:pPr>
                </w:p>
              </w:tc>
              <w:tc>
                <w:tcPr>
                  <w:tcW w:w="1341" w:type="pct"/>
                  <w:tcMar>
                    <w:left w:w="28" w:type="dxa"/>
                    <w:right w:w="28" w:type="dxa"/>
                  </w:tcMar>
                  <w:vAlign w:val="center"/>
                </w:tcPr>
                <w:p w14:paraId="5C859B96">
                  <w:pPr>
                    <w:pStyle w:val="95"/>
                    <w:overflowPunct w:val="0"/>
                    <w:topLinePunct/>
                    <w:adjustRightInd w:val="0"/>
                    <w:snapToGrid w:val="0"/>
                    <w:spacing w:before="0" w:after="0"/>
                  </w:pPr>
                  <w:r>
                    <w:t>重量（含挂架，kg）</w:t>
                  </w:r>
                </w:p>
              </w:tc>
              <w:tc>
                <w:tcPr>
                  <w:tcW w:w="1593" w:type="pct"/>
                  <w:vAlign w:val="center"/>
                </w:tcPr>
                <w:p w14:paraId="27647147">
                  <w:pPr>
                    <w:pStyle w:val="95"/>
                    <w:overflowPunct w:val="0"/>
                    <w:topLinePunct/>
                    <w:adjustRightInd w:val="0"/>
                    <w:snapToGrid w:val="0"/>
                    <w:spacing w:before="0" w:after="0"/>
                  </w:pPr>
                  <w:r>
                    <w:t>106</w:t>
                  </w:r>
                </w:p>
              </w:tc>
              <w:tc>
                <w:tcPr>
                  <w:tcW w:w="1593" w:type="pct"/>
                  <w:vAlign w:val="center"/>
                </w:tcPr>
                <w:p w14:paraId="2D8FE42F">
                  <w:pPr>
                    <w:pStyle w:val="95"/>
                    <w:overflowPunct w:val="0"/>
                    <w:topLinePunct/>
                    <w:adjustRightInd w:val="0"/>
                    <w:snapToGrid w:val="0"/>
                    <w:spacing w:before="0" w:after="0"/>
                  </w:pPr>
                  <w:r>
                    <w:t>106</w:t>
                  </w:r>
                </w:p>
              </w:tc>
            </w:tr>
          </w:tbl>
          <w:p w14:paraId="37CF7B14">
            <w:pPr>
              <w:pStyle w:val="112"/>
              <w:adjustRightInd/>
              <w:snapToGrid/>
              <w:spacing w:line="360" w:lineRule="auto"/>
              <w:ind w:firstLine="480" w:firstLineChars="200"/>
              <w:rPr>
                <w:rFonts w:ascii="Times New Roman"/>
                <w:snapToGrid/>
                <w:spacing w:val="0"/>
                <w:sz w:val="24"/>
              </w:rPr>
            </w:pPr>
            <w:r>
              <w:rPr>
                <w:rFonts w:hint="eastAsia" w:ascii="Times New Roman"/>
                <w:snapToGrid/>
                <w:spacing w:val="0"/>
                <w:sz w:val="24"/>
              </w:rPr>
              <w:t>（</w:t>
            </w:r>
            <w:r>
              <w:rPr>
                <w:rFonts w:ascii="Times New Roman"/>
                <w:snapToGrid/>
                <w:spacing w:val="0"/>
                <w:sz w:val="24"/>
              </w:rPr>
              <w:t>3</w:t>
            </w:r>
            <w:r>
              <w:rPr>
                <w:rFonts w:hint="eastAsia" w:ascii="Times New Roman"/>
                <w:snapToGrid/>
                <w:spacing w:val="0"/>
                <w:sz w:val="24"/>
              </w:rPr>
              <w:t>）劳动定员</w:t>
            </w:r>
          </w:p>
          <w:p w14:paraId="5A4A181D">
            <w:pPr>
              <w:pStyle w:val="112"/>
              <w:adjustRightInd/>
              <w:snapToGrid/>
              <w:spacing w:line="360" w:lineRule="auto"/>
              <w:ind w:firstLine="480" w:firstLineChars="200"/>
              <w:rPr>
                <w:rFonts w:ascii="Times New Roman"/>
                <w:snapToGrid/>
                <w:spacing w:val="0"/>
                <w:sz w:val="24"/>
              </w:rPr>
            </w:pPr>
            <w:r>
              <w:rPr>
                <w:rFonts w:hint="eastAsia" w:ascii="Times New Roman"/>
                <w:snapToGrid/>
                <w:spacing w:val="0"/>
                <w:sz w:val="24"/>
              </w:rPr>
              <w:t>以礼河三级电站配置运行人员12人，绿坪光伏项目配置运行人员1人，合计配置工作人员为13人，均在站内食宿。绿坪光伏项目配置1人，光伏电站设备运行和检修实行集中控制管理，即当电气设备无故障运行时，计算机全权控制，无需人为干预，升压站不带用户负荷，在实际工作中又采用微机自动监控，相应操作任务较少，因此，本光伏电站按无人值班（1人值守）方式来管理，负责光伏电站的经营管理和生产运行工作，处理能源管理事务。</w:t>
            </w:r>
          </w:p>
          <w:p w14:paraId="74A4620D">
            <w:pPr>
              <w:pStyle w:val="112"/>
              <w:adjustRightInd/>
              <w:snapToGrid/>
              <w:spacing w:line="360" w:lineRule="auto"/>
              <w:ind w:firstLine="480" w:firstLineChars="200"/>
              <w:rPr>
                <w:rFonts w:hint="eastAsia" w:ascii="Times New Roman"/>
                <w:snapToGrid/>
                <w:spacing w:val="0"/>
                <w:sz w:val="24"/>
              </w:rPr>
            </w:pPr>
            <w:r>
              <w:rPr>
                <w:rFonts w:hint="eastAsia" w:ascii="Times New Roman"/>
                <w:snapToGrid/>
                <w:spacing w:val="0"/>
                <w:sz w:val="24"/>
              </w:rPr>
              <w:t>（4）依托工程情况</w:t>
            </w:r>
          </w:p>
          <w:p w14:paraId="615ECEB5">
            <w:pPr>
              <w:pStyle w:val="112"/>
              <w:adjustRightInd/>
              <w:snapToGrid/>
              <w:spacing w:line="360" w:lineRule="auto"/>
              <w:ind w:firstLine="480" w:firstLineChars="200"/>
              <w:rPr>
                <w:rFonts w:ascii="Times New Roman"/>
                <w:snapToGrid/>
                <w:spacing w:val="0"/>
                <w:sz w:val="24"/>
              </w:rPr>
            </w:pPr>
            <w:bookmarkStart w:id="84" w:name="OLE_LINK85"/>
            <w:r>
              <w:rPr>
                <w:rFonts w:ascii="Times New Roman"/>
                <w:snapToGrid/>
                <w:spacing w:val="0"/>
                <w:sz w:val="24"/>
              </w:rPr>
              <w:t>以礼河发电厂三级电站于1957年7月开工建设，1966年12月第一台机组投产，1971年5月4台机组全部投产；电站建设于2003年以前，由于历史原因一直未办理环境影响评价审批及环评验收。2020年9月，华电云南发电有限公司以礼河发电厂委托昆明飞驰环保科技有限公司开展以礼河发电厂三级电站环境影响现状评价工作。2020年12月11日，曲靖市生态环境局以曲环函〔2020〕93号文出具了</w:t>
            </w:r>
            <w:r>
              <w:rPr>
                <w:rFonts w:hint="eastAsia" w:ascii="Times New Roman"/>
                <w:snapToGrid/>
                <w:spacing w:val="0"/>
                <w:sz w:val="24"/>
              </w:rPr>
              <w:t>“</w:t>
            </w:r>
            <w:r>
              <w:rPr>
                <w:rFonts w:ascii="Times New Roman"/>
                <w:snapToGrid/>
                <w:spacing w:val="0"/>
                <w:sz w:val="24"/>
              </w:rPr>
              <w:t>曲靖市生态环境局关于以礼河发电厂三级电站环境影响现状评价报告备案意见的函</w:t>
            </w:r>
            <w:r>
              <w:rPr>
                <w:rFonts w:hint="eastAsia" w:ascii="Times New Roman"/>
                <w:snapToGrid/>
                <w:spacing w:val="0"/>
                <w:sz w:val="24"/>
              </w:rPr>
              <w:t>”</w:t>
            </w:r>
            <w:bookmarkEnd w:id="84"/>
            <w:r>
              <w:rPr>
                <w:rFonts w:ascii="Times New Roman"/>
                <w:snapToGrid/>
                <w:spacing w:val="0"/>
                <w:sz w:val="24"/>
              </w:rPr>
              <w:t>。</w:t>
            </w:r>
          </w:p>
          <w:p w14:paraId="5C08880A">
            <w:pPr>
              <w:pStyle w:val="112"/>
              <w:adjustRightInd/>
              <w:snapToGrid/>
              <w:spacing w:line="360" w:lineRule="auto"/>
              <w:ind w:firstLine="480" w:firstLineChars="200"/>
              <w:rPr>
                <w:rFonts w:hint="eastAsia"/>
              </w:rPr>
            </w:pPr>
            <w:r>
              <w:rPr>
                <w:rFonts w:ascii="Times New Roman"/>
                <w:snapToGrid/>
                <w:spacing w:val="0"/>
                <w:sz w:val="24"/>
              </w:rPr>
              <w:t>以礼河发电厂三级电站</w:t>
            </w:r>
            <w:r>
              <w:rPr>
                <w:rFonts w:hint="eastAsia" w:ascii="Times New Roman"/>
                <w:snapToGrid/>
                <w:spacing w:val="0"/>
                <w:sz w:val="24"/>
              </w:rPr>
              <w:t>厂界噪声及电磁辐射现状均满足相关要求；产生的危险废物运送至距离该电站24km的娜姑镇，存放于以礼河电厂一级、二级、三级电站共用的危废贮存间；生活垃圾收集后由环卫部门定期清运。</w:t>
            </w:r>
          </w:p>
        </w:tc>
      </w:tr>
      <w:tr w14:paraId="03F711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4" w:type="pct"/>
            <w:noWrap/>
            <w:vAlign w:val="center"/>
          </w:tcPr>
          <w:p w14:paraId="1F90BFEC">
            <w:pPr>
              <w:adjustRightInd w:val="0"/>
              <w:snapToGrid w:val="0"/>
              <w:jc w:val="center"/>
              <w:rPr>
                <w:kern w:val="0"/>
                <w:sz w:val="24"/>
              </w:rPr>
            </w:pPr>
            <w:r>
              <w:rPr>
                <w:kern w:val="0"/>
                <w:sz w:val="24"/>
              </w:rPr>
              <w:t>总平面及现场布置</w:t>
            </w:r>
          </w:p>
        </w:tc>
        <w:tc>
          <w:tcPr>
            <w:tcW w:w="4646" w:type="pct"/>
            <w:noWrap/>
          </w:tcPr>
          <w:p w14:paraId="20848B5F">
            <w:pPr>
              <w:autoSpaceDE w:val="0"/>
              <w:autoSpaceDN w:val="0"/>
              <w:adjustRightInd w:val="0"/>
              <w:snapToGrid w:val="0"/>
              <w:spacing w:line="360" w:lineRule="auto"/>
              <w:rPr>
                <w:b/>
                <w:bCs/>
                <w:kern w:val="0"/>
                <w:sz w:val="24"/>
              </w:rPr>
            </w:pPr>
            <w:bookmarkStart w:id="85" w:name="OLE_LINK54"/>
            <w:r>
              <w:rPr>
                <w:b/>
                <w:bCs/>
                <w:kern w:val="0"/>
                <w:sz w:val="24"/>
              </w:rPr>
              <w:t>2.</w:t>
            </w:r>
            <w:r>
              <w:rPr>
                <w:rFonts w:hint="eastAsia"/>
                <w:b/>
                <w:bCs/>
                <w:kern w:val="0"/>
                <w:sz w:val="24"/>
              </w:rPr>
              <w:t xml:space="preserve">3 </w:t>
            </w:r>
            <w:r>
              <w:rPr>
                <w:b/>
                <w:bCs/>
                <w:kern w:val="0"/>
                <w:sz w:val="24"/>
              </w:rPr>
              <w:t>总平面及现场布置</w:t>
            </w:r>
          </w:p>
          <w:p w14:paraId="5A47C59E">
            <w:pPr>
              <w:spacing w:line="360" w:lineRule="auto"/>
              <w:rPr>
                <w:rFonts w:hint="eastAsia"/>
                <w:b/>
                <w:bCs/>
                <w:sz w:val="24"/>
                <w:szCs w:val="24"/>
              </w:rPr>
            </w:pPr>
            <w:r>
              <w:rPr>
                <w:rFonts w:hint="eastAsia"/>
                <w:b/>
                <w:bCs/>
                <w:sz w:val="24"/>
                <w:szCs w:val="24"/>
              </w:rPr>
              <w:t xml:space="preserve">2.3.1 </w:t>
            </w:r>
            <w:bookmarkStart w:id="86" w:name="OLE_LINK48"/>
            <w:r>
              <w:rPr>
                <w:rFonts w:hint="eastAsia"/>
                <w:b/>
                <w:bCs/>
                <w:sz w:val="24"/>
                <w:szCs w:val="24"/>
              </w:rPr>
              <w:t>光伏阵列区布置</w:t>
            </w:r>
            <w:bookmarkEnd w:id="86"/>
          </w:p>
          <w:p w14:paraId="7F5291FB">
            <w:pPr>
              <w:pStyle w:val="112"/>
              <w:adjustRightInd/>
              <w:snapToGrid/>
              <w:spacing w:line="360" w:lineRule="auto"/>
              <w:ind w:firstLine="480" w:firstLineChars="200"/>
              <w:rPr>
                <w:rFonts w:ascii="Times New Roman"/>
                <w:snapToGrid/>
                <w:spacing w:val="0"/>
                <w:sz w:val="24"/>
              </w:rPr>
            </w:pPr>
            <w:r>
              <w:rPr>
                <w:rFonts w:hint="eastAsia" w:ascii="Times New Roman"/>
                <w:snapToGrid/>
                <w:spacing w:val="0"/>
                <w:sz w:val="24"/>
              </w:rPr>
              <w:t>光伏阵列在结合用地范围和地形情况，在尽量避免子方阵的长宽度差异太大的前提下进行布置，以达到用地较优、节约连接电缆、日常巡查线路简便的最佳布置方案，整个布置避让了永久基本农田、生态保护红线等敏感因素。根据主体设计，场址内共布置</w:t>
            </w:r>
            <w:r>
              <w:rPr>
                <w:rFonts w:ascii="Times New Roman"/>
                <w:snapToGrid/>
                <w:spacing w:val="0"/>
                <w:sz w:val="24"/>
              </w:rPr>
              <w:t>21</w:t>
            </w:r>
            <w:r>
              <w:rPr>
                <w:rFonts w:hint="eastAsia" w:ascii="Times New Roman"/>
                <w:snapToGrid/>
                <w:spacing w:val="0"/>
                <w:sz w:val="24"/>
              </w:rPr>
              <w:t>个</w:t>
            </w:r>
            <w:bookmarkStart w:id="87" w:name="OLE_LINK47"/>
            <w:r>
              <w:rPr>
                <w:rFonts w:hint="eastAsia" w:ascii="Times New Roman"/>
                <w:snapToGrid/>
                <w:spacing w:val="0"/>
                <w:sz w:val="24"/>
              </w:rPr>
              <w:t>光伏方阵</w:t>
            </w:r>
            <w:bookmarkEnd w:id="87"/>
            <w:r>
              <w:rPr>
                <w:rFonts w:hint="eastAsia" w:ascii="Times New Roman"/>
                <w:snapToGrid/>
                <w:spacing w:val="0"/>
                <w:sz w:val="24"/>
              </w:rPr>
              <w:t>。其中3840kW方阵2个，3520kW方阵2个，3200kW方阵3个，2560kW方阵4个，2240kW方阵2个，1920kW方阵1个，1600kW方阵3个，1280kW方阵2个，960kW方阵2个</w:t>
            </w:r>
            <w:r>
              <w:rPr>
                <w:rFonts w:ascii="Times New Roman"/>
                <w:snapToGrid/>
                <w:spacing w:val="0"/>
                <w:sz w:val="24"/>
              </w:rPr>
              <w:t>。</w:t>
            </w:r>
          </w:p>
          <w:p w14:paraId="24988610">
            <w:pPr>
              <w:adjustRightInd w:val="0"/>
              <w:snapToGrid w:val="0"/>
              <w:spacing w:line="360" w:lineRule="auto"/>
              <w:rPr>
                <w:b/>
                <w:bCs/>
                <w:sz w:val="24"/>
                <w:szCs w:val="24"/>
              </w:rPr>
            </w:pPr>
            <w:r>
              <w:rPr>
                <w:rFonts w:hint="eastAsia"/>
                <w:b/>
                <w:bCs/>
                <w:sz w:val="24"/>
                <w:szCs w:val="24"/>
              </w:rPr>
              <w:t xml:space="preserve">2.3.2 </w:t>
            </w:r>
            <w:r>
              <w:rPr>
                <w:b/>
                <w:bCs/>
                <w:sz w:val="24"/>
                <w:szCs w:val="24"/>
              </w:rPr>
              <w:t>升压站布置</w:t>
            </w:r>
          </w:p>
          <w:p w14:paraId="4004C057">
            <w:pPr>
              <w:pStyle w:val="112"/>
              <w:adjustRightInd/>
              <w:snapToGrid/>
              <w:spacing w:line="360" w:lineRule="auto"/>
              <w:ind w:firstLine="480" w:firstLineChars="200"/>
              <w:rPr>
                <w:rFonts w:ascii="Times New Roman" w:eastAsia="仿宋_GB2312"/>
                <w:spacing w:val="0"/>
                <w:sz w:val="24"/>
              </w:rPr>
            </w:pPr>
            <w:r>
              <w:rPr>
                <w:rFonts w:hint="eastAsia" w:ascii="Times New Roman"/>
                <w:snapToGrid/>
                <w:spacing w:val="0"/>
                <w:kern w:val="0"/>
                <w:sz w:val="24"/>
              </w:rPr>
              <w:t>根据主体设计，本项目升压站主要利用以礼河三级电站西侧0.</w:t>
            </w:r>
            <w:r>
              <w:rPr>
                <w:rFonts w:ascii="Times New Roman"/>
                <w:snapToGrid/>
                <w:spacing w:val="0"/>
                <w:kern w:val="0"/>
                <w:sz w:val="24"/>
              </w:rPr>
              <w:t>32</w:t>
            </w:r>
            <w:r>
              <w:rPr>
                <w:rFonts w:hint="eastAsia" w:ascii="Times New Roman"/>
                <w:snapToGrid/>
                <w:spacing w:val="0"/>
                <w:kern w:val="0"/>
                <w:sz w:val="24"/>
              </w:rPr>
              <w:t>hm</w:t>
            </w:r>
            <w:r>
              <w:rPr>
                <w:rFonts w:hint="eastAsia" w:ascii="Times New Roman"/>
                <w:snapToGrid/>
                <w:spacing w:val="0"/>
                <w:kern w:val="0"/>
                <w:sz w:val="24"/>
                <w:vertAlign w:val="superscript"/>
              </w:rPr>
              <w:t>2</w:t>
            </w:r>
            <w:r>
              <w:rPr>
                <w:rFonts w:hint="eastAsia" w:ascii="Times New Roman"/>
                <w:snapToGrid/>
                <w:spacing w:val="0"/>
                <w:kern w:val="0"/>
                <w:sz w:val="24"/>
              </w:rPr>
              <w:t>预留用地进行建设。升压站建设范围布置泵房、消防水池、无功装置、室外GIS、主变、事故油池、接地变、站用变、无功补偿装置及生产预制舱、危废贮存间。升压站四周设2.2m高砖砌围墙，升压站入口道路宽6m，设置一个电动伸缩大门，站内各建筑物均采用钢筋混凝土框架结构。</w:t>
            </w:r>
          </w:p>
          <w:p w14:paraId="76E4BE4D">
            <w:pPr>
              <w:spacing w:line="360" w:lineRule="auto"/>
              <w:jc w:val="left"/>
              <w:rPr>
                <w:rFonts w:hint="eastAsia"/>
                <w:b/>
                <w:bCs/>
                <w:sz w:val="24"/>
                <w:szCs w:val="24"/>
              </w:rPr>
            </w:pPr>
            <w:r>
              <w:rPr>
                <w:rFonts w:hint="eastAsia"/>
                <w:b/>
                <w:bCs/>
                <w:sz w:val="24"/>
                <w:szCs w:val="24"/>
              </w:rPr>
              <w:t>2.3.3 道路布置</w:t>
            </w:r>
          </w:p>
          <w:p w14:paraId="6C4AFB13">
            <w:pPr>
              <w:pStyle w:val="11"/>
              <w:snapToGrid/>
              <w:spacing w:before="0" w:after="0" w:line="360" w:lineRule="auto"/>
              <w:ind w:right="0" w:firstLine="480" w:firstLineChars="200"/>
              <w:rPr>
                <w:sz w:val="24"/>
                <w:szCs w:val="24"/>
              </w:rPr>
            </w:pPr>
            <w:r>
              <w:rPr>
                <w:sz w:val="24"/>
                <w:szCs w:val="24"/>
              </w:rPr>
              <w:t>根据主体设计资料及现场</w:t>
            </w:r>
            <w:r>
              <w:rPr>
                <w:rFonts w:hint="eastAsia"/>
                <w:sz w:val="24"/>
                <w:szCs w:val="24"/>
              </w:rPr>
              <w:t>踏勘</w:t>
            </w:r>
            <w:r>
              <w:rPr>
                <w:sz w:val="24"/>
                <w:szCs w:val="24"/>
              </w:rPr>
              <w:t>，项目区周边现有道路交通发达，大部分方阵可直接通过进场道路连接至方阵，但存在少量方阵的连接道路无法满足运输需求，因此，考虑充分利用现有道路，通过改造或局部扩宽来满足运输要求，扩建道路遵循土石方就地平衡的原则，同时沿道路两侧进行开挖与回填，路堑开挖土石方就近用于路堤回填。考虑到光伏设备组件整体尺寸不大，对运输道路要求不高，为节约投资，场内道路纵坡坡度不大于16%，横向坡度为</w:t>
            </w:r>
            <w:r>
              <w:rPr>
                <w:rFonts w:hint="eastAsia"/>
                <w:sz w:val="24"/>
                <w:szCs w:val="24"/>
              </w:rPr>
              <w:t>2%~3%</w:t>
            </w:r>
            <w:r>
              <w:rPr>
                <w:sz w:val="24"/>
                <w:szCs w:val="24"/>
              </w:rPr>
              <w:t>，转弯半径为12m</w:t>
            </w:r>
            <w:r>
              <w:rPr>
                <w:rFonts w:hint="eastAsia"/>
                <w:sz w:val="24"/>
                <w:szCs w:val="24"/>
              </w:rPr>
              <w:t>~</w:t>
            </w:r>
            <w:r>
              <w:rPr>
                <w:sz w:val="24"/>
                <w:szCs w:val="24"/>
              </w:rPr>
              <w:t>15m。</w:t>
            </w:r>
          </w:p>
          <w:p w14:paraId="2B7E6BFD">
            <w:pPr>
              <w:pStyle w:val="11"/>
              <w:snapToGrid/>
              <w:spacing w:before="0" w:after="0" w:line="360" w:lineRule="auto"/>
              <w:ind w:right="0" w:firstLine="480" w:firstLineChars="200"/>
              <w:rPr>
                <w:rFonts w:hint="eastAsia" w:eastAsia="仿宋_GB2312"/>
                <w:sz w:val="24"/>
                <w:szCs w:val="24"/>
              </w:rPr>
            </w:pPr>
            <w:r>
              <w:rPr>
                <w:rFonts w:hint="eastAsia"/>
                <w:sz w:val="24"/>
                <w:szCs w:val="24"/>
              </w:rPr>
              <w:t>本项目共布置15.87km场内道路，其中场内道路改扩建约13.99km，场内新建道路1.68km，进站道路0.2km。场内道路改扩建和新建道路</w:t>
            </w:r>
            <w:r>
              <w:rPr>
                <w:sz w:val="24"/>
                <w:szCs w:val="24"/>
              </w:rPr>
              <w:t>路基宽度</w:t>
            </w:r>
            <w:r>
              <w:rPr>
                <w:rFonts w:hint="eastAsia"/>
                <w:sz w:val="24"/>
                <w:szCs w:val="24"/>
              </w:rPr>
              <w:t>均</w:t>
            </w:r>
            <w:r>
              <w:rPr>
                <w:sz w:val="24"/>
                <w:szCs w:val="24"/>
              </w:rPr>
              <w:t>为4.0m，路面宽度</w:t>
            </w:r>
            <w:r>
              <w:rPr>
                <w:rFonts w:hint="eastAsia"/>
                <w:sz w:val="24"/>
                <w:szCs w:val="24"/>
              </w:rPr>
              <w:t>均</w:t>
            </w:r>
            <w:r>
              <w:rPr>
                <w:sz w:val="24"/>
                <w:szCs w:val="24"/>
              </w:rPr>
              <w:t>为3.5m，路面采用20cm泥结碎石面层。进站道路路基宽度6.0m，路面宽度4.5m，路面采用20cm厚级配碎石基层+20cm厚水泥混凝土面层。</w:t>
            </w:r>
          </w:p>
          <w:p w14:paraId="7D0B61B6">
            <w:pPr>
              <w:spacing w:line="360" w:lineRule="auto"/>
              <w:jc w:val="left"/>
              <w:rPr>
                <w:b/>
                <w:bCs/>
                <w:sz w:val="24"/>
                <w:szCs w:val="24"/>
              </w:rPr>
            </w:pPr>
            <w:r>
              <w:rPr>
                <w:rFonts w:hint="eastAsia"/>
                <w:b/>
                <w:bCs/>
                <w:sz w:val="24"/>
                <w:szCs w:val="24"/>
              </w:rPr>
              <w:t xml:space="preserve">2.3.4 </w:t>
            </w:r>
            <w:r>
              <w:rPr>
                <w:b/>
                <w:bCs/>
                <w:sz w:val="24"/>
                <w:szCs w:val="24"/>
              </w:rPr>
              <w:t>集电线路布置</w:t>
            </w:r>
          </w:p>
          <w:p w14:paraId="7B63DFDF">
            <w:pPr>
              <w:spacing w:line="360" w:lineRule="auto"/>
              <w:ind w:firstLine="480" w:firstLineChars="200"/>
              <w:rPr>
                <w:rFonts w:hint="eastAsia"/>
                <w:sz w:val="24"/>
                <w:szCs w:val="24"/>
              </w:rPr>
            </w:pPr>
            <w:r>
              <w:rPr>
                <w:sz w:val="24"/>
                <w:szCs w:val="24"/>
              </w:rPr>
              <w:t>本项目以</w:t>
            </w:r>
            <w:r>
              <w:rPr>
                <w:rFonts w:eastAsia="Times New Roman"/>
                <w:sz w:val="24"/>
                <w:szCs w:val="24"/>
              </w:rPr>
              <w:t>2</w:t>
            </w:r>
            <w:r>
              <w:rPr>
                <w:sz w:val="24"/>
                <w:szCs w:val="24"/>
              </w:rPr>
              <w:t>回</w:t>
            </w:r>
            <w:r>
              <w:rPr>
                <w:rFonts w:eastAsia="Times New Roman"/>
                <w:sz w:val="24"/>
                <w:szCs w:val="24"/>
              </w:rPr>
              <w:t>35</w:t>
            </w:r>
            <w:r>
              <w:rPr>
                <w:rFonts w:hint="eastAsia"/>
                <w:sz w:val="24"/>
                <w:szCs w:val="24"/>
              </w:rPr>
              <w:t>kV</w:t>
            </w:r>
            <w:r>
              <w:rPr>
                <w:sz w:val="24"/>
                <w:szCs w:val="24"/>
              </w:rPr>
              <w:t>集电线路接入新建</w:t>
            </w:r>
            <w:r>
              <w:rPr>
                <w:rFonts w:eastAsia="Times New Roman"/>
                <w:sz w:val="24"/>
                <w:szCs w:val="24"/>
              </w:rPr>
              <w:t>110</w:t>
            </w:r>
            <w:r>
              <w:rPr>
                <w:rFonts w:hint="eastAsia"/>
                <w:sz w:val="24"/>
                <w:szCs w:val="24"/>
              </w:rPr>
              <w:t>kV</w:t>
            </w:r>
            <w:r>
              <w:rPr>
                <w:sz w:val="24"/>
                <w:szCs w:val="24"/>
              </w:rPr>
              <w:t>升压站，其中1UL线路：</w:t>
            </w:r>
            <w:r>
              <w:rPr>
                <w:rFonts w:hint="eastAsia"/>
                <w:sz w:val="24"/>
                <w:szCs w:val="24"/>
              </w:rPr>
              <w:t>连接1#~12#光伏方阵箱变，共12个方阵，汇集27MW电量</w:t>
            </w:r>
            <w:r>
              <w:rPr>
                <w:sz w:val="24"/>
                <w:szCs w:val="24"/>
              </w:rPr>
              <w:t>；2UL线路：</w:t>
            </w:r>
            <w:r>
              <w:rPr>
                <w:rFonts w:hint="eastAsia"/>
                <w:sz w:val="24"/>
                <w:szCs w:val="24"/>
              </w:rPr>
              <w:t>连接13#~21#光伏方阵箱变，共9个方阵，汇集24MW电量</w:t>
            </w:r>
            <w:r>
              <w:rPr>
                <w:sz w:val="24"/>
                <w:szCs w:val="24"/>
              </w:rPr>
              <w:t>。</w:t>
            </w:r>
            <w:r>
              <w:rPr>
                <w:rFonts w:hint="eastAsia"/>
                <w:sz w:val="24"/>
                <w:szCs w:val="24"/>
              </w:rPr>
              <w:t>场区内集电线路采用架空线路、直埋电缆敷设两种方式，总长度</w:t>
            </w:r>
            <w:r>
              <w:rPr>
                <w:sz w:val="24"/>
                <w:szCs w:val="24"/>
              </w:rPr>
              <w:t>47.09</w:t>
            </w:r>
            <w:r>
              <w:rPr>
                <w:rFonts w:hint="eastAsia"/>
                <w:sz w:val="24"/>
                <w:szCs w:val="24"/>
              </w:rPr>
              <w:t>km，其中架空路径约30.2km，电缆路径约16.9km，沿线架设塔基9</w:t>
            </w:r>
            <w:r>
              <w:rPr>
                <w:sz w:val="24"/>
                <w:szCs w:val="24"/>
              </w:rPr>
              <w:t>0</w:t>
            </w:r>
            <w:r>
              <w:rPr>
                <w:rFonts w:hint="eastAsia"/>
                <w:sz w:val="24"/>
                <w:szCs w:val="24"/>
              </w:rPr>
              <w:t>座。</w:t>
            </w:r>
          </w:p>
          <w:p w14:paraId="664D7F90">
            <w:pPr>
              <w:spacing w:line="360" w:lineRule="auto"/>
              <w:jc w:val="left"/>
              <w:rPr>
                <w:rFonts w:hint="eastAsia"/>
                <w:b/>
                <w:bCs/>
                <w:sz w:val="24"/>
                <w:szCs w:val="24"/>
              </w:rPr>
            </w:pPr>
            <w:r>
              <w:rPr>
                <w:rFonts w:hint="eastAsia"/>
                <w:b/>
                <w:bCs/>
                <w:sz w:val="24"/>
                <w:szCs w:val="24"/>
              </w:rPr>
              <w:t>2.3.5 施工场地布置</w:t>
            </w:r>
          </w:p>
          <w:p w14:paraId="71C30085">
            <w:pPr>
              <w:spacing w:line="360" w:lineRule="auto"/>
              <w:ind w:firstLine="480" w:firstLineChars="200"/>
              <w:rPr>
                <w:rFonts w:hint="eastAsia" w:ascii="宋体" w:hAnsi="宋体" w:cs="宋体"/>
                <w:sz w:val="24"/>
                <w:szCs w:val="24"/>
              </w:rPr>
            </w:pPr>
            <w:r>
              <w:rPr>
                <w:rFonts w:hint="eastAsia" w:ascii="宋体" w:hAnsi="宋体" w:cs="宋体"/>
                <w:sz w:val="24"/>
                <w:szCs w:val="24"/>
              </w:rPr>
              <w:t>本项目</w:t>
            </w:r>
            <w:r>
              <w:rPr>
                <w:rFonts w:ascii="宋体" w:hAnsi="宋体" w:cs="宋体"/>
                <w:sz w:val="24"/>
                <w:szCs w:val="24"/>
              </w:rPr>
              <w:t>工期较短，且工程区距离会泽县较近，交通方便，</w:t>
            </w:r>
            <w:r>
              <w:rPr>
                <w:rFonts w:hint="eastAsia" w:ascii="宋体" w:hAnsi="宋体" w:cs="宋体"/>
                <w:sz w:val="24"/>
                <w:szCs w:val="24"/>
              </w:rPr>
              <w:t>设置临时施工生产生活区，</w:t>
            </w:r>
            <w:r>
              <w:rPr>
                <w:rFonts w:ascii="宋体" w:hAnsi="宋体" w:cs="宋体"/>
                <w:sz w:val="24"/>
                <w:szCs w:val="24"/>
              </w:rPr>
              <w:t>施工所需的设施，拟利用当地资源</w:t>
            </w:r>
            <w:r>
              <w:rPr>
                <w:rFonts w:hint="eastAsia" w:ascii="宋体" w:hAnsi="宋体" w:cs="宋体"/>
                <w:sz w:val="24"/>
                <w:szCs w:val="24"/>
              </w:rPr>
              <w:t>。</w:t>
            </w:r>
          </w:p>
          <w:p w14:paraId="435B58F4">
            <w:pPr>
              <w:pStyle w:val="88"/>
              <w:ind w:firstLine="480"/>
              <w:rPr>
                <w:spacing w:val="0"/>
              </w:rPr>
            </w:pPr>
            <w:r>
              <w:rPr>
                <w:spacing w:val="0"/>
              </w:rPr>
              <w:t>（</w:t>
            </w:r>
            <w:r>
              <w:rPr>
                <w:rFonts w:hint="eastAsia"/>
                <w:spacing w:val="0"/>
              </w:rPr>
              <w:t>1</w:t>
            </w:r>
            <w:r>
              <w:rPr>
                <w:spacing w:val="0"/>
              </w:rPr>
              <w:t>）</w:t>
            </w:r>
            <w:bookmarkStart w:id="88" w:name="OLE_LINK50"/>
            <w:r>
              <w:rPr>
                <w:spacing w:val="0"/>
              </w:rPr>
              <w:t>施工生活区</w:t>
            </w:r>
            <w:bookmarkEnd w:id="88"/>
            <w:r>
              <w:rPr>
                <w:spacing w:val="0"/>
              </w:rPr>
              <w:t>、综合加工厂、综合仓库</w:t>
            </w:r>
          </w:p>
          <w:p w14:paraId="1D75AE0C">
            <w:pPr>
              <w:pStyle w:val="88"/>
              <w:ind w:firstLine="480"/>
              <w:rPr>
                <w:spacing w:val="0"/>
              </w:rPr>
            </w:pPr>
            <w:r>
              <w:rPr>
                <w:rFonts w:hint="eastAsia" w:ascii="宋体" w:hAnsi="宋体" w:cs="宋体"/>
                <w:spacing w:val="0"/>
              </w:rPr>
              <w:t>型钢、钢筋等可露天堆放，电池板组件、缆线、主要发电和电气设备等需仓库存放</w:t>
            </w:r>
            <w:bookmarkStart w:id="89" w:name="OLE_LINK42"/>
            <w:r>
              <w:rPr>
                <w:rFonts w:hint="eastAsia" w:ascii="宋体" w:hAnsi="宋体" w:cs="宋体"/>
                <w:spacing w:val="0"/>
              </w:rPr>
              <w:t>。</w:t>
            </w:r>
            <w:r>
              <w:rPr>
                <w:spacing w:val="0"/>
              </w:rPr>
              <w:t>本工程施工生活区、综合加工厂、综合仓库建筑面积约为2700m</w:t>
            </w:r>
            <w:r>
              <w:rPr>
                <w:spacing w:val="0"/>
                <w:vertAlign w:val="superscript"/>
              </w:rPr>
              <w:t>2</w:t>
            </w:r>
            <w:r>
              <w:rPr>
                <w:spacing w:val="0"/>
              </w:rPr>
              <w:t>，占地面积约为5400m</w:t>
            </w:r>
            <w:r>
              <w:rPr>
                <w:spacing w:val="0"/>
                <w:vertAlign w:val="superscript"/>
              </w:rPr>
              <w:t>2</w:t>
            </w:r>
            <w:bookmarkEnd w:id="89"/>
            <w:r>
              <w:rPr>
                <w:spacing w:val="0"/>
              </w:rPr>
              <w:t>。</w:t>
            </w:r>
            <w:r>
              <w:rPr>
                <w:rFonts w:hint="eastAsia"/>
                <w:spacing w:val="0"/>
              </w:rPr>
              <w:t>施工生活区仅供施工人员白天休息，施工人员租住于当地民居；</w:t>
            </w:r>
            <w:r>
              <w:rPr>
                <w:rFonts w:hint="eastAsia"/>
                <w:bCs/>
                <w:snapToGrid w:val="0"/>
                <w:kern w:val="0"/>
              </w:rPr>
              <w:t>综合加工厂用于钢结构加工；综合仓库用于电池组件、支架、机电设备等堆放。</w:t>
            </w:r>
          </w:p>
          <w:p w14:paraId="44D49233">
            <w:pPr>
              <w:pStyle w:val="88"/>
              <w:ind w:firstLine="480"/>
              <w:rPr>
                <w:spacing w:val="0"/>
              </w:rPr>
            </w:pPr>
            <w:r>
              <w:rPr>
                <w:spacing w:val="0"/>
              </w:rPr>
              <w:t>（</w:t>
            </w:r>
            <w:r>
              <w:rPr>
                <w:rFonts w:hint="eastAsia"/>
                <w:spacing w:val="0"/>
              </w:rPr>
              <w:t>2</w:t>
            </w:r>
            <w:r>
              <w:rPr>
                <w:spacing w:val="0"/>
              </w:rPr>
              <w:t>）砂石料生产系统</w:t>
            </w:r>
          </w:p>
          <w:p w14:paraId="68103F72">
            <w:pPr>
              <w:pStyle w:val="88"/>
              <w:ind w:firstLine="480"/>
              <w:rPr>
                <w:spacing w:val="0"/>
              </w:rPr>
            </w:pPr>
            <w:r>
              <w:rPr>
                <w:spacing w:val="0"/>
              </w:rPr>
              <w:t>本项目砂石骨料用量不大，砂石骨料供应拟从当地就近采购，不新建砂石料生产系统。</w:t>
            </w:r>
          </w:p>
          <w:p w14:paraId="4A451FF2">
            <w:pPr>
              <w:pStyle w:val="88"/>
              <w:ind w:firstLine="480"/>
              <w:rPr>
                <w:spacing w:val="0"/>
              </w:rPr>
            </w:pPr>
            <w:r>
              <w:rPr>
                <w:spacing w:val="0"/>
              </w:rPr>
              <w:t>（</w:t>
            </w:r>
            <w:r>
              <w:rPr>
                <w:rFonts w:hint="eastAsia"/>
                <w:spacing w:val="0"/>
              </w:rPr>
              <w:t>3</w:t>
            </w:r>
            <w:r>
              <w:rPr>
                <w:spacing w:val="0"/>
              </w:rPr>
              <w:t>）混凝土生产系统</w:t>
            </w:r>
          </w:p>
          <w:p w14:paraId="6E44536F">
            <w:pPr>
              <w:pStyle w:val="88"/>
              <w:ind w:firstLine="480"/>
              <w:rPr>
                <w:spacing w:val="0"/>
              </w:rPr>
            </w:pPr>
            <w:r>
              <w:rPr>
                <w:spacing w:val="0"/>
              </w:rPr>
              <w:t>本</w:t>
            </w:r>
            <w:r>
              <w:rPr>
                <w:rFonts w:hint="eastAsia"/>
                <w:spacing w:val="0"/>
              </w:rPr>
              <w:t>项目</w:t>
            </w:r>
            <w:r>
              <w:rPr>
                <w:spacing w:val="0"/>
              </w:rPr>
              <w:t>混凝土主要为升压站基础、箱式变压器、电缆分接箱基础、进站道路路面及施工临时设施等混凝土，拟采用商品混凝土，从场址附近混凝土搅拌站采购。</w:t>
            </w:r>
          </w:p>
          <w:bookmarkEnd w:id="85"/>
          <w:p w14:paraId="7AE3650C">
            <w:pPr>
              <w:spacing w:line="360" w:lineRule="auto"/>
              <w:jc w:val="left"/>
              <w:rPr>
                <w:rFonts w:hint="eastAsia"/>
                <w:b/>
                <w:bCs/>
                <w:sz w:val="24"/>
                <w:szCs w:val="24"/>
              </w:rPr>
            </w:pPr>
            <w:bookmarkStart w:id="90" w:name="OLE_LINK4"/>
            <w:bookmarkStart w:id="91" w:name="_Toc519709384"/>
            <w:bookmarkStart w:id="92" w:name="_Toc10824"/>
            <w:r>
              <w:rPr>
                <w:rFonts w:hint="eastAsia"/>
                <w:b/>
                <w:bCs/>
                <w:sz w:val="24"/>
                <w:szCs w:val="24"/>
              </w:rPr>
              <w:t>2.3.6 取、弃土场</w:t>
            </w:r>
          </w:p>
          <w:p w14:paraId="04939304">
            <w:pPr>
              <w:pStyle w:val="88"/>
              <w:ind w:firstLine="480"/>
              <w:rPr>
                <w:rFonts w:hint="eastAsia"/>
                <w:spacing w:val="0"/>
              </w:rPr>
            </w:pPr>
            <w:r>
              <w:rPr>
                <w:rFonts w:hint="eastAsia"/>
                <w:spacing w:val="0"/>
              </w:rPr>
              <w:t>本项目不设置取土（石、砂）场和弃渣场。</w:t>
            </w:r>
          </w:p>
          <w:p w14:paraId="7C755604">
            <w:pPr>
              <w:spacing w:line="360" w:lineRule="auto"/>
              <w:jc w:val="left"/>
              <w:rPr>
                <w:rFonts w:hint="eastAsia"/>
                <w:b/>
                <w:bCs/>
                <w:sz w:val="24"/>
                <w:szCs w:val="24"/>
              </w:rPr>
            </w:pPr>
            <w:r>
              <w:rPr>
                <w:rFonts w:hint="eastAsia"/>
                <w:b/>
                <w:bCs/>
                <w:sz w:val="24"/>
                <w:szCs w:val="24"/>
              </w:rPr>
              <w:t>2.3.7 临时表土堆场</w:t>
            </w:r>
          </w:p>
          <w:p w14:paraId="4C843429">
            <w:pPr>
              <w:spacing w:line="360" w:lineRule="auto"/>
              <w:ind w:firstLine="480" w:firstLineChars="200"/>
              <w:rPr>
                <w:rFonts w:hint="eastAsia"/>
                <w:sz w:val="24"/>
                <w:szCs w:val="24"/>
              </w:rPr>
            </w:pPr>
            <w:r>
              <w:rPr>
                <w:sz w:val="24"/>
                <w:szCs w:val="24"/>
              </w:rPr>
              <w:t>表土堆存场1</w:t>
            </w:r>
            <w:r>
              <w:rPr>
                <w:rFonts w:hint="eastAsia"/>
                <w:sz w:val="24"/>
                <w:szCs w:val="24"/>
              </w:rPr>
              <w:t>2</w:t>
            </w:r>
            <w:r>
              <w:rPr>
                <w:sz w:val="24"/>
                <w:szCs w:val="24"/>
              </w:rPr>
              <w:t>个，其中直埋电缆区、架空线路、施工生产生活区、升压站区各1个，道路工程区</w:t>
            </w:r>
            <w:r>
              <w:rPr>
                <w:rFonts w:hint="eastAsia"/>
                <w:sz w:val="24"/>
                <w:szCs w:val="24"/>
              </w:rPr>
              <w:t>8</w:t>
            </w:r>
            <w:r>
              <w:rPr>
                <w:sz w:val="24"/>
                <w:szCs w:val="24"/>
              </w:rPr>
              <w:t>个，直埋电缆区沿沟槽两侧堆置，堆高不超过0.5m，其余区域堆高2-3m，堆存坡比1</w:t>
            </w:r>
            <w:r>
              <w:rPr>
                <w:rFonts w:hint="eastAsia"/>
                <w:sz w:val="24"/>
                <w:szCs w:val="24"/>
              </w:rPr>
              <w:t>:</w:t>
            </w:r>
            <w:r>
              <w:rPr>
                <w:sz w:val="24"/>
                <w:szCs w:val="24"/>
              </w:rPr>
              <w:t>1.8，总堆存容量2.11万m</w:t>
            </w:r>
            <w:r>
              <w:rPr>
                <w:sz w:val="24"/>
                <w:szCs w:val="24"/>
                <w:vertAlign w:val="superscript"/>
              </w:rPr>
              <w:t>3</w:t>
            </w:r>
            <w:r>
              <w:rPr>
                <w:sz w:val="24"/>
                <w:szCs w:val="24"/>
              </w:rPr>
              <w:t>，实际堆存量1.77万m</w:t>
            </w:r>
            <w:r>
              <w:rPr>
                <w:sz w:val="24"/>
                <w:szCs w:val="24"/>
                <w:vertAlign w:val="superscript"/>
              </w:rPr>
              <w:t>3</w:t>
            </w:r>
            <w:r>
              <w:rPr>
                <w:sz w:val="24"/>
                <w:szCs w:val="24"/>
              </w:rPr>
              <w:t>（松方）。</w:t>
            </w:r>
          </w:p>
          <w:p w14:paraId="60A6615D">
            <w:pPr>
              <w:spacing w:line="360" w:lineRule="auto"/>
              <w:jc w:val="center"/>
              <w:rPr>
                <w:rFonts w:hint="eastAsia"/>
                <w:b/>
                <w:bCs/>
                <w:sz w:val="24"/>
                <w:szCs w:val="24"/>
              </w:rPr>
            </w:pPr>
            <w:r>
              <w:rPr>
                <w:rFonts w:hint="eastAsia"/>
                <w:b/>
                <w:bCs/>
                <w:sz w:val="24"/>
                <w:szCs w:val="24"/>
              </w:rPr>
              <w:t>表2.3.7-1  各区表土临时堆场特性</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12"/>
              <w:gridCol w:w="839"/>
              <w:gridCol w:w="804"/>
              <w:gridCol w:w="712"/>
              <w:gridCol w:w="610"/>
              <w:gridCol w:w="765"/>
              <w:gridCol w:w="705"/>
              <w:gridCol w:w="684"/>
              <w:gridCol w:w="685"/>
              <w:gridCol w:w="782"/>
              <w:gridCol w:w="1338"/>
            </w:tblGrid>
            <w:tr w14:paraId="53C6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50" w:type="pct"/>
                  <w:gridSpan w:val="2"/>
                  <w:vMerge w:val="restart"/>
                  <w:vAlign w:val="center"/>
                </w:tcPr>
                <w:p w14:paraId="184CBA13">
                  <w:pPr>
                    <w:widowControl/>
                    <w:adjustRightInd w:val="0"/>
                    <w:snapToGrid w:val="0"/>
                    <w:jc w:val="center"/>
                    <w:textAlignment w:val="center"/>
                    <w:rPr>
                      <w:b/>
                      <w:snapToGrid w:val="0"/>
                      <w:kern w:val="0"/>
                      <w:lang w:bidi="ar"/>
                    </w:rPr>
                  </w:pPr>
                  <w:r>
                    <w:rPr>
                      <w:b/>
                      <w:snapToGrid w:val="0"/>
                      <w:kern w:val="0"/>
                      <w:lang w:bidi="ar"/>
                    </w:rPr>
                    <w:t>分区</w:t>
                  </w:r>
                </w:p>
              </w:tc>
              <w:tc>
                <w:tcPr>
                  <w:tcW w:w="482" w:type="pct"/>
                  <w:vMerge w:val="restart"/>
                  <w:vAlign w:val="center"/>
                </w:tcPr>
                <w:p w14:paraId="6CC86C23">
                  <w:pPr>
                    <w:widowControl/>
                    <w:adjustRightInd w:val="0"/>
                    <w:snapToGrid w:val="0"/>
                    <w:jc w:val="center"/>
                    <w:textAlignment w:val="center"/>
                    <w:rPr>
                      <w:b/>
                      <w:snapToGrid w:val="0"/>
                      <w:kern w:val="0"/>
                      <w:lang w:bidi="ar"/>
                    </w:rPr>
                  </w:pPr>
                  <w:r>
                    <w:rPr>
                      <w:b/>
                      <w:snapToGrid w:val="0"/>
                      <w:kern w:val="0"/>
                      <w:lang w:bidi="ar"/>
                    </w:rPr>
                    <w:t>占地面积hm</w:t>
                  </w:r>
                  <w:r>
                    <w:rPr>
                      <w:b/>
                      <w:snapToGrid w:val="0"/>
                      <w:kern w:val="0"/>
                      <w:vertAlign w:val="superscript"/>
                      <w:lang w:bidi="ar"/>
                    </w:rPr>
                    <w:t>2</w:t>
                  </w:r>
                </w:p>
              </w:tc>
              <w:tc>
                <w:tcPr>
                  <w:tcW w:w="427" w:type="pct"/>
                  <w:vMerge w:val="restart"/>
                  <w:vAlign w:val="center"/>
                </w:tcPr>
                <w:p w14:paraId="4917C288">
                  <w:pPr>
                    <w:widowControl/>
                    <w:adjustRightInd w:val="0"/>
                    <w:snapToGrid w:val="0"/>
                    <w:jc w:val="center"/>
                    <w:textAlignment w:val="center"/>
                    <w:rPr>
                      <w:b/>
                      <w:snapToGrid w:val="0"/>
                      <w:kern w:val="0"/>
                      <w:lang w:bidi="ar"/>
                    </w:rPr>
                  </w:pPr>
                  <w:r>
                    <w:rPr>
                      <w:b/>
                      <w:snapToGrid w:val="0"/>
                      <w:kern w:val="0"/>
                      <w:lang w:bidi="ar"/>
                    </w:rPr>
                    <w:t>数量个</w:t>
                  </w:r>
                </w:p>
              </w:tc>
              <w:tc>
                <w:tcPr>
                  <w:tcW w:w="366" w:type="pct"/>
                  <w:vMerge w:val="restart"/>
                  <w:vAlign w:val="center"/>
                </w:tcPr>
                <w:p w14:paraId="3EEF602C">
                  <w:pPr>
                    <w:widowControl/>
                    <w:adjustRightInd w:val="0"/>
                    <w:snapToGrid w:val="0"/>
                    <w:jc w:val="center"/>
                    <w:textAlignment w:val="center"/>
                    <w:rPr>
                      <w:b/>
                      <w:snapToGrid w:val="0"/>
                      <w:kern w:val="0"/>
                      <w:lang w:bidi="ar"/>
                    </w:rPr>
                  </w:pPr>
                  <w:r>
                    <w:rPr>
                      <w:b/>
                      <w:snapToGrid w:val="0"/>
                      <w:kern w:val="0"/>
                      <w:lang w:bidi="ar"/>
                    </w:rPr>
                    <w:t>堆高m</w:t>
                  </w:r>
                </w:p>
              </w:tc>
              <w:tc>
                <w:tcPr>
                  <w:tcW w:w="459" w:type="pct"/>
                  <w:vMerge w:val="restart"/>
                  <w:vAlign w:val="center"/>
                </w:tcPr>
                <w:p w14:paraId="2196857C">
                  <w:pPr>
                    <w:widowControl/>
                    <w:adjustRightInd w:val="0"/>
                    <w:snapToGrid w:val="0"/>
                    <w:jc w:val="center"/>
                    <w:textAlignment w:val="center"/>
                    <w:rPr>
                      <w:b/>
                      <w:snapToGrid w:val="0"/>
                      <w:kern w:val="0"/>
                      <w:lang w:bidi="ar"/>
                    </w:rPr>
                  </w:pPr>
                  <w:r>
                    <w:rPr>
                      <w:b/>
                      <w:snapToGrid w:val="0"/>
                      <w:kern w:val="0"/>
                      <w:lang w:bidi="ar"/>
                    </w:rPr>
                    <w:t>堆存坡比</w:t>
                  </w:r>
                </w:p>
              </w:tc>
              <w:tc>
                <w:tcPr>
                  <w:tcW w:w="423" w:type="pct"/>
                  <w:vAlign w:val="center"/>
                </w:tcPr>
                <w:p w14:paraId="4C72C69F">
                  <w:pPr>
                    <w:widowControl/>
                    <w:adjustRightInd w:val="0"/>
                    <w:snapToGrid w:val="0"/>
                    <w:jc w:val="center"/>
                    <w:textAlignment w:val="center"/>
                    <w:rPr>
                      <w:b/>
                      <w:snapToGrid w:val="0"/>
                      <w:kern w:val="0"/>
                      <w:lang w:bidi="ar"/>
                    </w:rPr>
                  </w:pPr>
                  <w:r>
                    <w:rPr>
                      <w:b/>
                      <w:snapToGrid w:val="0"/>
                      <w:kern w:val="0"/>
                      <w:lang w:bidi="ar"/>
                    </w:rPr>
                    <w:t>规划容量</w:t>
                  </w:r>
                </w:p>
              </w:tc>
              <w:tc>
                <w:tcPr>
                  <w:tcW w:w="821" w:type="pct"/>
                  <w:gridSpan w:val="2"/>
                  <w:vAlign w:val="center"/>
                </w:tcPr>
                <w:p w14:paraId="11DCA827">
                  <w:pPr>
                    <w:widowControl/>
                    <w:adjustRightInd w:val="0"/>
                    <w:snapToGrid w:val="0"/>
                    <w:jc w:val="center"/>
                    <w:textAlignment w:val="center"/>
                    <w:rPr>
                      <w:b/>
                      <w:snapToGrid w:val="0"/>
                      <w:kern w:val="0"/>
                      <w:lang w:bidi="ar"/>
                    </w:rPr>
                  </w:pPr>
                  <w:r>
                    <w:rPr>
                      <w:b/>
                      <w:snapToGrid w:val="0"/>
                      <w:kern w:val="0"/>
                      <w:lang w:bidi="ar"/>
                    </w:rPr>
                    <w:t>实际堆存量（万m</w:t>
                  </w:r>
                  <w:r>
                    <w:rPr>
                      <w:b/>
                      <w:snapToGrid w:val="0"/>
                      <w:kern w:val="0"/>
                      <w:vertAlign w:val="superscript"/>
                      <w:lang w:bidi="ar"/>
                    </w:rPr>
                    <w:t>3</w:t>
                  </w:r>
                  <w:r>
                    <w:rPr>
                      <w:b/>
                      <w:snapToGrid w:val="0"/>
                      <w:kern w:val="0"/>
                      <w:lang w:bidi="ar"/>
                    </w:rPr>
                    <w:t>）</w:t>
                  </w:r>
                </w:p>
              </w:tc>
              <w:tc>
                <w:tcPr>
                  <w:tcW w:w="469" w:type="pct"/>
                  <w:vMerge w:val="restart"/>
                  <w:vAlign w:val="center"/>
                </w:tcPr>
                <w:p w14:paraId="1CD6591E">
                  <w:pPr>
                    <w:widowControl/>
                    <w:adjustRightInd w:val="0"/>
                    <w:snapToGrid w:val="0"/>
                    <w:jc w:val="center"/>
                    <w:textAlignment w:val="center"/>
                    <w:rPr>
                      <w:b/>
                      <w:snapToGrid w:val="0"/>
                      <w:kern w:val="0"/>
                      <w:lang w:bidi="ar"/>
                    </w:rPr>
                  </w:pPr>
                  <w:r>
                    <w:rPr>
                      <w:b/>
                      <w:snapToGrid w:val="0"/>
                      <w:kern w:val="0"/>
                      <w:lang w:bidi="ar"/>
                    </w:rPr>
                    <w:t>堆存周期</w:t>
                  </w:r>
                </w:p>
              </w:tc>
              <w:tc>
                <w:tcPr>
                  <w:tcW w:w="802" w:type="pct"/>
                  <w:vMerge w:val="restart"/>
                  <w:vAlign w:val="center"/>
                </w:tcPr>
                <w:p w14:paraId="09DEBE73">
                  <w:pPr>
                    <w:widowControl/>
                    <w:adjustRightInd w:val="0"/>
                    <w:snapToGrid w:val="0"/>
                    <w:jc w:val="center"/>
                    <w:textAlignment w:val="center"/>
                    <w:rPr>
                      <w:b/>
                      <w:snapToGrid w:val="0"/>
                      <w:kern w:val="0"/>
                      <w:lang w:bidi="ar"/>
                    </w:rPr>
                  </w:pPr>
                  <w:r>
                    <w:rPr>
                      <w:b/>
                      <w:snapToGrid w:val="0"/>
                      <w:kern w:val="0"/>
                      <w:lang w:bidi="ar"/>
                    </w:rPr>
                    <w:t>备注</w:t>
                  </w:r>
                </w:p>
              </w:tc>
            </w:tr>
            <w:tr w14:paraId="79048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50" w:type="pct"/>
                  <w:gridSpan w:val="2"/>
                  <w:vMerge w:val="continue"/>
                  <w:vAlign w:val="center"/>
                </w:tcPr>
                <w:p w14:paraId="4EFA0AC8">
                  <w:pPr>
                    <w:widowControl/>
                    <w:adjustRightInd w:val="0"/>
                    <w:snapToGrid w:val="0"/>
                    <w:jc w:val="center"/>
                    <w:textAlignment w:val="center"/>
                    <w:rPr>
                      <w:b/>
                      <w:snapToGrid w:val="0"/>
                      <w:kern w:val="0"/>
                      <w:lang w:bidi="ar"/>
                    </w:rPr>
                  </w:pPr>
                </w:p>
              </w:tc>
              <w:tc>
                <w:tcPr>
                  <w:tcW w:w="482" w:type="pct"/>
                  <w:vMerge w:val="continue"/>
                  <w:vAlign w:val="center"/>
                </w:tcPr>
                <w:p w14:paraId="493CD1AE">
                  <w:pPr>
                    <w:widowControl/>
                    <w:adjustRightInd w:val="0"/>
                    <w:snapToGrid w:val="0"/>
                    <w:jc w:val="center"/>
                    <w:textAlignment w:val="center"/>
                    <w:rPr>
                      <w:b/>
                      <w:snapToGrid w:val="0"/>
                      <w:kern w:val="0"/>
                      <w:lang w:bidi="ar"/>
                    </w:rPr>
                  </w:pPr>
                </w:p>
              </w:tc>
              <w:tc>
                <w:tcPr>
                  <w:tcW w:w="427" w:type="pct"/>
                  <w:vMerge w:val="continue"/>
                  <w:vAlign w:val="center"/>
                </w:tcPr>
                <w:p w14:paraId="1F333D42">
                  <w:pPr>
                    <w:widowControl/>
                    <w:adjustRightInd w:val="0"/>
                    <w:snapToGrid w:val="0"/>
                    <w:jc w:val="center"/>
                    <w:textAlignment w:val="center"/>
                    <w:rPr>
                      <w:b/>
                      <w:snapToGrid w:val="0"/>
                      <w:kern w:val="0"/>
                      <w:lang w:bidi="ar"/>
                    </w:rPr>
                  </w:pPr>
                </w:p>
              </w:tc>
              <w:tc>
                <w:tcPr>
                  <w:tcW w:w="366" w:type="pct"/>
                  <w:vMerge w:val="continue"/>
                  <w:vAlign w:val="center"/>
                </w:tcPr>
                <w:p w14:paraId="2857FCF7">
                  <w:pPr>
                    <w:widowControl/>
                    <w:adjustRightInd w:val="0"/>
                    <w:snapToGrid w:val="0"/>
                    <w:jc w:val="center"/>
                    <w:textAlignment w:val="center"/>
                    <w:rPr>
                      <w:b/>
                      <w:snapToGrid w:val="0"/>
                      <w:kern w:val="0"/>
                      <w:lang w:bidi="ar"/>
                    </w:rPr>
                  </w:pPr>
                </w:p>
              </w:tc>
              <w:tc>
                <w:tcPr>
                  <w:tcW w:w="459" w:type="pct"/>
                  <w:vMerge w:val="continue"/>
                  <w:vAlign w:val="center"/>
                </w:tcPr>
                <w:p w14:paraId="71E5E9E1">
                  <w:pPr>
                    <w:widowControl/>
                    <w:adjustRightInd w:val="0"/>
                    <w:snapToGrid w:val="0"/>
                    <w:jc w:val="center"/>
                    <w:textAlignment w:val="center"/>
                    <w:rPr>
                      <w:b/>
                      <w:snapToGrid w:val="0"/>
                      <w:kern w:val="0"/>
                      <w:lang w:bidi="ar"/>
                    </w:rPr>
                  </w:pPr>
                </w:p>
              </w:tc>
              <w:tc>
                <w:tcPr>
                  <w:tcW w:w="423" w:type="pct"/>
                  <w:vAlign w:val="center"/>
                </w:tcPr>
                <w:p w14:paraId="269FAF70">
                  <w:pPr>
                    <w:widowControl/>
                    <w:adjustRightInd w:val="0"/>
                    <w:snapToGrid w:val="0"/>
                    <w:jc w:val="center"/>
                    <w:textAlignment w:val="center"/>
                    <w:rPr>
                      <w:b/>
                      <w:snapToGrid w:val="0"/>
                      <w:kern w:val="0"/>
                      <w:lang w:bidi="ar"/>
                    </w:rPr>
                  </w:pPr>
                  <w:r>
                    <w:rPr>
                      <w:b/>
                      <w:snapToGrid w:val="0"/>
                      <w:kern w:val="0"/>
                      <w:lang w:bidi="ar"/>
                    </w:rPr>
                    <w:t>万m</w:t>
                  </w:r>
                  <w:r>
                    <w:rPr>
                      <w:b/>
                      <w:snapToGrid w:val="0"/>
                      <w:kern w:val="0"/>
                      <w:vertAlign w:val="superscript"/>
                      <w:lang w:bidi="ar"/>
                    </w:rPr>
                    <w:t>3</w:t>
                  </w:r>
                </w:p>
              </w:tc>
              <w:tc>
                <w:tcPr>
                  <w:tcW w:w="410" w:type="pct"/>
                  <w:vAlign w:val="center"/>
                </w:tcPr>
                <w:p w14:paraId="3DC0C21B">
                  <w:pPr>
                    <w:widowControl/>
                    <w:adjustRightInd w:val="0"/>
                    <w:snapToGrid w:val="0"/>
                    <w:jc w:val="center"/>
                    <w:textAlignment w:val="center"/>
                    <w:rPr>
                      <w:b/>
                      <w:snapToGrid w:val="0"/>
                      <w:kern w:val="0"/>
                      <w:lang w:bidi="ar"/>
                    </w:rPr>
                  </w:pPr>
                  <w:r>
                    <w:rPr>
                      <w:b/>
                      <w:snapToGrid w:val="0"/>
                      <w:kern w:val="0"/>
                      <w:lang w:bidi="ar"/>
                    </w:rPr>
                    <w:t>自然方</w:t>
                  </w:r>
                </w:p>
              </w:tc>
              <w:tc>
                <w:tcPr>
                  <w:tcW w:w="411" w:type="pct"/>
                  <w:vAlign w:val="center"/>
                </w:tcPr>
                <w:p w14:paraId="756E10E7">
                  <w:pPr>
                    <w:widowControl/>
                    <w:adjustRightInd w:val="0"/>
                    <w:snapToGrid w:val="0"/>
                    <w:jc w:val="center"/>
                    <w:textAlignment w:val="center"/>
                    <w:rPr>
                      <w:b/>
                      <w:snapToGrid w:val="0"/>
                      <w:kern w:val="0"/>
                      <w:lang w:bidi="ar"/>
                    </w:rPr>
                  </w:pPr>
                  <w:r>
                    <w:rPr>
                      <w:b/>
                      <w:snapToGrid w:val="0"/>
                      <w:kern w:val="0"/>
                      <w:lang w:bidi="ar"/>
                    </w:rPr>
                    <w:t>松方</w:t>
                  </w:r>
                </w:p>
              </w:tc>
              <w:tc>
                <w:tcPr>
                  <w:tcW w:w="469" w:type="pct"/>
                  <w:vMerge w:val="continue"/>
                  <w:vAlign w:val="center"/>
                </w:tcPr>
                <w:p w14:paraId="2CE57C1F">
                  <w:pPr>
                    <w:widowControl/>
                    <w:adjustRightInd w:val="0"/>
                    <w:snapToGrid w:val="0"/>
                    <w:jc w:val="center"/>
                    <w:textAlignment w:val="center"/>
                    <w:rPr>
                      <w:bCs/>
                      <w:snapToGrid w:val="0"/>
                      <w:kern w:val="0"/>
                      <w:lang w:bidi="ar"/>
                    </w:rPr>
                  </w:pPr>
                </w:p>
              </w:tc>
              <w:tc>
                <w:tcPr>
                  <w:tcW w:w="802" w:type="pct"/>
                  <w:vMerge w:val="continue"/>
                  <w:vAlign w:val="center"/>
                </w:tcPr>
                <w:p w14:paraId="2C781057">
                  <w:pPr>
                    <w:widowControl/>
                    <w:adjustRightInd w:val="0"/>
                    <w:snapToGrid w:val="0"/>
                    <w:jc w:val="center"/>
                    <w:textAlignment w:val="center"/>
                    <w:rPr>
                      <w:bCs/>
                      <w:snapToGrid w:val="0"/>
                      <w:kern w:val="0"/>
                      <w:lang w:bidi="ar"/>
                    </w:rPr>
                  </w:pPr>
                </w:p>
              </w:tc>
            </w:tr>
            <w:tr w14:paraId="27C6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47" w:type="pct"/>
                  <w:vMerge w:val="restart"/>
                  <w:vAlign w:val="center"/>
                </w:tcPr>
                <w:p w14:paraId="794C8DBB">
                  <w:pPr>
                    <w:widowControl/>
                    <w:adjustRightInd w:val="0"/>
                    <w:snapToGrid w:val="0"/>
                    <w:jc w:val="center"/>
                    <w:textAlignment w:val="center"/>
                    <w:rPr>
                      <w:bCs/>
                      <w:snapToGrid w:val="0"/>
                      <w:kern w:val="0"/>
                      <w:lang w:bidi="ar"/>
                    </w:rPr>
                  </w:pPr>
                  <w:r>
                    <w:rPr>
                      <w:bCs/>
                      <w:snapToGrid w:val="0"/>
                      <w:kern w:val="0"/>
                      <w:lang w:bidi="ar"/>
                    </w:rPr>
                    <w:t>集电线路区</w:t>
                  </w:r>
                </w:p>
              </w:tc>
              <w:tc>
                <w:tcPr>
                  <w:tcW w:w="503" w:type="pct"/>
                  <w:vAlign w:val="center"/>
                </w:tcPr>
                <w:p w14:paraId="63B7EF2D">
                  <w:pPr>
                    <w:widowControl/>
                    <w:adjustRightInd w:val="0"/>
                    <w:snapToGrid w:val="0"/>
                    <w:jc w:val="center"/>
                    <w:textAlignment w:val="center"/>
                    <w:rPr>
                      <w:bCs/>
                      <w:snapToGrid w:val="0"/>
                      <w:kern w:val="0"/>
                      <w:lang w:bidi="ar"/>
                    </w:rPr>
                  </w:pPr>
                  <w:r>
                    <w:rPr>
                      <w:bCs/>
                      <w:snapToGrid w:val="0"/>
                      <w:kern w:val="0"/>
                      <w:lang w:bidi="ar"/>
                    </w:rPr>
                    <w:t>直埋电缆区</w:t>
                  </w:r>
                </w:p>
              </w:tc>
              <w:tc>
                <w:tcPr>
                  <w:tcW w:w="482" w:type="pct"/>
                  <w:vAlign w:val="center"/>
                </w:tcPr>
                <w:p w14:paraId="44AFADBC">
                  <w:pPr>
                    <w:widowControl/>
                    <w:adjustRightInd w:val="0"/>
                    <w:snapToGrid w:val="0"/>
                    <w:jc w:val="center"/>
                    <w:textAlignment w:val="center"/>
                    <w:rPr>
                      <w:bCs/>
                      <w:snapToGrid w:val="0"/>
                      <w:kern w:val="0"/>
                      <w:lang w:bidi="ar"/>
                    </w:rPr>
                  </w:pPr>
                  <w:r>
                    <w:rPr>
                      <w:bCs/>
                      <w:snapToGrid w:val="0"/>
                      <w:kern w:val="0"/>
                      <w:lang w:bidi="ar"/>
                    </w:rPr>
                    <w:t>0.20</w:t>
                  </w:r>
                </w:p>
              </w:tc>
              <w:tc>
                <w:tcPr>
                  <w:tcW w:w="427" w:type="pct"/>
                  <w:vAlign w:val="center"/>
                </w:tcPr>
                <w:p w14:paraId="1BCD21CB">
                  <w:pPr>
                    <w:widowControl/>
                    <w:adjustRightInd w:val="0"/>
                    <w:snapToGrid w:val="0"/>
                    <w:jc w:val="center"/>
                    <w:textAlignment w:val="center"/>
                    <w:rPr>
                      <w:bCs/>
                      <w:snapToGrid w:val="0"/>
                      <w:kern w:val="0"/>
                      <w:lang w:bidi="ar"/>
                    </w:rPr>
                  </w:pPr>
                  <w:r>
                    <w:rPr>
                      <w:bCs/>
                      <w:snapToGrid w:val="0"/>
                      <w:kern w:val="0"/>
                      <w:lang w:bidi="ar"/>
                    </w:rPr>
                    <w:t>1</w:t>
                  </w:r>
                </w:p>
              </w:tc>
              <w:tc>
                <w:tcPr>
                  <w:tcW w:w="366" w:type="pct"/>
                  <w:vAlign w:val="center"/>
                </w:tcPr>
                <w:p w14:paraId="33047233">
                  <w:pPr>
                    <w:widowControl/>
                    <w:adjustRightInd w:val="0"/>
                    <w:snapToGrid w:val="0"/>
                    <w:jc w:val="center"/>
                    <w:textAlignment w:val="center"/>
                    <w:rPr>
                      <w:bCs/>
                      <w:snapToGrid w:val="0"/>
                      <w:kern w:val="0"/>
                      <w:lang w:bidi="ar"/>
                    </w:rPr>
                  </w:pPr>
                  <w:r>
                    <w:rPr>
                      <w:bCs/>
                      <w:snapToGrid w:val="0"/>
                      <w:kern w:val="0"/>
                      <w:lang w:bidi="ar"/>
                    </w:rPr>
                    <w:t>0.5</w:t>
                  </w:r>
                </w:p>
              </w:tc>
              <w:tc>
                <w:tcPr>
                  <w:tcW w:w="459" w:type="pct"/>
                  <w:vMerge w:val="restart"/>
                  <w:vAlign w:val="center"/>
                </w:tcPr>
                <w:p w14:paraId="27441661">
                  <w:pPr>
                    <w:widowControl/>
                    <w:adjustRightInd w:val="0"/>
                    <w:snapToGrid w:val="0"/>
                    <w:jc w:val="center"/>
                    <w:textAlignment w:val="center"/>
                    <w:rPr>
                      <w:bCs/>
                      <w:snapToGrid w:val="0"/>
                      <w:kern w:val="0"/>
                      <w:lang w:bidi="ar"/>
                    </w:rPr>
                  </w:pPr>
                  <w:r>
                    <w:rPr>
                      <w:bCs/>
                      <w:snapToGrid w:val="0"/>
                      <w:kern w:val="0"/>
                      <w:lang w:bidi="ar"/>
                    </w:rPr>
                    <w:t>1</w:t>
                  </w:r>
                  <w:r>
                    <w:rPr>
                      <w:rFonts w:hint="eastAsia"/>
                      <w:bCs/>
                      <w:snapToGrid w:val="0"/>
                      <w:kern w:val="0"/>
                      <w:lang w:bidi="ar"/>
                    </w:rPr>
                    <w:t>:</w:t>
                  </w:r>
                  <w:r>
                    <w:rPr>
                      <w:bCs/>
                      <w:snapToGrid w:val="0"/>
                      <w:kern w:val="0"/>
                      <w:lang w:bidi="ar"/>
                    </w:rPr>
                    <w:t>1.8</w:t>
                  </w:r>
                </w:p>
              </w:tc>
              <w:tc>
                <w:tcPr>
                  <w:tcW w:w="423" w:type="pct"/>
                  <w:vAlign w:val="center"/>
                </w:tcPr>
                <w:p w14:paraId="0EB023AF">
                  <w:pPr>
                    <w:widowControl/>
                    <w:adjustRightInd w:val="0"/>
                    <w:snapToGrid w:val="0"/>
                    <w:jc w:val="center"/>
                    <w:textAlignment w:val="center"/>
                    <w:rPr>
                      <w:bCs/>
                      <w:snapToGrid w:val="0"/>
                      <w:kern w:val="0"/>
                      <w:lang w:bidi="ar"/>
                    </w:rPr>
                  </w:pPr>
                  <w:r>
                    <w:rPr>
                      <w:bCs/>
                      <w:snapToGrid w:val="0"/>
                      <w:kern w:val="0"/>
                      <w:lang w:bidi="ar"/>
                    </w:rPr>
                    <w:t>0.19</w:t>
                  </w:r>
                </w:p>
              </w:tc>
              <w:tc>
                <w:tcPr>
                  <w:tcW w:w="410" w:type="pct"/>
                  <w:vAlign w:val="center"/>
                </w:tcPr>
                <w:p w14:paraId="4525C5BA">
                  <w:pPr>
                    <w:widowControl/>
                    <w:adjustRightInd w:val="0"/>
                    <w:snapToGrid w:val="0"/>
                    <w:jc w:val="center"/>
                    <w:textAlignment w:val="center"/>
                    <w:rPr>
                      <w:bCs/>
                      <w:snapToGrid w:val="0"/>
                      <w:kern w:val="0"/>
                      <w:lang w:bidi="ar"/>
                    </w:rPr>
                  </w:pPr>
                  <w:r>
                    <w:rPr>
                      <w:bCs/>
                      <w:snapToGrid w:val="0"/>
                      <w:kern w:val="0"/>
                      <w:lang w:bidi="ar"/>
                    </w:rPr>
                    <w:t>0.11</w:t>
                  </w:r>
                </w:p>
              </w:tc>
              <w:tc>
                <w:tcPr>
                  <w:tcW w:w="411" w:type="pct"/>
                  <w:vAlign w:val="center"/>
                </w:tcPr>
                <w:p w14:paraId="06D856A5">
                  <w:pPr>
                    <w:widowControl/>
                    <w:adjustRightInd w:val="0"/>
                    <w:snapToGrid w:val="0"/>
                    <w:jc w:val="center"/>
                    <w:textAlignment w:val="center"/>
                    <w:rPr>
                      <w:bCs/>
                      <w:snapToGrid w:val="0"/>
                      <w:kern w:val="0"/>
                      <w:lang w:bidi="ar"/>
                    </w:rPr>
                  </w:pPr>
                  <w:r>
                    <w:rPr>
                      <w:bCs/>
                      <w:snapToGrid w:val="0"/>
                      <w:kern w:val="0"/>
                      <w:lang w:bidi="ar"/>
                    </w:rPr>
                    <w:t>0.13</w:t>
                  </w:r>
                </w:p>
              </w:tc>
              <w:tc>
                <w:tcPr>
                  <w:tcW w:w="469" w:type="pct"/>
                  <w:vAlign w:val="center"/>
                </w:tcPr>
                <w:p w14:paraId="32D4FB59">
                  <w:pPr>
                    <w:widowControl/>
                    <w:adjustRightInd w:val="0"/>
                    <w:snapToGrid w:val="0"/>
                    <w:jc w:val="center"/>
                    <w:textAlignment w:val="center"/>
                    <w:rPr>
                      <w:bCs/>
                      <w:snapToGrid w:val="0"/>
                      <w:kern w:val="0"/>
                      <w:lang w:bidi="ar"/>
                    </w:rPr>
                  </w:pPr>
                  <w:r>
                    <w:rPr>
                      <w:bCs/>
                      <w:snapToGrid w:val="0"/>
                      <w:kern w:val="0"/>
                      <w:lang w:bidi="ar"/>
                    </w:rPr>
                    <w:t>0.17a</w:t>
                  </w:r>
                </w:p>
              </w:tc>
              <w:tc>
                <w:tcPr>
                  <w:tcW w:w="802" w:type="pct"/>
                  <w:vAlign w:val="center"/>
                </w:tcPr>
                <w:p w14:paraId="79C1283B">
                  <w:pPr>
                    <w:widowControl/>
                    <w:adjustRightInd w:val="0"/>
                    <w:snapToGrid w:val="0"/>
                    <w:jc w:val="center"/>
                    <w:textAlignment w:val="center"/>
                    <w:rPr>
                      <w:bCs/>
                      <w:snapToGrid w:val="0"/>
                      <w:kern w:val="0"/>
                      <w:lang w:bidi="ar"/>
                    </w:rPr>
                  </w:pPr>
                  <w:r>
                    <w:rPr>
                      <w:bCs/>
                      <w:snapToGrid w:val="0"/>
                      <w:kern w:val="0"/>
                      <w:lang w:bidi="ar"/>
                    </w:rPr>
                    <w:t>分散堆存，堆放在直埋电缆沟管沟一侧</w:t>
                  </w:r>
                </w:p>
              </w:tc>
            </w:tr>
            <w:tr w14:paraId="1FF2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47" w:type="pct"/>
                  <w:vMerge w:val="continue"/>
                  <w:vAlign w:val="center"/>
                </w:tcPr>
                <w:p w14:paraId="4C69EC42">
                  <w:pPr>
                    <w:widowControl/>
                    <w:adjustRightInd w:val="0"/>
                    <w:snapToGrid w:val="0"/>
                    <w:jc w:val="center"/>
                    <w:textAlignment w:val="center"/>
                    <w:rPr>
                      <w:bCs/>
                      <w:snapToGrid w:val="0"/>
                      <w:kern w:val="0"/>
                      <w:lang w:bidi="ar"/>
                    </w:rPr>
                  </w:pPr>
                </w:p>
              </w:tc>
              <w:tc>
                <w:tcPr>
                  <w:tcW w:w="503" w:type="pct"/>
                  <w:vAlign w:val="center"/>
                </w:tcPr>
                <w:p w14:paraId="0ACAB707">
                  <w:pPr>
                    <w:widowControl/>
                    <w:adjustRightInd w:val="0"/>
                    <w:snapToGrid w:val="0"/>
                    <w:jc w:val="center"/>
                    <w:textAlignment w:val="center"/>
                    <w:rPr>
                      <w:bCs/>
                      <w:snapToGrid w:val="0"/>
                      <w:kern w:val="0"/>
                      <w:lang w:bidi="ar"/>
                    </w:rPr>
                  </w:pPr>
                  <w:r>
                    <w:rPr>
                      <w:bCs/>
                      <w:snapToGrid w:val="0"/>
                      <w:kern w:val="0"/>
                      <w:lang w:bidi="ar"/>
                    </w:rPr>
                    <w:t>架空线路区</w:t>
                  </w:r>
                </w:p>
              </w:tc>
              <w:tc>
                <w:tcPr>
                  <w:tcW w:w="482" w:type="pct"/>
                  <w:vAlign w:val="center"/>
                </w:tcPr>
                <w:p w14:paraId="46A8180B">
                  <w:pPr>
                    <w:widowControl/>
                    <w:adjustRightInd w:val="0"/>
                    <w:snapToGrid w:val="0"/>
                    <w:jc w:val="center"/>
                    <w:textAlignment w:val="center"/>
                    <w:rPr>
                      <w:bCs/>
                      <w:snapToGrid w:val="0"/>
                      <w:kern w:val="0"/>
                      <w:lang w:bidi="ar"/>
                    </w:rPr>
                  </w:pPr>
                  <w:r>
                    <w:rPr>
                      <w:bCs/>
                      <w:snapToGrid w:val="0"/>
                      <w:kern w:val="0"/>
                      <w:lang w:bidi="ar"/>
                    </w:rPr>
                    <w:t>0.20</w:t>
                  </w:r>
                </w:p>
              </w:tc>
              <w:tc>
                <w:tcPr>
                  <w:tcW w:w="427" w:type="pct"/>
                  <w:vAlign w:val="center"/>
                </w:tcPr>
                <w:p w14:paraId="3F241328">
                  <w:pPr>
                    <w:widowControl/>
                    <w:adjustRightInd w:val="0"/>
                    <w:snapToGrid w:val="0"/>
                    <w:jc w:val="center"/>
                    <w:textAlignment w:val="center"/>
                    <w:rPr>
                      <w:bCs/>
                      <w:snapToGrid w:val="0"/>
                      <w:kern w:val="0"/>
                      <w:lang w:bidi="ar"/>
                    </w:rPr>
                  </w:pPr>
                  <w:r>
                    <w:rPr>
                      <w:bCs/>
                      <w:snapToGrid w:val="0"/>
                      <w:kern w:val="0"/>
                      <w:lang w:bidi="ar"/>
                    </w:rPr>
                    <w:t>1</w:t>
                  </w:r>
                </w:p>
              </w:tc>
              <w:tc>
                <w:tcPr>
                  <w:tcW w:w="366" w:type="pct"/>
                  <w:vAlign w:val="center"/>
                </w:tcPr>
                <w:p w14:paraId="0DC91B6D">
                  <w:pPr>
                    <w:widowControl/>
                    <w:adjustRightInd w:val="0"/>
                    <w:snapToGrid w:val="0"/>
                    <w:jc w:val="center"/>
                    <w:textAlignment w:val="center"/>
                    <w:rPr>
                      <w:bCs/>
                      <w:snapToGrid w:val="0"/>
                      <w:kern w:val="0"/>
                      <w:lang w:bidi="ar"/>
                    </w:rPr>
                  </w:pPr>
                  <w:r>
                    <w:rPr>
                      <w:bCs/>
                      <w:snapToGrid w:val="0"/>
                      <w:kern w:val="0"/>
                      <w:lang w:bidi="ar"/>
                    </w:rPr>
                    <w:t>2-3</w:t>
                  </w:r>
                </w:p>
              </w:tc>
              <w:tc>
                <w:tcPr>
                  <w:tcW w:w="459" w:type="pct"/>
                  <w:vMerge w:val="continue"/>
                  <w:vAlign w:val="center"/>
                </w:tcPr>
                <w:p w14:paraId="576F5871">
                  <w:pPr>
                    <w:widowControl/>
                    <w:adjustRightInd w:val="0"/>
                    <w:snapToGrid w:val="0"/>
                    <w:jc w:val="center"/>
                    <w:textAlignment w:val="center"/>
                    <w:rPr>
                      <w:bCs/>
                      <w:snapToGrid w:val="0"/>
                      <w:kern w:val="0"/>
                      <w:lang w:bidi="ar"/>
                    </w:rPr>
                  </w:pPr>
                </w:p>
              </w:tc>
              <w:tc>
                <w:tcPr>
                  <w:tcW w:w="423" w:type="pct"/>
                  <w:vAlign w:val="center"/>
                </w:tcPr>
                <w:p w14:paraId="326609E5">
                  <w:pPr>
                    <w:widowControl/>
                    <w:adjustRightInd w:val="0"/>
                    <w:snapToGrid w:val="0"/>
                    <w:jc w:val="center"/>
                    <w:textAlignment w:val="center"/>
                    <w:rPr>
                      <w:bCs/>
                      <w:snapToGrid w:val="0"/>
                      <w:kern w:val="0"/>
                      <w:lang w:bidi="ar"/>
                    </w:rPr>
                  </w:pPr>
                  <w:r>
                    <w:rPr>
                      <w:bCs/>
                      <w:snapToGrid w:val="0"/>
                      <w:kern w:val="0"/>
                      <w:lang w:bidi="ar"/>
                    </w:rPr>
                    <w:t>0.19</w:t>
                  </w:r>
                </w:p>
              </w:tc>
              <w:tc>
                <w:tcPr>
                  <w:tcW w:w="410" w:type="pct"/>
                  <w:vAlign w:val="center"/>
                </w:tcPr>
                <w:p w14:paraId="5A724EE3">
                  <w:pPr>
                    <w:widowControl/>
                    <w:adjustRightInd w:val="0"/>
                    <w:snapToGrid w:val="0"/>
                    <w:jc w:val="center"/>
                    <w:textAlignment w:val="center"/>
                    <w:rPr>
                      <w:bCs/>
                      <w:snapToGrid w:val="0"/>
                      <w:kern w:val="0"/>
                      <w:lang w:bidi="ar"/>
                    </w:rPr>
                  </w:pPr>
                  <w:r>
                    <w:rPr>
                      <w:bCs/>
                      <w:snapToGrid w:val="0"/>
                      <w:kern w:val="0"/>
                      <w:lang w:bidi="ar"/>
                    </w:rPr>
                    <w:t>0.11</w:t>
                  </w:r>
                </w:p>
              </w:tc>
              <w:tc>
                <w:tcPr>
                  <w:tcW w:w="411" w:type="pct"/>
                  <w:vAlign w:val="center"/>
                </w:tcPr>
                <w:p w14:paraId="0C0EDAD2">
                  <w:pPr>
                    <w:widowControl/>
                    <w:adjustRightInd w:val="0"/>
                    <w:snapToGrid w:val="0"/>
                    <w:jc w:val="center"/>
                    <w:textAlignment w:val="center"/>
                    <w:rPr>
                      <w:bCs/>
                      <w:snapToGrid w:val="0"/>
                      <w:kern w:val="0"/>
                      <w:lang w:bidi="ar"/>
                    </w:rPr>
                  </w:pPr>
                  <w:r>
                    <w:rPr>
                      <w:bCs/>
                      <w:snapToGrid w:val="0"/>
                      <w:kern w:val="0"/>
                      <w:lang w:bidi="ar"/>
                    </w:rPr>
                    <w:t>0.13</w:t>
                  </w:r>
                </w:p>
              </w:tc>
              <w:tc>
                <w:tcPr>
                  <w:tcW w:w="469" w:type="pct"/>
                  <w:vAlign w:val="center"/>
                </w:tcPr>
                <w:p w14:paraId="66CD8B19">
                  <w:pPr>
                    <w:widowControl/>
                    <w:adjustRightInd w:val="0"/>
                    <w:snapToGrid w:val="0"/>
                    <w:jc w:val="center"/>
                    <w:textAlignment w:val="center"/>
                    <w:rPr>
                      <w:bCs/>
                      <w:snapToGrid w:val="0"/>
                      <w:kern w:val="0"/>
                      <w:lang w:bidi="ar"/>
                    </w:rPr>
                  </w:pPr>
                  <w:r>
                    <w:rPr>
                      <w:bCs/>
                      <w:snapToGrid w:val="0"/>
                      <w:kern w:val="0"/>
                      <w:lang w:bidi="ar"/>
                    </w:rPr>
                    <w:t>0.17a</w:t>
                  </w:r>
                </w:p>
              </w:tc>
              <w:tc>
                <w:tcPr>
                  <w:tcW w:w="802" w:type="pct"/>
                  <w:vAlign w:val="center"/>
                </w:tcPr>
                <w:p w14:paraId="5EFB66ED">
                  <w:pPr>
                    <w:widowControl/>
                    <w:adjustRightInd w:val="0"/>
                    <w:snapToGrid w:val="0"/>
                    <w:jc w:val="center"/>
                    <w:textAlignment w:val="center"/>
                    <w:rPr>
                      <w:bCs/>
                      <w:snapToGrid w:val="0"/>
                      <w:kern w:val="0"/>
                      <w:lang w:bidi="ar"/>
                    </w:rPr>
                  </w:pPr>
                  <w:r>
                    <w:rPr>
                      <w:bCs/>
                      <w:snapToGrid w:val="0"/>
                      <w:kern w:val="0"/>
                      <w:lang w:bidi="ar"/>
                    </w:rPr>
                    <w:t>分散堆存，堆存在塔基施工场地平缓处</w:t>
                  </w:r>
                </w:p>
              </w:tc>
            </w:tr>
            <w:tr w14:paraId="496C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50" w:type="pct"/>
                  <w:gridSpan w:val="2"/>
                  <w:vAlign w:val="center"/>
                </w:tcPr>
                <w:p w14:paraId="25C3A364">
                  <w:pPr>
                    <w:widowControl/>
                    <w:adjustRightInd w:val="0"/>
                    <w:snapToGrid w:val="0"/>
                    <w:jc w:val="center"/>
                    <w:textAlignment w:val="center"/>
                    <w:rPr>
                      <w:bCs/>
                      <w:snapToGrid w:val="0"/>
                      <w:kern w:val="0"/>
                      <w:lang w:bidi="ar"/>
                    </w:rPr>
                  </w:pPr>
                  <w:r>
                    <w:rPr>
                      <w:bCs/>
                      <w:snapToGrid w:val="0"/>
                      <w:kern w:val="0"/>
                      <w:lang w:bidi="ar"/>
                    </w:rPr>
                    <w:t>道路工程区</w:t>
                  </w:r>
                </w:p>
              </w:tc>
              <w:tc>
                <w:tcPr>
                  <w:tcW w:w="482" w:type="pct"/>
                  <w:vAlign w:val="center"/>
                </w:tcPr>
                <w:p w14:paraId="2421A20D">
                  <w:pPr>
                    <w:widowControl/>
                    <w:adjustRightInd w:val="0"/>
                    <w:snapToGrid w:val="0"/>
                    <w:jc w:val="center"/>
                    <w:textAlignment w:val="center"/>
                    <w:rPr>
                      <w:bCs/>
                      <w:snapToGrid w:val="0"/>
                      <w:kern w:val="0"/>
                      <w:lang w:bidi="ar"/>
                    </w:rPr>
                  </w:pPr>
                  <w:r>
                    <w:rPr>
                      <w:bCs/>
                      <w:snapToGrid w:val="0"/>
                      <w:kern w:val="0"/>
                      <w:lang w:bidi="ar"/>
                    </w:rPr>
                    <w:t>1.60</w:t>
                  </w:r>
                </w:p>
              </w:tc>
              <w:tc>
                <w:tcPr>
                  <w:tcW w:w="427" w:type="pct"/>
                  <w:vAlign w:val="center"/>
                </w:tcPr>
                <w:p w14:paraId="4B4A04A4">
                  <w:pPr>
                    <w:widowControl/>
                    <w:adjustRightInd w:val="0"/>
                    <w:snapToGrid w:val="0"/>
                    <w:jc w:val="center"/>
                    <w:textAlignment w:val="center"/>
                    <w:rPr>
                      <w:bCs/>
                      <w:snapToGrid w:val="0"/>
                      <w:kern w:val="0"/>
                      <w:lang w:bidi="ar"/>
                    </w:rPr>
                  </w:pPr>
                  <w:r>
                    <w:rPr>
                      <w:bCs/>
                      <w:snapToGrid w:val="0"/>
                      <w:kern w:val="0"/>
                      <w:lang w:bidi="ar"/>
                    </w:rPr>
                    <w:t>8</w:t>
                  </w:r>
                </w:p>
              </w:tc>
              <w:tc>
                <w:tcPr>
                  <w:tcW w:w="366" w:type="pct"/>
                  <w:vAlign w:val="center"/>
                </w:tcPr>
                <w:p w14:paraId="043E7B63">
                  <w:pPr>
                    <w:widowControl/>
                    <w:adjustRightInd w:val="0"/>
                    <w:snapToGrid w:val="0"/>
                    <w:jc w:val="center"/>
                    <w:textAlignment w:val="center"/>
                    <w:rPr>
                      <w:bCs/>
                      <w:snapToGrid w:val="0"/>
                      <w:kern w:val="0"/>
                      <w:lang w:bidi="ar"/>
                    </w:rPr>
                  </w:pPr>
                  <w:r>
                    <w:rPr>
                      <w:bCs/>
                      <w:snapToGrid w:val="0"/>
                      <w:kern w:val="0"/>
                      <w:lang w:bidi="ar"/>
                    </w:rPr>
                    <w:t>2-3</w:t>
                  </w:r>
                </w:p>
              </w:tc>
              <w:tc>
                <w:tcPr>
                  <w:tcW w:w="459" w:type="pct"/>
                  <w:vMerge w:val="continue"/>
                  <w:vAlign w:val="center"/>
                </w:tcPr>
                <w:p w14:paraId="14B399B6">
                  <w:pPr>
                    <w:widowControl/>
                    <w:adjustRightInd w:val="0"/>
                    <w:snapToGrid w:val="0"/>
                    <w:jc w:val="center"/>
                    <w:textAlignment w:val="center"/>
                    <w:rPr>
                      <w:bCs/>
                      <w:snapToGrid w:val="0"/>
                      <w:kern w:val="0"/>
                      <w:lang w:bidi="ar"/>
                    </w:rPr>
                  </w:pPr>
                </w:p>
              </w:tc>
              <w:tc>
                <w:tcPr>
                  <w:tcW w:w="423" w:type="pct"/>
                  <w:vAlign w:val="center"/>
                </w:tcPr>
                <w:p w14:paraId="47885323">
                  <w:pPr>
                    <w:widowControl/>
                    <w:adjustRightInd w:val="0"/>
                    <w:snapToGrid w:val="0"/>
                    <w:jc w:val="center"/>
                    <w:textAlignment w:val="center"/>
                    <w:rPr>
                      <w:bCs/>
                      <w:snapToGrid w:val="0"/>
                      <w:kern w:val="0"/>
                      <w:lang w:bidi="ar"/>
                    </w:rPr>
                  </w:pPr>
                  <w:r>
                    <w:rPr>
                      <w:bCs/>
                      <w:snapToGrid w:val="0"/>
                      <w:kern w:val="0"/>
                      <w:lang w:bidi="ar"/>
                    </w:rPr>
                    <w:t>1.54</w:t>
                  </w:r>
                </w:p>
              </w:tc>
              <w:tc>
                <w:tcPr>
                  <w:tcW w:w="410" w:type="pct"/>
                  <w:vAlign w:val="center"/>
                </w:tcPr>
                <w:p w14:paraId="75DC0396">
                  <w:pPr>
                    <w:widowControl/>
                    <w:adjustRightInd w:val="0"/>
                    <w:snapToGrid w:val="0"/>
                    <w:jc w:val="center"/>
                    <w:textAlignment w:val="center"/>
                    <w:rPr>
                      <w:bCs/>
                      <w:snapToGrid w:val="0"/>
                      <w:kern w:val="0"/>
                      <w:lang w:bidi="ar"/>
                    </w:rPr>
                  </w:pPr>
                  <w:r>
                    <w:rPr>
                      <w:bCs/>
                      <w:snapToGrid w:val="0"/>
                      <w:kern w:val="0"/>
                      <w:lang w:bidi="ar"/>
                    </w:rPr>
                    <w:t>1.17</w:t>
                  </w:r>
                </w:p>
              </w:tc>
              <w:tc>
                <w:tcPr>
                  <w:tcW w:w="411" w:type="pct"/>
                  <w:vAlign w:val="center"/>
                </w:tcPr>
                <w:p w14:paraId="21439F74">
                  <w:pPr>
                    <w:widowControl/>
                    <w:adjustRightInd w:val="0"/>
                    <w:snapToGrid w:val="0"/>
                    <w:jc w:val="center"/>
                    <w:textAlignment w:val="center"/>
                    <w:rPr>
                      <w:bCs/>
                      <w:snapToGrid w:val="0"/>
                      <w:kern w:val="0"/>
                      <w:lang w:bidi="ar"/>
                    </w:rPr>
                  </w:pPr>
                  <w:r>
                    <w:rPr>
                      <w:bCs/>
                      <w:snapToGrid w:val="0"/>
                      <w:kern w:val="0"/>
                      <w:lang w:bidi="ar"/>
                    </w:rPr>
                    <w:t>1.40</w:t>
                  </w:r>
                </w:p>
              </w:tc>
              <w:tc>
                <w:tcPr>
                  <w:tcW w:w="469" w:type="pct"/>
                  <w:vAlign w:val="center"/>
                </w:tcPr>
                <w:p w14:paraId="00FA64A8">
                  <w:pPr>
                    <w:widowControl/>
                    <w:adjustRightInd w:val="0"/>
                    <w:snapToGrid w:val="0"/>
                    <w:jc w:val="center"/>
                    <w:textAlignment w:val="center"/>
                    <w:rPr>
                      <w:bCs/>
                      <w:snapToGrid w:val="0"/>
                      <w:kern w:val="0"/>
                      <w:lang w:bidi="ar"/>
                    </w:rPr>
                  </w:pPr>
                  <w:r>
                    <w:rPr>
                      <w:bCs/>
                      <w:snapToGrid w:val="0"/>
                      <w:kern w:val="0"/>
                      <w:lang w:bidi="ar"/>
                    </w:rPr>
                    <w:t>0.33a</w:t>
                  </w:r>
                </w:p>
              </w:tc>
              <w:tc>
                <w:tcPr>
                  <w:tcW w:w="802" w:type="pct"/>
                  <w:vAlign w:val="center"/>
                </w:tcPr>
                <w:p w14:paraId="1724C06D">
                  <w:pPr>
                    <w:widowControl/>
                    <w:adjustRightInd w:val="0"/>
                    <w:snapToGrid w:val="0"/>
                    <w:jc w:val="center"/>
                    <w:textAlignment w:val="center"/>
                    <w:rPr>
                      <w:bCs/>
                      <w:snapToGrid w:val="0"/>
                      <w:kern w:val="0"/>
                      <w:lang w:bidi="ar"/>
                    </w:rPr>
                  </w:pPr>
                  <w:r>
                    <w:rPr>
                      <w:bCs/>
                      <w:snapToGrid w:val="0"/>
                      <w:kern w:val="0"/>
                      <w:lang w:bidi="ar"/>
                    </w:rPr>
                    <w:t>分散堆存，堆存在每条道路回车平台区域</w:t>
                  </w:r>
                </w:p>
              </w:tc>
            </w:tr>
            <w:tr w14:paraId="371D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50" w:type="pct"/>
                  <w:gridSpan w:val="2"/>
                  <w:vAlign w:val="center"/>
                </w:tcPr>
                <w:p w14:paraId="349D2905">
                  <w:pPr>
                    <w:widowControl/>
                    <w:adjustRightInd w:val="0"/>
                    <w:snapToGrid w:val="0"/>
                    <w:jc w:val="center"/>
                    <w:textAlignment w:val="center"/>
                    <w:rPr>
                      <w:bCs/>
                      <w:snapToGrid w:val="0"/>
                      <w:kern w:val="0"/>
                      <w:lang w:bidi="ar"/>
                    </w:rPr>
                  </w:pPr>
                  <w:r>
                    <w:rPr>
                      <w:bCs/>
                      <w:snapToGrid w:val="0"/>
                      <w:kern w:val="0"/>
                      <w:lang w:bidi="ar"/>
                    </w:rPr>
                    <w:t>施工生产生活区</w:t>
                  </w:r>
                </w:p>
              </w:tc>
              <w:tc>
                <w:tcPr>
                  <w:tcW w:w="482" w:type="pct"/>
                  <w:vAlign w:val="center"/>
                </w:tcPr>
                <w:p w14:paraId="173109AD">
                  <w:pPr>
                    <w:widowControl/>
                    <w:adjustRightInd w:val="0"/>
                    <w:snapToGrid w:val="0"/>
                    <w:jc w:val="center"/>
                    <w:textAlignment w:val="center"/>
                    <w:rPr>
                      <w:bCs/>
                      <w:snapToGrid w:val="0"/>
                      <w:kern w:val="0"/>
                      <w:lang w:bidi="ar"/>
                    </w:rPr>
                  </w:pPr>
                  <w:r>
                    <w:rPr>
                      <w:bCs/>
                      <w:snapToGrid w:val="0"/>
                      <w:kern w:val="0"/>
                      <w:lang w:bidi="ar"/>
                    </w:rPr>
                    <w:t>0.15</w:t>
                  </w:r>
                </w:p>
              </w:tc>
              <w:tc>
                <w:tcPr>
                  <w:tcW w:w="427" w:type="pct"/>
                  <w:vAlign w:val="center"/>
                </w:tcPr>
                <w:p w14:paraId="0F60F1AA">
                  <w:pPr>
                    <w:widowControl/>
                    <w:adjustRightInd w:val="0"/>
                    <w:snapToGrid w:val="0"/>
                    <w:jc w:val="center"/>
                    <w:textAlignment w:val="center"/>
                    <w:rPr>
                      <w:bCs/>
                      <w:snapToGrid w:val="0"/>
                      <w:kern w:val="0"/>
                      <w:lang w:bidi="ar"/>
                    </w:rPr>
                  </w:pPr>
                  <w:r>
                    <w:rPr>
                      <w:bCs/>
                      <w:snapToGrid w:val="0"/>
                      <w:kern w:val="0"/>
                      <w:lang w:bidi="ar"/>
                    </w:rPr>
                    <w:t>1</w:t>
                  </w:r>
                </w:p>
              </w:tc>
              <w:tc>
                <w:tcPr>
                  <w:tcW w:w="366" w:type="pct"/>
                  <w:vAlign w:val="center"/>
                </w:tcPr>
                <w:p w14:paraId="22A6AECD">
                  <w:pPr>
                    <w:widowControl/>
                    <w:adjustRightInd w:val="0"/>
                    <w:snapToGrid w:val="0"/>
                    <w:jc w:val="center"/>
                    <w:textAlignment w:val="center"/>
                    <w:rPr>
                      <w:bCs/>
                      <w:snapToGrid w:val="0"/>
                      <w:kern w:val="0"/>
                      <w:lang w:bidi="ar"/>
                    </w:rPr>
                  </w:pPr>
                  <w:r>
                    <w:rPr>
                      <w:bCs/>
                      <w:snapToGrid w:val="0"/>
                      <w:kern w:val="0"/>
                      <w:lang w:bidi="ar"/>
                    </w:rPr>
                    <w:t>2-3</w:t>
                  </w:r>
                </w:p>
              </w:tc>
              <w:tc>
                <w:tcPr>
                  <w:tcW w:w="459" w:type="pct"/>
                  <w:vMerge w:val="continue"/>
                  <w:vAlign w:val="center"/>
                </w:tcPr>
                <w:p w14:paraId="2000208C">
                  <w:pPr>
                    <w:widowControl/>
                    <w:adjustRightInd w:val="0"/>
                    <w:snapToGrid w:val="0"/>
                    <w:jc w:val="center"/>
                    <w:textAlignment w:val="center"/>
                    <w:rPr>
                      <w:bCs/>
                      <w:snapToGrid w:val="0"/>
                      <w:kern w:val="0"/>
                      <w:lang w:bidi="ar"/>
                    </w:rPr>
                  </w:pPr>
                </w:p>
              </w:tc>
              <w:tc>
                <w:tcPr>
                  <w:tcW w:w="423" w:type="pct"/>
                  <w:vAlign w:val="center"/>
                </w:tcPr>
                <w:p w14:paraId="0B2284A0">
                  <w:pPr>
                    <w:widowControl/>
                    <w:adjustRightInd w:val="0"/>
                    <w:snapToGrid w:val="0"/>
                    <w:jc w:val="center"/>
                    <w:textAlignment w:val="center"/>
                    <w:rPr>
                      <w:bCs/>
                      <w:snapToGrid w:val="0"/>
                      <w:kern w:val="0"/>
                      <w:lang w:bidi="ar"/>
                    </w:rPr>
                  </w:pPr>
                  <w:r>
                    <w:rPr>
                      <w:bCs/>
                      <w:snapToGrid w:val="0"/>
                      <w:kern w:val="0"/>
                      <w:lang w:bidi="ar"/>
                    </w:rPr>
                    <w:t>0.14</w:t>
                  </w:r>
                </w:p>
              </w:tc>
              <w:tc>
                <w:tcPr>
                  <w:tcW w:w="410" w:type="pct"/>
                  <w:vAlign w:val="center"/>
                </w:tcPr>
                <w:p w14:paraId="403170AB">
                  <w:pPr>
                    <w:widowControl/>
                    <w:adjustRightInd w:val="0"/>
                    <w:snapToGrid w:val="0"/>
                    <w:jc w:val="center"/>
                    <w:textAlignment w:val="center"/>
                    <w:rPr>
                      <w:bCs/>
                      <w:snapToGrid w:val="0"/>
                      <w:kern w:val="0"/>
                      <w:lang w:bidi="ar"/>
                    </w:rPr>
                  </w:pPr>
                  <w:r>
                    <w:rPr>
                      <w:bCs/>
                      <w:snapToGrid w:val="0"/>
                      <w:kern w:val="0"/>
                      <w:lang w:bidi="ar"/>
                    </w:rPr>
                    <w:t>0.08</w:t>
                  </w:r>
                </w:p>
              </w:tc>
              <w:tc>
                <w:tcPr>
                  <w:tcW w:w="411" w:type="pct"/>
                  <w:vAlign w:val="center"/>
                </w:tcPr>
                <w:p w14:paraId="4DB2C9C6">
                  <w:pPr>
                    <w:widowControl/>
                    <w:adjustRightInd w:val="0"/>
                    <w:snapToGrid w:val="0"/>
                    <w:jc w:val="center"/>
                    <w:textAlignment w:val="center"/>
                    <w:rPr>
                      <w:bCs/>
                      <w:snapToGrid w:val="0"/>
                      <w:kern w:val="0"/>
                      <w:lang w:bidi="ar"/>
                    </w:rPr>
                  </w:pPr>
                  <w:r>
                    <w:rPr>
                      <w:bCs/>
                      <w:snapToGrid w:val="0"/>
                      <w:kern w:val="0"/>
                      <w:lang w:bidi="ar"/>
                    </w:rPr>
                    <w:t>0.10</w:t>
                  </w:r>
                </w:p>
              </w:tc>
              <w:tc>
                <w:tcPr>
                  <w:tcW w:w="469" w:type="pct"/>
                  <w:vAlign w:val="center"/>
                </w:tcPr>
                <w:p w14:paraId="364AE295">
                  <w:pPr>
                    <w:widowControl/>
                    <w:adjustRightInd w:val="0"/>
                    <w:snapToGrid w:val="0"/>
                    <w:jc w:val="center"/>
                    <w:textAlignment w:val="center"/>
                    <w:rPr>
                      <w:bCs/>
                      <w:snapToGrid w:val="0"/>
                      <w:kern w:val="0"/>
                      <w:lang w:bidi="ar"/>
                    </w:rPr>
                  </w:pPr>
                  <w:r>
                    <w:rPr>
                      <w:bCs/>
                      <w:snapToGrid w:val="0"/>
                      <w:kern w:val="0"/>
                      <w:lang w:bidi="ar"/>
                    </w:rPr>
                    <w:t>0.33a</w:t>
                  </w:r>
                </w:p>
              </w:tc>
              <w:tc>
                <w:tcPr>
                  <w:tcW w:w="802" w:type="pct"/>
                  <w:vAlign w:val="center"/>
                </w:tcPr>
                <w:p w14:paraId="2267082E">
                  <w:pPr>
                    <w:widowControl/>
                    <w:adjustRightInd w:val="0"/>
                    <w:snapToGrid w:val="0"/>
                    <w:jc w:val="center"/>
                    <w:textAlignment w:val="center"/>
                    <w:rPr>
                      <w:bCs/>
                      <w:snapToGrid w:val="0"/>
                      <w:kern w:val="0"/>
                      <w:lang w:bidi="ar"/>
                    </w:rPr>
                  </w:pPr>
                  <w:r>
                    <w:rPr>
                      <w:bCs/>
                      <w:snapToGrid w:val="0"/>
                      <w:kern w:val="0"/>
                      <w:lang w:bidi="ar"/>
                    </w:rPr>
                    <w:t>集中堆存</w:t>
                  </w:r>
                </w:p>
              </w:tc>
            </w:tr>
            <w:tr w14:paraId="0A2A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50" w:type="pct"/>
                  <w:gridSpan w:val="2"/>
                  <w:vAlign w:val="center"/>
                </w:tcPr>
                <w:p w14:paraId="0C621C28">
                  <w:pPr>
                    <w:widowControl/>
                    <w:adjustRightInd w:val="0"/>
                    <w:snapToGrid w:val="0"/>
                    <w:jc w:val="center"/>
                    <w:textAlignment w:val="center"/>
                    <w:rPr>
                      <w:bCs/>
                      <w:snapToGrid w:val="0"/>
                      <w:kern w:val="0"/>
                      <w:lang w:bidi="ar"/>
                    </w:rPr>
                  </w:pPr>
                  <w:r>
                    <w:rPr>
                      <w:bCs/>
                      <w:snapToGrid w:val="0"/>
                      <w:kern w:val="0"/>
                      <w:lang w:bidi="ar"/>
                    </w:rPr>
                    <w:t>升压站区</w:t>
                  </w:r>
                </w:p>
              </w:tc>
              <w:tc>
                <w:tcPr>
                  <w:tcW w:w="482" w:type="pct"/>
                  <w:vAlign w:val="center"/>
                </w:tcPr>
                <w:p w14:paraId="7A1557DA">
                  <w:pPr>
                    <w:widowControl/>
                    <w:adjustRightInd w:val="0"/>
                    <w:snapToGrid w:val="0"/>
                    <w:jc w:val="center"/>
                    <w:textAlignment w:val="center"/>
                    <w:rPr>
                      <w:bCs/>
                      <w:snapToGrid w:val="0"/>
                      <w:kern w:val="0"/>
                      <w:lang w:bidi="ar"/>
                    </w:rPr>
                  </w:pPr>
                  <w:r>
                    <w:rPr>
                      <w:bCs/>
                      <w:snapToGrid w:val="0"/>
                      <w:kern w:val="0"/>
                      <w:lang w:bidi="ar"/>
                    </w:rPr>
                    <w:t>0.05</w:t>
                  </w:r>
                </w:p>
              </w:tc>
              <w:tc>
                <w:tcPr>
                  <w:tcW w:w="427" w:type="pct"/>
                  <w:vAlign w:val="center"/>
                </w:tcPr>
                <w:p w14:paraId="13200A5C">
                  <w:pPr>
                    <w:widowControl/>
                    <w:adjustRightInd w:val="0"/>
                    <w:snapToGrid w:val="0"/>
                    <w:jc w:val="center"/>
                    <w:textAlignment w:val="center"/>
                    <w:rPr>
                      <w:bCs/>
                      <w:snapToGrid w:val="0"/>
                      <w:kern w:val="0"/>
                      <w:lang w:bidi="ar"/>
                    </w:rPr>
                  </w:pPr>
                  <w:r>
                    <w:rPr>
                      <w:bCs/>
                      <w:snapToGrid w:val="0"/>
                      <w:kern w:val="0"/>
                      <w:lang w:bidi="ar"/>
                    </w:rPr>
                    <w:t>1</w:t>
                  </w:r>
                </w:p>
              </w:tc>
              <w:tc>
                <w:tcPr>
                  <w:tcW w:w="366" w:type="pct"/>
                  <w:vAlign w:val="center"/>
                </w:tcPr>
                <w:p w14:paraId="300DC004">
                  <w:pPr>
                    <w:widowControl/>
                    <w:adjustRightInd w:val="0"/>
                    <w:snapToGrid w:val="0"/>
                    <w:jc w:val="center"/>
                    <w:textAlignment w:val="center"/>
                    <w:rPr>
                      <w:bCs/>
                      <w:snapToGrid w:val="0"/>
                      <w:kern w:val="0"/>
                      <w:lang w:bidi="ar"/>
                    </w:rPr>
                  </w:pPr>
                  <w:r>
                    <w:rPr>
                      <w:bCs/>
                      <w:snapToGrid w:val="0"/>
                      <w:kern w:val="0"/>
                      <w:lang w:bidi="ar"/>
                    </w:rPr>
                    <w:t>2-3</w:t>
                  </w:r>
                </w:p>
              </w:tc>
              <w:tc>
                <w:tcPr>
                  <w:tcW w:w="459" w:type="pct"/>
                  <w:vMerge w:val="continue"/>
                  <w:vAlign w:val="center"/>
                </w:tcPr>
                <w:p w14:paraId="5059098B">
                  <w:pPr>
                    <w:widowControl/>
                    <w:adjustRightInd w:val="0"/>
                    <w:snapToGrid w:val="0"/>
                    <w:jc w:val="center"/>
                    <w:textAlignment w:val="center"/>
                    <w:rPr>
                      <w:bCs/>
                      <w:snapToGrid w:val="0"/>
                      <w:kern w:val="0"/>
                      <w:lang w:bidi="ar"/>
                    </w:rPr>
                  </w:pPr>
                </w:p>
              </w:tc>
              <w:tc>
                <w:tcPr>
                  <w:tcW w:w="423" w:type="pct"/>
                  <w:vAlign w:val="center"/>
                </w:tcPr>
                <w:p w14:paraId="0B54992B">
                  <w:pPr>
                    <w:widowControl/>
                    <w:adjustRightInd w:val="0"/>
                    <w:snapToGrid w:val="0"/>
                    <w:jc w:val="center"/>
                    <w:textAlignment w:val="center"/>
                    <w:rPr>
                      <w:bCs/>
                      <w:snapToGrid w:val="0"/>
                      <w:kern w:val="0"/>
                      <w:lang w:bidi="ar"/>
                    </w:rPr>
                  </w:pPr>
                  <w:r>
                    <w:rPr>
                      <w:bCs/>
                      <w:snapToGrid w:val="0"/>
                      <w:kern w:val="0"/>
                      <w:lang w:bidi="ar"/>
                    </w:rPr>
                    <w:t>0.05</w:t>
                  </w:r>
                </w:p>
              </w:tc>
              <w:tc>
                <w:tcPr>
                  <w:tcW w:w="410" w:type="pct"/>
                  <w:vAlign w:val="center"/>
                </w:tcPr>
                <w:p w14:paraId="6C1C398F">
                  <w:pPr>
                    <w:widowControl/>
                    <w:adjustRightInd w:val="0"/>
                    <w:snapToGrid w:val="0"/>
                    <w:jc w:val="center"/>
                    <w:textAlignment w:val="center"/>
                    <w:rPr>
                      <w:bCs/>
                      <w:snapToGrid w:val="0"/>
                      <w:kern w:val="0"/>
                      <w:lang w:bidi="ar"/>
                    </w:rPr>
                  </w:pPr>
                  <w:r>
                    <w:rPr>
                      <w:bCs/>
                      <w:snapToGrid w:val="0"/>
                      <w:kern w:val="0"/>
                      <w:lang w:bidi="ar"/>
                    </w:rPr>
                    <w:t>0.01</w:t>
                  </w:r>
                </w:p>
              </w:tc>
              <w:tc>
                <w:tcPr>
                  <w:tcW w:w="411" w:type="pct"/>
                  <w:vAlign w:val="center"/>
                </w:tcPr>
                <w:p w14:paraId="76091319">
                  <w:pPr>
                    <w:widowControl/>
                    <w:adjustRightInd w:val="0"/>
                    <w:snapToGrid w:val="0"/>
                    <w:jc w:val="center"/>
                    <w:textAlignment w:val="center"/>
                    <w:rPr>
                      <w:bCs/>
                      <w:snapToGrid w:val="0"/>
                      <w:kern w:val="0"/>
                      <w:lang w:bidi="ar"/>
                    </w:rPr>
                  </w:pPr>
                  <w:r>
                    <w:rPr>
                      <w:bCs/>
                      <w:snapToGrid w:val="0"/>
                      <w:kern w:val="0"/>
                      <w:lang w:bidi="ar"/>
                    </w:rPr>
                    <w:t>0.01</w:t>
                  </w:r>
                </w:p>
              </w:tc>
              <w:tc>
                <w:tcPr>
                  <w:tcW w:w="469" w:type="pct"/>
                  <w:vAlign w:val="center"/>
                </w:tcPr>
                <w:p w14:paraId="0BA30100">
                  <w:pPr>
                    <w:widowControl/>
                    <w:adjustRightInd w:val="0"/>
                    <w:snapToGrid w:val="0"/>
                    <w:jc w:val="center"/>
                    <w:textAlignment w:val="center"/>
                    <w:rPr>
                      <w:bCs/>
                      <w:snapToGrid w:val="0"/>
                      <w:kern w:val="0"/>
                      <w:lang w:bidi="ar"/>
                    </w:rPr>
                  </w:pPr>
                  <w:r>
                    <w:rPr>
                      <w:bCs/>
                      <w:snapToGrid w:val="0"/>
                      <w:kern w:val="0"/>
                      <w:lang w:bidi="ar"/>
                    </w:rPr>
                    <w:t>0.33a</w:t>
                  </w:r>
                </w:p>
              </w:tc>
              <w:tc>
                <w:tcPr>
                  <w:tcW w:w="802" w:type="pct"/>
                  <w:vAlign w:val="center"/>
                </w:tcPr>
                <w:p w14:paraId="2BF77806">
                  <w:pPr>
                    <w:widowControl/>
                    <w:adjustRightInd w:val="0"/>
                    <w:snapToGrid w:val="0"/>
                    <w:jc w:val="center"/>
                    <w:textAlignment w:val="center"/>
                    <w:rPr>
                      <w:bCs/>
                      <w:snapToGrid w:val="0"/>
                      <w:kern w:val="0"/>
                      <w:lang w:bidi="ar"/>
                    </w:rPr>
                  </w:pPr>
                  <w:r>
                    <w:rPr>
                      <w:bCs/>
                      <w:snapToGrid w:val="0"/>
                      <w:kern w:val="0"/>
                      <w:lang w:bidi="ar"/>
                    </w:rPr>
                    <w:t>集中堆存于升压站区平缓处</w:t>
                  </w:r>
                </w:p>
              </w:tc>
            </w:tr>
            <w:tr w14:paraId="60A1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50" w:type="pct"/>
                  <w:gridSpan w:val="2"/>
                  <w:vAlign w:val="center"/>
                </w:tcPr>
                <w:p w14:paraId="7AF9A028">
                  <w:pPr>
                    <w:widowControl/>
                    <w:adjustRightInd w:val="0"/>
                    <w:snapToGrid w:val="0"/>
                    <w:jc w:val="center"/>
                    <w:textAlignment w:val="center"/>
                    <w:rPr>
                      <w:bCs/>
                      <w:snapToGrid w:val="0"/>
                      <w:kern w:val="0"/>
                      <w:lang w:bidi="ar"/>
                    </w:rPr>
                  </w:pPr>
                  <w:r>
                    <w:rPr>
                      <w:bCs/>
                      <w:snapToGrid w:val="0"/>
                      <w:kern w:val="0"/>
                      <w:lang w:bidi="ar"/>
                    </w:rPr>
                    <w:t>小计</w:t>
                  </w:r>
                </w:p>
              </w:tc>
              <w:tc>
                <w:tcPr>
                  <w:tcW w:w="482" w:type="pct"/>
                  <w:vAlign w:val="center"/>
                </w:tcPr>
                <w:p w14:paraId="298CDF23">
                  <w:pPr>
                    <w:widowControl/>
                    <w:adjustRightInd w:val="0"/>
                    <w:snapToGrid w:val="0"/>
                    <w:jc w:val="center"/>
                    <w:textAlignment w:val="center"/>
                    <w:rPr>
                      <w:bCs/>
                      <w:snapToGrid w:val="0"/>
                      <w:kern w:val="0"/>
                      <w:lang w:bidi="ar"/>
                    </w:rPr>
                  </w:pPr>
                  <w:r>
                    <w:rPr>
                      <w:bCs/>
                      <w:snapToGrid w:val="0"/>
                      <w:kern w:val="0"/>
                      <w:lang w:bidi="ar"/>
                    </w:rPr>
                    <w:t>2.20</w:t>
                  </w:r>
                </w:p>
              </w:tc>
              <w:tc>
                <w:tcPr>
                  <w:tcW w:w="427" w:type="pct"/>
                  <w:vAlign w:val="center"/>
                </w:tcPr>
                <w:p w14:paraId="0F242F70">
                  <w:pPr>
                    <w:widowControl/>
                    <w:adjustRightInd w:val="0"/>
                    <w:snapToGrid w:val="0"/>
                    <w:jc w:val="center"/>
                    <w:textAlignment w:val="center"/>
                    <w:rPr>
                      <w:bCs/>
                      <w:snapToGrid w:val="0"/>
                      <w:kern w:val="0"/>
                      <w:lang w:bidi="ar"/>
                    </w:rPr>
                  </w:pPr>
                  <w:r>
                    <w:rPr>
                      <w:bCs/>
                      <w:snapToGrid w:val="0"/>
                      <w:kern w:val="0"/>
                      <w:lang w:bidi="ar"/>
                    </w:rPr>
                    <w:t>12</w:t>
                  </w:r>
                </w:p>
              </w:tc>
              <w:tc>
                <w:tcPr>
                  <w:tcW w:w="366" w:type="pct"/>
                  <w:vAlign w:val="center"/>
                </w:tcPr>
                <w:p w14:paraId="04A53220">
                  <w:pPr>
                    <w:widowControl/>
                    <w:adjustRightInd w:val="0"/>
                    <w:snapToGrid w:val="0"/>
                    <w:jc w:val="center"/>
                    <w:textAlignment w:val="center"/>
                    <w:rPr>
                      <w:bCs/>
                      <w:snapToGrid w:val="0"/>
                      <w:kern w:val="0"/>
                      <w:lang w:bidi="ar"/>
                    </w:rPr>
                  </w:pPr>
                </w:p>
              </w:tc>
              <w:tc>
                <w:tcPr>
                  <w:tcW w:w="459" w:type="pct"/>
                  <w:vMerge w:val="continue"/>
                  <w:vAlign w:val="center"/>
                </w:tcPr>
                <w:p w14:paraId="633246DF">
                  <w:pPr>
                    <w:widowControl/>
                    <w:adjustRightInd w:val="0"/>
                    <w:snapToGrid w:val="0"/>
                    <w:jc w:val="center"/>
                    <w:textAlignment w:val="center"/>
                    <w:rPr>
                      <w:bCs/>
                      <w:snapToGrid w:val="0"/>
                      <w:kern w:val="0"/>
                      <w:lang w:bidi="ar"/>
                    </w:rPr>
                  </w:pPr>
                </w:p>
              </w:tc>
              <w:tc>
                <w:tcPr>
                  <w:tcW w:w="423" w:type="pct"/>
                  <w:vAlign w:val="center"/>
                </w:tcPr>
                <w:p w14:paraId="32DCDDF6">
                  <w:pPr>
                    <w:widowControl/>
                    <w:adjustRightInd w:val="0"/>
                    <w:snapToGrid w:val="0"/>
                    <w:jc w:val="center"/>
                    <w:textAlignment w:val="center"/>
                    <w:rPr>
                      <w:bCs/>
                      <w:snapToGrid w:val="0"/>
                      <w:kern w:val="0"/>
                      <w:lang w:bidi="ar"/>
                    </w:rPr>
                  </w:pPr>
                  <w:r>
                    <w:rPr>
                      <w:bCs/>
                      <w:snapToGrid w:val="0"/>
                      <w:kern w:val="0"/>
                      <w:lang w:bidi="ar"/>
                    </w:rPr>
                    <w:t>2.11</w:t>
                  </w:r>
                </w:p>
              </w:tc>
              <w:tc>
                <w:tcPr>
                  <w:tcW w:w="410" w:type="pct"/>
                  <w:vAlign w:val="center"/>
                </w:tcPr>
                <w:p w14:paraId="302CC467">
                  <w:pPr>
                    <w:widowControl/>
                    <w:adjustRightInd w:val="0"/>
                    <w:snapToGrid w:val="0"/>
                    <w:jc w:val="center"/>
                    <w:textAlignment w:val="center"/>
                    <w:rPr>
                      <w:bCs/>
                      <w:snapToGrid w:val="0"/>
                      <w:kern w:val="0"/>
                      <w:lang w:bidi="ar"/>
                    </w:rPr>
                  </w:pPr>
                  <w:r>
                    <w:rPr>
                      <w:bCs/>
                      <w:snapToGrid w:val="0"/>
                      <w:kern w:val="0"/>
                      <w:lang w:bidi="ar"/>
                    </w:rPr>
                    <w:t>1.48</w:t>
                  </w:r>
                </w:p>
              </w:tc>
              <w:tc>
                <w:tcPr>
                  <w:tcW w:w="411" w:type="pct"/>
                  <w:vAlign w:val="center"/>
                </w:tcPr>
                <w:p w14:paraId="1AE272ED">
                  <w:pPr>
                    <w:widowControl/>
                    <w:adjustRightInd w:val="0"/>
                    <w:snapToGrid w:val="0"/>
                    <w:jc w:val="center"/>
                    <w:textAlignment w:val="center"/>
                    <w:rPr>
                      <w:bCs/>
                      <w:snapToGrid w:val="0"/>
                      <w:kern w:val="0"/>
                      <w:lang w:bidi="ar"/>
                    </w:rPr>
                  </w:pPr>
                  <w:r>
                    <w:rPr>
                      <w:bCs/>
                      <w:snapToGrid w:val="0"/>
                      <w:kern w:val="0"/>
                      <w:lang w:bidi="ar"/>
                    </w:rPr>
                    <w:t>1.77</w:t>
                  </w:r>
                </w:p>
              </w:tc>
              <w:tc>
                <w:tcPr>
                  <w:tcW w:w="469" w:type="pct"/>
                  <w:vAlign w:val="center"/>
                </w:tcPr>
                <w:p w14:paraId="42910AAC">
                  <w:pPr>
                    <w:widowControl/>
                    <w:adjustRightInd w:val="0"/>
                    <w:snapToGrid w:val="0"/>
                    <w:jc w:val="center"/>
                    <w:textAlignment w:val="center"/>
                    <w:rPr>
                      <w:bCs/>
                      <w:snapToGrid w:val="0"/>
                      <w:kern w:val="0"/>
                      <w:lang w:bidi="ar"/>
                    </w:rPr>
                  </w:pPr>
                </w:p>
              </w:tc>
              <w:tc>
                <w:tcPr>
                  <w:tcW w:w="802" w:type="pct"/>
                  <w:vAlign w:val="center"/>
                </w:tcPr>
                <w:p w14:paraId="70C902B4">
                  <w:pPr>
                    <w:widowControl/>
                    <w:adjustRightInd w:val="0"/>
                    <w:snapToGrid w:val="0"/>
                    <w:jc w:val="center"/>
                    <w:textAlignment w:val="center"/>
                    <w:rPr>
                      <w:bCs/>
                      <w:snapToGrid w:val="0"/>
                      <w:kern w:val="0"/>
                      <w:lang w:bidi="ar"/>
                    </w:rPr>
                  </w:pPr>
                </w:p>
              </w:tc>
            </w:tr>
          </w:tbl>
          <w:p w14:paraId="0D5DDBB3">
            <w:pPr>
              <w:rPr>
                <w:kern w:val="0"/>
                <w:sz w:val="18"/>
                <w:szCs w:val="18"/>
              </w:rPr>
            </w:pPr>
            <w:r>
              <w:rPr>
                <w:kern w:val="0"/>
                <w:sz w:val="18"/>
                <w:szCs w:val="18"/>
              </w:rPr>
              <w:t>注：1.松方系数1.2；</w:t>
            </w:r>
          </w:p>
          <w:p w14:paraId="459E4BEF">
            <w:pPr>
              <w:spacing w:line="360" w:lineRule="auto"/>
              <w:ind w:firstLine="360" w:firstLineChars="200"/>
              <w:rPr>
                <w:sz w:val="18"/>
                <w:szCs w:val="18"/>
              </w:rPr>
            </w:pPr>
            <w:r>
              <w:rPr>
                <w:sz w:val="18"/>
                <w:szCs w:val="18"/>
              </w:rPr>
              <w:t>2.表土堆场布置在各个分区占地范围内，占地不再单独计列。</w:t>
            </w:r>
          </w:p>
          <w:bookmarkEnd w:id="90"/>
          <w:bookmarkEnd w:id="91"/>
          <w:bookmarkEnd w:id="92"/>
          <w:p w14:paraId="4773EA58">
            <w:pPr>
              <w:spacing w:line="360" w:lineRule="auto"/>
              <w:jc w:val="left"/>
              <w:rPr>
                <w:b/>
                <w:bCs/>
                <w:sz w:val="24"/>
                <w:szCs w:val="24"/>
              </w:rPr>
            </w:pPr>
            <w:r>
              <w:rPr>
                <w:rFonts w:hint="eastAsia"/>
                <w:b/>
                <w:bCs/>
                <w:sz w:val="24"/>
                <w:szCs w:val="24"/>
              </w:rPr>
              <w:t>2.3.8 项目占地</w:t>
            </w:r>
          </w:p>
          <w:p w14:paraId="24379D9B">
            <w:pPr>
              <w:pStyle w:val="112"/>
              <w:adjustRightInd/>
              <w:snapToGrid/>
              <w:spacing w:line="360" w:lineRule="auto"/>
              <w:ind w:firstLine="480" w:firstLineChars="200"/>
              <w:rPr>
                <w:rFonts w:ascii="Times New Roman"/>
                <w:b/>
                <w:bCs/>
                <w:spacing w:val="0"/>
                <w:szCs w:val="28"/>
              </w:rPr>
            </w:pPr>
            <w:r>
              <w:rPr>
                <w:rFonts w:ascii="Times New Roman"/>
                <w:spacing w:val="0"/>
                <w:sz w:val="24"/>
              </w:rPr>
              <w:t>根据主体设计资料统计，</w:t>
            </w:r>
            <w:r>
              <w:rPr>
                <w:rFonts w:hint="eastAsia" w:ascii="Times New Roman"/>
                <w:sz w:val="24"/>
              </w:rPr>
              <w:t>总占地面积</w:t>
            </w:r>
            <w:r>
              <w:rPr>
                <w:rFonts w:ascii="Times New Roman"/>
                <w:sz w:val="24"/>
              </w:rPr>
              <w:t>86.97hm</w:t>
            </w:r>
            <w:r>
              <w:rPr>
                <w:rFonts w:ascii="Times New Roman"/>
                <w:sz w:val="24"/>
                <w:vertAlign w:val="superscript"/>
              </w:rPr>
              <w:t>2</w:t>
            </w:r>
            <w:r>
              <w:rPr>
                <w:rFonts w:hint="eastAsia" w:ascii="Times New Roman"/>
                <w:sz w:val="24"/>
              </w:rPr>
              <w:t>，永久占地</w:t>
            </w:r>
            <w:r>
              <w:rPr>
                <w:rFonts w:ascii="Times New Roman"/>
                <w:sz w:val="24"/>
              </w:rPr>
              <w:t>0.92hm</w:t>
            </w:r>
            <w:r>
              <w:rPr>
                <w:rFonts w:ascii="Times New Roman"/>
                <w:sz w:val="24"/>
                <w:vertAlign w:val="superscript"/>
              </w:rPr>
              <w:t>2</w:t>
            </w:r>
            <w:r>
              <w:rPr>
                <w:rFonts w:hint="eastAsia" w:ascii="Times New Roman"/>
                <w:sz w:val="24"/>
              </w:rPr>
              <w:t>，长期租地</w:t>
            </w:r>
            <w:r>
              <w:rPr>
                <w:rFonts w:ascii="Times New Roman"/>
                <w:sz w:val="24"/>
              </w:rPr>
              <w:t>84.93hm</w:t>
            </w:r>
            <w:r>
              <w:rPr>
                <w:rFonts w:ascii="Times New Roman"/>
                <w:sz w:val="24"/>
                <w:vertAlign w:val="superscript"/>
              </w:rPr>
              <w:t>2</w:t>
            </w:r>
            <w:r>
              <w:rPr>
                <w:rFonts w:hint="eastAsia" w:ascii="Times New Roman"/>
                <w:sz w:val="24"/>
              </w:rPr>
              <w:t>，临时租地</w:t>
            </w:r>
            <w:r>
              <w:rPr>
                <w:rFonts w:ascii="Times New Roman"/>
                <w:sz w:val="24"/>
              </w:rPr>
              <w:t>1.13hm</w:t>
            </w:r>
            <w:r>
              <w:rPr>
                <w:rFonts w:ascii="Times New Roman"/>
                <w:sz w:val="24"/>
                <w:vertAlign w:val="superscript"/>
              </w:rPr>
              <w:t>2</w:t>
            </w:r>
            <w:r>
              <w:rPr>
                <w:rFonts w:ascii="Times New Roman"/>
                <w:spacing w:val="0"/>
                <w:sz w:val="24"/>
              </w:rPr>
              <w:t>。</w:t>
            </w:r>
          </w:p>
          <w:p w14:paraId="2F905B85">
            <w:pPr>
              <w:spacing w:line="360" w:lineRule="auto"/>
              <w:jc w:val="center"/>
              <w:rPr>
                <w:b/>
                <w:bCs/>
                <w:sz w:val="24"/>
                <w:szCs w:val="24"/>
              </w:rPr>
            </w:pPr>
            <w:r>
              <w:rPr>
                <w:b/>
                <w:bCs/>
                <w:sz w:val="24"/>
                <w:szCs w:val="24"/>
              </w:rPr>
              <w:t>表2</w:t>
            </w:r>
            <w:r>
              <w:rPr>
                <w:rFonts w:hint="eastAsia"/>
                <w:b/>
                <w:bCs/>
                <w:sz w:val="24"/>
                <w:szCs w:val="24"/>
              </w:rPr>
              <w:t>.3.8</w:t>
            </w:r>
            <w:r>
              <w:rPr>
                <w:b/>
                <w:bCs/>
                <w:sz w:val="24"/>
                <w:szCs w:val="24"/>
              </w:rPr>
              <w:t>-</w:t>
            </w:r>
            <w:r>
              <w:rPr>
                <w:rFonts w:hint="eastAsia"/>
                <w:b/>
                <w:bCs/>
                <w:sz w:val="24"/>
                <w:szCs w:val="24"/>
              </w:rPr>
              <w:t>1  本项目</w:t>
            </w:r>
            <w:r>
              <w:rPr>
                <w:b/>
                <w:bCs/>
                <w:sz w:val="24"/>
                <w:szCs w:val="24"/>
              </w:rPr>
              <w:t>占地面积统计表</w:t>
            </w:r>
          </w:p>
          <w:tbl>
            <w:tblPr>
              <w:tblStyle w:val="30"/>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2881"/>
              <w:gridCol w:w="1574"/>
              <w:gridCol w:w="2759"/>
            </w:tblGrid>
            <w:tr w14:paraId="486F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668" w:type="pct"/>
                  <w:vAlign w:val="center"/>
                </w:tcPr>
                <w:p w14:paraId="7B7A58D2">
                  <w:pPr>
                    <w:pStyle w:val="95"/>
                  </w:pPr>
                  <w:bookmarkStart w:id="93" w:name="_Toc83936952"/>
                  <w:bookmarkStart w:id="94" w:name="_Toc13224"/>
                  <w:bookmarkStart w:id="95" w:name="_Toc10063"/>
                  <w:bookmarkStart w:id="96" w:name="_Toc6198"/>
                  <w:r>
                    <w:t>土地性质</w:t>
                  </w:r>
                </w:p>
              </w:tc>
              <w:tc>
                <w:tcPr>
                  <w:tcW w:w="1730" w:type="pct"/>
                  <w:vAlign w:val="center"/>
                </w:tcPr>
                <w:p w14:paraId="17A57B9C">
                  <w:pPr>
                    <w:pStyle w:val="95"/>
                  </w:pPr>
                  <w:r>
                    <w:t>占地项目</w:t>
                  </w:r>
                </w:p>
              </w:tc>
              <w:tc>
                <w:tcPr>
                  <w:tcW w:w="945" w:type="pct"/>
                  <w:vAlign w:val="center"/>
                </w:tcPr>
                <w:p w14:paraId="7BAF8F7F">
                  <w:pPr>
                    <w:pStyle w:val="95"/>
                  </w:pPr>
                  <w:r>
                    <w:t>面积（m</w:t>
                  </w:r>
                  <w:r>
                    <w:rPr>
                      <w:vertAlign w:val="superscript"/>
                    </w:rPr>
                    <w:t>2</w:t>
                  </w:r>
                  <w:r>
                    <w:t>）</w:t>
                  </w:r>
                </w:p>
              </w:tc>
              <w:tc>
                <w:tcPr>
                  <w:tcW w:w="1657" w:type="pct"/>
                  <w:noWrap/>
                  <w:vAlign w:val="center"/>
                </w:tcPr>
                <w:p w14:paraId="1FEE677B">
                  <w:pPr>
                    <w:pStyle w:val="95"/>
                  </w:pPr>
                  <w:r>
                    <w:t>备注</w:t>
                  </w:r>
                </w:p>
              </w:tc>
            </w:tr>
            <w:tr w14:paraId="6248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8" w:type="pct"/>
                  <w:vMerge w:val="restart"/>
                  <w:vAlign w:val="center"/>
                </w:tcPr>
                <w:p w14:paraId="0555DB00">
                  <w:pPr>
                    <w:pStyle w:val="95"/>
                  </w:pPr>
                  <w:r>
                    <w:t>永久征地</w:t>
                  </w:r>
                </w:p>
              </w:tc>
              <w:tc>
                <w:tcPr>
                  <w:tcW w:w="1730" w:type="pct"/>
                  <w:vAlign w:val="center"/>
                </w:tcPr>
                <w:p w14:paraId="37D86D6B">
                  <w:pPr>
                    <w:pStyle w:val="95"/>
                  </w:pPr>
                  <w:r>
                    <w:t>升压站</w:t>
                  </w:r>
                </w:p>
              </w:tc>
              <w:tc>
                <w:tcPr>
                  <w:tcW w:w="945" w:type="pct"/>
                  <w:vAlign w:val="center"/>
                </w:tcPr>
                <w:p w14:paraId="2011C252">
                  <w:pPr>
                    <w:pStyle w:val="95"/>
                  </w:pPr>
                  <w:r>
                    <w:rPr>
                      <w:rFonts w:hint="eastAsia"/>
                    </w:rPr>
                    <w:t>3178</w:t>
                  </w:r>
                </w:p>
              </w:tc>
              <w:tc>
                <w:tcPr>
                  <w:tcW w:w="1657" w:type="pct"/>
                  <w:noWrap/>
                  <w:vAlign w:val="center"/>
                </w:tcPr>
                <w:p w14:paraId="0E45E3C5">
                  <w:pPr>
                    <w:pStyle w:val="95"/>
                  </w:pPr>
                </w:p>
              </w:tc>
            </w:tr>
            <w:tr w14:paraId="2E513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8" w:type="pct"/>
                  <w:vMerge w:val="continue"/>
                  <w:vAlign w:val="center"/>
                </w:tcPr>
                <w:p w14:paraId="5EF1FF6D">
                  <w:pPr>
                    <w:pStyle w:val="95"/>
                  </w:pPr>
                </w:p>
              </w:tc>
              <w:tc>
                <w:tcPr>
                  <w:tcW w:w="1730" w:type="pct"/>
                  <w:vAlign w:val="center"/>
                </w:tcPr>
                <w:p w14:paraId="57A115FE">
                  <w:pPr>
                    <w:pStyle w:val="95"/>
                  </w:pPr>
                  <w:r>
                    <w:t>箱变基础</w:t>
                  </w:r>
                </w:p>
              </w:tc>
              <w:tc>
                <w:tcPr>
                  <w:tcW w:w="945" w:type="pct"/>
                  <w:vAlign w:val="center"/>
                </w:tcPr>
                <w:p w14:paraId="55245B8F">
                  <w:pPr>
                    <w:pStyle w:val="95"/>
                  </w:pPr>
                  <w:r>
                    <w:rPr>
                      <w:rFonts w:hint="eastAsia"/>
                    </w:rPr>
                    <w:t>630</w:t>
                  </w:r>
                </w:p>
              </w:tc>
              <w:tc>
                <w:tcPr>
                  <w:tcW w:w="1657" w:type="pct"/>
                  <w:noWrap/>
                  <w:vAlign w:val="center"/>
                </w:tcPr>
                <w:p w14:paraId="1DAAFECA">
                  <w:pPr>
                    <w:pStyle w:val="95"/>
                  </w:pPr>
                  <w:r>
                    <w:rPr>
                      <w:rFonts w:hint="eastAsia"/>
                    </w:rPr>
                    <w:t>架空</w:t>
                  </w:r>
                </w:p>
              </w:tc>
            </w:tr>
            <w:tr w14:paraId="675B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8" w:type="pct"/>
                  <w:vMerge w:val="continue"/>
                  <w:vAlign w:val="center"/>
                </w:tcPr>
                <w:p w14:paraId="52C494D2">
                  <w:pPr>
                    <w:pStyle w:val="95"/>
                  </w:pPr>
                </w:p>
              </w:tc>
              <w:tc>
                <w:tcPr>
                  <w:tcW w:w="1730" w:type="pct"/>
                  <w:vAlign w:val="center"/>
                </w:tcPr>
                <w:p w14:paraId="6E0B464D">
                  <w:pPr>
                    <w:pStyle w:val="95"/>
                  </w:pPr>
                  <w:r>
                    <w:t>电缆分接箱</w:t>
                  </w:r>
                </w:p>
              </w:tc>
              <w:tc>
                <w:tcPr>
                  <w:tcW w:w="945" w:type="pct"/>
                  <w:vAlign w:val="center"/>
                </w:tcPr>
                <w:p w14:paraId="46DEBE79">
                  <w:pPr>
                    <w:pStyle w:val="95"/>
                  </w:pPr>
                  <w:r>
                    <w:rPr>
                      <w:rFonts w:hint="eastAsia"/>
                    </w:rPr>
                    <w:t>80</w:t>
                  </w:r>
                </w:p>
              </w:tc>
              <w:tc>
                <w:tcPr>
                  <w:tcW w:w="1657" w:type="pct"/>
                  <w:noWrap/>
                  <w:vAlign w:val="center"/>
                </w:tcPr>
                <w:p w14:paraId="4AE9E12E">
                  <w:pPr>
                    <w:pStyle w:val="95"/>
                  </w:pPr>
                  <w:r>
                    <w:rPr>
                      <w:rFonts w:hint="eastAsia"/>
                    </w:rPr>
                    <w:t>架空</w:t>
                  </w:r>
                </w:p>
              </w:tc>
            </w:tr>
            <w:tr w14:paraId="6643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8" w:type="pct"/>
                  <w:vMerge w:val="continue"/>
                  <w:vAlign w:val="center"/>
                </w:tcPr>
                <w:p w14:paraId="28162952">
                  <w:pPr>
                    <w:pStyle w:val="95"/>
                  </w:pPr>
                </w:p>
              </w:tc>
              <w:tc>
                <w:tcPr>
                  <w:tcW w:w="1730" w:type="pct"/>
                  <w:vAlign w:val="center"/>
                </w:tcPr>
                <w:p w14:paraId="3097AAA6">
                  <w:pPr>
                    <w:pStyle w:val="95"/>
                  </w:pPr>
                  <w:r>
                    <w:t>电缆井</w:t>
                  </w:r>
                </w:p>
              </w:tc>
              <w:tc>
                <w:tcPr>
                  <w:tcW w:w="945" w:type="pct"/>
                  <w:vAlign w:val="center"/>
                </w:tcPr>
                <w:p w14:paraId="30FFE066">
                  <w:pPr>
                    <w:pStyle w:val="95"/>
                  </w:pPr>
                  <w:r>
                    <w:rPr>
                      <w:rFonts w:hint="eastAsia"/>
                    </w:rPr>
                    <w:t>75</w:t>
                  </w:r>
                </w:p>
              </w:tc>
              <w:tc>
                <w:tcPr>
                  <w:tcW w:w="1657" w:type="pct"/>
                  <w:noWrap/>
                  <w:vAlign w:val="center"/>
                </w:tcPr>
                <w:p w14:paraId="2ADB34E5">
                  <w:pPr>
                    <w:pStyle w:val="95"/>
                  </w:pPr>
                </w:p>
              </w:tc>
            </w:tr>
            <w:tr w14:paraId="0EC5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8" w:type="pct"/>
                  <w:vMerge w:val="continue"/>
                  <w:vAlign w:val="center"/>
                </w:tcPr>
                <w:p w14:paraId="47E82CC4">
                  <w:pPr>
                    <w:pStyle w:val="95"/>
                  </w:pPr>
                </w:p>
              </w:tc>
              <w:tc>
                <w:tcPr>
                  <w:tcW w:w="1730" w:type="pct"/>
                  <w:vAlign w:val="center"/>
                </w:tcPr>
                <w:p w14:paraId="224C3E63">
                  <w:pPr>
                    <w:pStyle w:val="95"/>
                  </w:pPr>
                  <w:r>
                    <w:t>集电线路杆塔</w:t>
                  </w:r>
                </w:p>
              </w:tc>
              <w:tc>
                <w:tcPr>
                  <w:tcW w:w="945" w:type="pct"/>
                  <w:vAlign w:val="center"/>
                </w:tcPr>
                <w:p w14:paraId="6F23EF24">
                  <w:pPr>
                    <w:pStyle w:val="95"/>
                  </w:pPr>
                  <w:r>
                    <w:rPr>
                      <w:rFonts w:hint="eastAsia"/>
                    </w:rPr>
                    <w:t>3205.5</w:t>
                  </w:r>
                </w:p>
              </w:tc>
              <w:tc>
                <w:tcPr>
                  <w:tcW w:w="1657" w:type="pct"/>
                  <w:noWrap/>
                  <w:vAlign w:val="center"/>
                </w:tcPr>
                <w:p w14:paraId="2CD93EB0">
                  <w:pPr>
                    <w:pStyle w:val="95"/>
                  </w:pPr>
                </w:p>
              </w:tc>
            </w:tr>
            <w:tr w14:paraId="33C7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8" w:type="pct"/>
                  <w:vMerge w:val="continue"/>
                  <w:vAlign w:val="center"/>
                </w:tcPr>
                <w:p w14:paraId="542B17A5">
                  <w:pPr>
                    <w:pStyle w:val="95"/>
                  </w:pPr>
                </w:p>
              </w:tc>
              <w:tc>
                <w:tcPr>
                  <w:tcW w:w="1730" w:type="pct"/>
                  <w:vAlign w:val="center"/>
                </w:tcPr>
                <w:p w14:paraId="1BE0DFAA">
                  <w:pPr>
                    <w:pStyle w:val="95"/>
                  </w:pPr>
                  <w:r>
                    <w:t>进站道路</w:t>
                  </w:r>
                </w:p>
              </w:tc>
              <w:tc>
                <w:tcPr>
                  <w:tcW w:w="945" w:type="pct"/>
                  <w:vAlign w:val="center"/>
                </w:tcPr>
                <w:p w14:paraId="138CFFAF">
                  <w:pPr>
                    <w:pStyle w:val="95"/>
                  </w:pPr>
                  <w:r>
                    <w:rPr>
                      <w:rFonts w:hint="eastAsia"/>
                    </w:rPr>
                    <w:t>2000</w:t>
                  </w:r>
                </w:p>
              </w:tc>
              <w:tc>
                <w:tcPr>
                  <w:tcW w:w="1657" w:type="pct"/>
                  <w:noWrap/>
                  <w:vAlign w:val="center"/>
                </w:tcPr>
                <w:p w14:paraId="0BBB32A1">
                  <w:pPr>
                    <w:pStyle w:val="95"/>
                  </w:pPr>
                </w:p>
              </w:tc>
            </w:tr>
            <w:tr w14:paraId="1FA5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8" w:type="pct"/>
                  <w:vMerge w:val="continue"/>
                  <w:vAlign w:val="center"/>
                </w:tcPr>
                <w:p w14:paraId="3107A506">
                  <w:pPr>
                    <w:pStyle w:val="95"/>
                  </w:pPr>
                </w:p>
              </w:tc>
              <w:tc>
                <w:tcPr>
                  <w:tcW w:w="1730" w:type="pct"/>
                  <w:vAlign w:val="center"/>
                </w:tcPr>
                <w:p w14:paraId="480D5E0B">
                  <w:pPr>
                    <w:pStyle w:val="95"/>
                  </w:pPr>
                  <w:r>
                    <w:t>合计</w:t>
                  </w:r>
                </w:p>
              </w:tc>
              <w:tc>
                <w:tcPr>
                  <w:tcW w:w="945" w:type="pct"/>
                  <w:vAlign w:val="center"/>
                </w:tcPr>
                <w:p w14:paraId="065F72D9">
                  <w:pPr>
                    <w:pStyle w:val="95"/>
                  </w:pPr>
                  <w:r>
                    <w:rPr>
                      <w:rFonts w:hint="eastAsia"/>
                    </w:rPr>
                    <w:t>9168.5</w:t>
                  </w:r>
                </w:p>
              </w:tc>
              <w:tc>
                <w:tcPr>
                  <w:tcW w:w="1657" w:type="pct"/>
                  <w:noWrap/>
                  <w:vAlign w:val="center"/>
                </w:tcPr>
                <w:p w14:paraId="0517D443">
                  <w:pPr>
                    <w:pStyle w:val="95"/>
                  </w:pPr>
                </w:p>
              </w:tc>
            </w:tr>
            <w:tr w14:paraId="10AA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8" w:type="pct"/>
                  <w:vMerge w:val="restart"/>
                  <w:vAlign w:val="center"/>
                </w:tcPr>
                <w:p w14:paraId="428EE8DD">
                  <w:pPr>
                    <w:pStyle w:val="95"/>
                  </w:pPr>
                  <w:r>
                    <w:t>长期租地</w:t>
                  </w:r>
                </w:p>
              </w:tc>
              <w:tc>
                <w:tcPr>
                  <w:tcW w:w="1730" w:type="pct"/>
                  <w:vAlign w:val="center"/>
                </w:tcPr>
                <w:p w14:paraId="5356F69B">
                  <w:pPr>
                    <w:pStyle w:val="95"/>
                  </w:pPr>
                  <w:r>
                    <w:t>光伏阵列</w:t>
                  </w:r>
                  <w:r>
                    <w:rPr>
                      <w:rFonts w:hint="eastAsia"/>
                    </w:rPr>
                    <w:t>区</w:t>
                  </w:r>
                </w:p>
              </w:tc>
              <w:tc>
                <w:tcPr>
                  <w:tcW w:w="945" w:type="pct"/>
                  <w:vAlign w:val="center"/>
                </w:tcPr>
                <w:p w14:paraId="4318A1EB">
                  <w:pPr>
                    <w:pStyle w:val="95"/>
                  </w:pPr>
                  <w:r>
                    <w:rPr>
                      <w:rFonts w:hint="eastAsia"/>
                    </w:rPr>
                    <w:t>695431</w:t>
                  </w:r>
                </w:p>
              </w:tc>
              <w:tc>
                <w:tcPr>
                  <w:tcW w:w="1657" w:type="pct"/>
                  <w:noWrap/>
                  <w:vAlign w:val="center"/>
                </w:tcPr>
                <w:p w14:paraId="0A4251EA">
                  <w:pPr>
                    <w:pStyle w:val="95"/>
                  </w:pPr>
                </w:p>
              </w:tc>
            </w:tr>
            <w:tr w14:paraId="717B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8" w:type="pct"/>
                  <w:vMerge w:val="continue"/>
                  <w:vAlign w:val="center"/>
                </w:tcPr>
                <w:p w14:paraId="6CC03AB2">
                  <w:pPr>
                    <w:pStyle w:val="95"/>
                  </w:pPr>
                </w:p>
              </w:tc>
              <w:tc>
                <w:tcPr>
                  <w:tcW w:w="1730" w:type="pct"/>
                  <w:vAlign w:val="center"/>
                </w:tcPr>
                <w:p w14:paraId="0C5ED0EC">
                  <w:pPr>
                    <w:pStyle w:val="95"/>
                  </w:pPr>
                  <w:r>
                    <w:rPr>
                      <w:rFonts w:hint="eastAsia"/>
                    </w:rPr>
                    <w:t>围栏内</w:t>
                  </w:r>
                  <w:r>
                    <w:t>直埋电缆沟</w:t>
                  </w:r>
                </w:p>
              </w:tc>
              <w:tc>
                <w:tcPr>
                  <w:tcW w:w="945" w:type="pct"/>
                  <w:vAlign w:val="center"/>
                </w:tcPr>
                <w:p w14:paraId="3B3683C9">
                  <w:pPr>
                    <w:pStyle w:val="95"/>
                  </w:pPr>
                  <w:r>
                    <w:rPr>
                      <w:rFonts w:hint="eastAsia"/>
                    </w:rPr>
                    <w:t>16836</w:t>
                  </w:r>
                </w:p>
              </w:tc>
              <w:tc>
                <w:tcPr>
                  <w:tcW w:w="1657" w:type="pct"/>
                  <w:noWrap/>
                  <w:vAlign w:val="center"/>
                </w:tcPr>
                <w:p w14:paraId="27DDE98B">
                  <w:pPr>
                    <w:pStyle w:val="95"/>
                  </w:pPr>
                </w:p>
              </w:tc>
            </w:tr>
            <w:tr w14:paraId="31C4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8" w:type="pct"/>
                  <w:vMerge w:val="continue"/>
                  <w:vAlign w:val="center"/>
                </w:tcPr>
                <w:p w14:paraId="34B128FD">
                  <w:pPr>
                    <w:pStyle w:val="95"/>
                  </w:pPr>
                </w:p>
              </w:tc>
              <w:tc>
                <w:tcPr>
                  <w:tcW w:w="1730" w:type="pct"/>
                  <w:vAlign w:val="center"/>
                </w:tcPr>
                <w:p w14:paraId="068691C4">
                  <w:pPr>
                    <w:pStyle w:val="95"/>
                  </w:pPr>
                  <w:r>
                    <w:t>场内施工道路</w:t>
                  </w:r>
                </w:p>
              </w:tc>
              <w:tc>
                <w:tcPr>
                  <w:tcW w:w="945" w:type="pct"/>
                  <w:vAlign w:val="center"/>
                </w:tcPr>
                <w:p w14:paraId="7E9B635A">
                  <w:pPr>
                    <w:pStyle w:val="95"/>
                  </w:pPr>
                  <w:r>
                    <w:rPr>
                      <w:rFonts w:hint="eastAsia"/>
                    </w:rPr>
                    <w:t>137035</w:t>
                  </w:r>
                </w:p>
              </w:tc>
              <w:tc>
                <w:tcPr>
                  <w:tcW w:w="1657" w:type="pct"/>
                  <w:noWrap/>
                  <w:vAlign w:val="center"/>
                </w:tcPr>
                <w:p w14:paraId="1937F089">
                  <w:pPr>
                    <w:pStyle w:val="95"/>
                  </w:pPr>
                  <w:r>
                    <w:t>包含回车平台</w:t>
                  </w:r>
                </w:p>
              </w:tc>
            </w:tr>
            <w:tr w14:paraId="036D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8" w:type="pct"/>
                  <w:vMerge w:val="continue"/>
                  <w:vAlign w:val="center"/>
                </w:tcPr>
                <w:p w14:paraId="50DE1CC7">
                  <w:pPr>
                    <w:pStyle w:val="95"/>
                  </w:pPr>
                </w:p>
              </w:tc>
              <w:tc>
                <w:tcPr>
                  <w:tcW w:w="1730" w:type="pct"/>
                  <w:vAlign w:val="center"/>
                </w:tcPr>
                <w:p w14:paraId="2E3BAF7D">
                  <w:pPr>
                    <w:pStyle w:val="95"/>
                  </w:pPr>
                  <w:r>
                    <w:t>合计</w:t>
                  </w:r>
                </w:p>
              </w:tc>
              <w:tc>
                <w:tcPr>
                  <w:tcW w:w="945" w:type="pct"/>
                  <w:vAlign w:val="center"/>
                </w:tcPr>
                <w:p w14:paraId="0566F5D9">
                  <w:pPr>
                    <w:pStyle w:val="95"/>
                  </w:pPr>
                  <w:r>
                    <w:rPr>
                      <w:rFonts w:hint="eastAsia"/>
                    </w:rPr>
                    <w:t>849302</w:t>
                  </w:r>
                </w:p>
              </w:tc>
              <w:tc>
                <w:tcPr>
                  <w:tcW w:w="1657" w:type="pct"/>
                  <w:noWrap/>
                  <w:vAlign w:val="center"/>
                </w:tcPr>
                <w:p w14:paraId="476F4E3E">
                  <w:pPr>
                    <w:pStyle w:val="95"/>
                  </w:pPr>
                </w:p>
              </w:tc>
            </w:tr>
            <w:tr w14:paraId="3DB2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8" w:type="pct"/>
                  <w:vMerge w:val="restart"/>
                  <w:vAlign w:val="center"/>
                </w:tcPr>
                <w:p w14:paraId="38ADB356">
                  <w:pPr>
                    <w:pStyle w:val="95"/>
                  </w:pPr>
                  <w:r>
                    <w:t>临时租地</w:t>
                  </w:r>
                </w:p>
              </w:tc>
              <w:tc>
                <w:tcPr>
                  <w:tcW w:w="1730" w:type="pct"/>
                  <w:vAlign w:val="center"/>
                </w:tcPr>
                <w:p w14:paraId="1A25EA58">
                  <w:pPr>
                    <w:pStyle w:val="95"/>
                  </w:pPr>
                  <w:r>
                    <w:t>临时生活、生产设施及仓库</w:t>
                  </w:r>
                </w:p>
              </w:tc>
              <w:tc>
                <w:tcPr>
                  <w:tcW w:w="945" w:type="pct"/>
                  <w:vAlign w:val="center"/>
                </w:tcPr>
                <w:p w14:paraId="78C63CA1">
                  <w:pPr>
                    <w:pStyle w:val="95"/>
                  </w:pPr>
                  <w:r>
                    <w:rPr>
                      <w:rFonts w:hint="eastAsia"/>
                    </w:rPr>
                    <w:t>5400</w:t>
                  </w:r>
                </w:p>
              </w:tc>
              <w:tc>
                <w:tcPr>
                  <w:tcW w:w="1657" w:type="pct"/>
                  <w:noWrap/>
                  <w:vAlign w:val="center"/>
                </w:tcPr>
                <w:p w14:paraId="079CDBD5">
                  <w:pPr>
                    <w:pStyle w:val="95"/>
                  </w:pPr>
                  <w:r>
                    <w:t>利用光伏场区占地，不计</w:t>
                  </w:r>
                </w:p>
              </w:tc>
            </w:tr>
            <w:tr w14:paraId="70A4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8" w:type="pct"/>
                  <w:vMerge w:val="continue"/>
                  <w:vAlign w:val="center"/>
                </w:tcPr>
                <w:p w14:paraId="076B0689">
                  <w:pPr>
                    <w:pStyle w:val="95"/>
                  </w:pPr>
                </w:p>
              </w:tc>
              <w:tc>
                <w:tcPr>
                  <w:tcW w:w="1730" w:type="pct"/>
                  <w:vAlign w:val="center"/>
                </w:tcPr>
                <w:p w14:paraId="1FBDD4CE">
                  <w:pPr>
                    <w:pStyle w:val="95"/>
                  </w:pPr>
                  <w:r>
                    <w:rPr>
                      <w:rFonts w:hint="eastAsia"/>
                    </w:rPr>
                    <w:t>围栏外直埋电缆沟</w:t>
                  </w:r>
                </w:p>
              </w:tc>
              <w:tc>
                <w:tcPr>
                  <w:tcW w:w="945" w:type="pct"/>
                  <w:vAlign w:val="center"/>
                </w:tcPr>
                <w:p w14:paraId="7743081E">
                  <w:pPr>
                    <w:pStyle w:val="95"/>
                  </w:pPr>
                  <w:r>
                    <w:rPr>
                      <w:rFonts w:hint="eastAsia"/>
                    </w:rPr>
                    <w:t>5856</w:t>
                  </w:r>
                </w:p>
              </w:tc>
              <w:tc>
                <w:tcPr>
                  <w:tcW w:w="1657" w:type="pct"/>
                  <w:noWrap/>
                  <w:vAlign w:val="center"/>
                </w:tcPr>
                <w:p w14:paraId="64269594">
                  <w:pPr>
                    <w:pStyle w:val="95"/>
                  </w:pPr>
                </w:p>
              </w:tc>
            </w:tr>
            <w:tr w14:paraId="43EE4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3" w:hRule="atLeast"/>
                <w:jc w:val="center"/>
              </w:trPr>
              <w:tc>
                <w:tcPr>
                  <w:tcW w:w="668" w:type="pct"/>
                  <w:vMerge w:val="continue"/>
                  <w:vAlign w:val="center"/>
                </w:tcPr>
                <w:p w14:paraId="01AD78F7">
                  <w:pPr>
                    <w:pStyle w:val="95"/>
                  </w:pPr>
                </w:p>
              </w:tc>
              <w:tc>
                <w:tcPr>
                  <w:tcW w:w="1730" w:type="pct"/>
                  <w:vAlign w:val="center"/>
                </w:tcPr>
                <w:p w14:paraId="197F2CD5">
                  <w:pPr>
                    <w:pStyle w:val="95"/>
                  </w:pPr>
                  <w:r>
                    <w:t>合计</w:t>
                  </w:r>
                </w:p>
              </w:tc>
              <w:tc>
                <w:tcPr>
                  <w:tcW w:w="945" w:type="pct"/>
                  <w:vAlign w:val="center"/>
                </w:tcPr>
                <w:p w14:paraId="3E5E90B6">
                  <w:pPr>
                    <w:pStyle w:val="95"/>
                  </w:pPr>
                  <w:r>
                    <w:rPr>
                      <w:rFonts w:hint="eastAsia"/>
                    </w:rPr>
                    <w:t>11256</w:t>
                  </w:r>
                </w:p>
              </w:tc>
              <w:tc>
                <w:tcPr>
                  <w:tcW w:w="1657" w:type="pct"/>
                  <w:noWrap/>
                  <w:vAlign w:val="center"/>
                </w:tcPr>
                <w:p w14:paraId="4D8A6ABD">
                  <w:pPr>
                    <w:pStyle w:val="95"/>
                  </w:pPr>
                </w:p>
              </w:tc>
            </w:tr>
            <w:tr w14:paraId="1182C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8" w:type="pct"/>
                  <w:vAlign w:val="center"/>
                </w:tcPr>
                <w:p w14:paraId="36A104DB">
                  <w:pPr>
                    <w:pStyle w:val="95"/>
                  </w:pPr>
                  <w:r>
                    <w:t>总计</w:t>
                  </w:r>
                </w:p>
              </w:tc>
              <w:tc>
                <w:tcPr>
                  <w:tcW w:w="1730" w:type="pct"/>
                  <w:vAlign w:val="center"/>
                </w:tcPr>
                <w:p w14:paraId="2BDEDF52">
                  <w:pPr>
                    <w:pStyle w:val="95"/>
                  </w:pPr>
                </w:p>
              </w:tc>
              <w:tc>
                <w:tcPr>
                  <w:tcW w:w="945" w:type="pct"/>
                  <w:vAlign w:val="center"/>
                </w:tcPr>
                <w:p w14:paraId="09F8A8D9">
                  <w:pPr>
                    <w:pStyle w:val="95"/>
                  </w:pPr>
                  <w:r>
                    <w:rPr>
                      <w:rFonts w:hint="eastAsia"/>
                    </w:rPr>
                    <w:t>869726.5</w:t>
                  </w:r>
                </w:p>
              </w:tc>
              <w:tc>
                <w:tcPr>
                  <w:tcW w:w="1657" w:type="pct"/>
                  <w:noWrap/>
                  <w:vAlign w:val="center"/>
                </w:tcPr>
                <w:p w14:paraId="425DE54E">
                  <w:pPr>
                    <w:pStyle w:val="95"/>
                  </w:pPr>
                </w:p>
              </w:tc>
            </w:tr>
            <w:bookmarkEnd w:id="93"/>
            <w:bookmarkEnd w:id="94"/>
            <w:bookmarkEnd w:id="95"/>
            <w:bookmarkEnd w:id="96"/>
          </w:tbl>
          <w:p w14:paraId="292549E9">
            <w:pPr>
              <w:spacing w:line="360" w:lineRule="auto"/>
              <w:ind w:firstLine="420" w:firstLineChars="200"/>
              <w:rPr>
                <w:highlight w:val="yellow"/>
              </w:rPr>
            </w:pPr>
          </w:p>
        </w:tc>
      </w:tr>
      <w:tr w14:paraId="572BCA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354" w:type="pct"/>
            <w:noWrap/>
            <w:vAlign w:val="center"/>
          </w:tcPr>
          <w:p w14:paraId="46938900">
            <w:pPr>
              <w:adjustRightInd w:val="0"/>
              <w:snapToGrid w:val="0"/>
              <w:jc w:val="center"/>
              <w:rPr>
                <w:kern w:val="0"/>
                <w:sz w:val="24"/>
              </w:rPr>
            </w:pPr>
            <w:r>
              <w:rPr>
                <w:kern w:val="0"/>
                <w:sz w:val="24"/>
              </w:rPr>
              <w:t>施工方案</w:t>
            </w:r>
          </w:p>
        </w:tc>
        <w:tc>
          <w:tcPr>
            <w:tcW w:w="4646" w:type="pct"/>
            <w:noWrap/>
          </w:tcPr>
          <w:p w14:paraId="75139672">
            <w:pPr>
              <w:autoSpaceDE w:val="0"/>
              <w:autoSpaceDN w:val="0"/>
              <w:adjustRightInd w:val="0"/>
              <w:snapToGrid w:val="0"/>
              <w:spacing w:line="360" w:lineRule="auto"/>
              <w:rPr>
                <w:b/>
                <w:bCs/>
                <w:kern w:val="0"/>
                <w:sz w:val="24"/>
              </w:rPr>
            </w:pPr>
            <w:bookmarkStart w:id="97" w:name="_Hlk216989075"/>
            <w:r>
              <w:rPr>
                <w:b/>
                <w:bCs/>
                <w:kern w:val="0"/>
                <w:sz w:val="24"/>
              </w:rPr>
              <w:t>2.</w:t>
            </w:r>
            <w:r>
              <w:rPr>
                <w:rFonts w:hint="eastAsia"/>
                <w:b/>
                <w:bCs/>
                <w:kern w:val="0"/>
                <w:sz w:val="24"/>
              </w:rPr>
              <w:t xml:space="preserve">4 </w:t>
            </w:r>
            <w:r>
              <w:rPr>
                <w:b/>
                <w:bCs/>
                <w:kern w:val="0"/>
                <w:sz w:val="24"/>
              </w:rPr>
              <w:t>施工方案</w:t>
            </w:r>
          </w:p>
          <w:p w14:paraId="48093EE7">
            <w:pPr>
              <w:adjustRightInd w:val="0"/>
              <w:snapToGrid w:val="0"/>
              <w:spacing w:line="360" w:lineRule="auto"/>
              <w:rPr>
                <w:rFonts w:hint="eastAsia"/>
                <w:b/>
                <w:bCs/>
                <w:sz w:val="24"/>
                <w:szCs w:val="24"/>
              </w:rPr>
            </w:pPr>
            <w:r>
              <w:rPr>
                <w:rFonts w:hint="eastAsia"/>
                <w:b/>
                <w:bCs/>
                <w:sz w:val="24"/>
                <w:szCs w:val="24"/>
              </w:rPr>
              <w:t>2.4.1 施工工艺</w:t>
            </w:r>
          </w:p>
          <w:p w14:paraId="5BE74B08">
            <w:pPr>
              <w:adjustRightInd w:val="0"/>
              <w:snapToGrid w:val="0"/>
              <w:spacing w:line="360" w:lineRule="auto"/>
              <w:ind w:firstLine="482" w:firstLineChars="200"/>
              <w:rPr>
                <w:b/>
                <w:bCs/>
                <w:sz w:val="24"/>
                <w:szCs w:val="24"/>
              </w:rPr>
            </w:pPr>
            <w:r>
              <w:rPr>
                <w:b/>
                <w:bCs/>
                <w:sz w:val="24"/>
                <w:szCs w:val="24"/>
              </w:rPr>
              <w:t>（1）总体施工方案</w:t>
            </w:r>
          </w:p>
          <w:p w14:paraId="6E72B0E8">
            <w:pPr>
              <w:spacing w:line="360" w:lineRule="auto"/>
              <w:ind w:firstLine="480" w:firstLineChars="200"/>
              <w:rPr>
                <w:rFonts w:ascii="宋体" w:hAnsi="宋体" w:cs="宋体"/>
                <w:sz w:val="24"/>
                <w:szCs w:val="24"/>
              </w:rPr>
            </w:pPr>
            <w:r>
              <w:rPr>
                <w:rFonts w:hint="eastAsia" w:ascii="宋体" w:hAnsi="宋体" w:cs="宋体"/>
                <w:sz w:val="24"/>
                <w:szCs w:val="24"/>
              </w:rPr>
              <w:t>本项目</w:t>
            </w:r>
            <w:r>
              <w:rPr>
                <w:rFonts w:ascii="宋体" w:hAnsi="宋体" w:cs="宋体"/>
                <w:sz w:val="24"/>
                <w:szCs w:val="24"/>
              </w:rPr>
              <w:t>土建工程及光伏阵列支架安装施工范围包括：场地平整、场内道路施工、钢筋混凝土灌注桩施工、支架安装、电缆沟开挖和衬砌、房屋基础开挖、处理、砌筑和装修、升压站设备基础开挖和砌筑、暖通及给排水、环保水保措施和防洪排涝设施施工等。</w:t>
            </w:r>
            <w:r>
              <w:rPr>
                <w:rFonts w:hint="eastAsia" w:ascii="宋体" w:hAnsi="宋体" w:cs="宋体"/>
                <w:sz w:val="24"/>
                <w:szCs w:val="24"/>
              </w:rPr>
              <w:t>施工期施工人数约1</w:t>
            </w:r>
            <w:r>
              <w:rPr>
                <w:rFonts w:ascii="宋体" w:hAnsi="宋体" w:cs="宋体"/>
                <w:sz w:val="24"/>
                <w:szCs w:val="24"/>
              </w:rPr>
              <w:t>00</w:t>
            </w:r>
            <w:r>
              <w:rPr>
                <w:rFonts w:hint="eastAsia" w:ascii="宋体" w:hAnsi="宋体" w:cs="宋体"/>
                <w:sz w:val="24"/>
                <w:szCs w:val="24"/>
              </w:rPr>
              <w:t>人。</w:t>
            </w:r>
          </w:p>
          <w:p w14:paraId="3DF0FAFC">
            <w:pPr>
              <w:spacing w:line="360" w:lineRule="auto"/>
              <w:ind w:firstLine="480" w:firstLineChars="200"/>
              <w:rPr>
                <w:sz w:val="24"/>
              </w:rPr>
            </w:pPr>
            <w:r>
              <w:rPr>
                <w:rFonts w:ascii="宋体" w:hAnsi="宋体" w:cs="宋体"/>
                <w:sz w:val="24"/>
                <w:szCs w:val="24"/>
              </w:rPr>
              <w:t>主要设备安装施工范围包括：光伏组件安装、升压变配电设备安装及调试、集电线路安装及调试、升压站电气设备安装及调试等。</w:t>
            </w:r>
          </w:p>
          <w:p w14:paraId="5C45A369">
            <w:pPr>
              <w:spacing w:line="360" w:lineRule="auto"/>
              <w:ind w:firstLine="480" w:firstLineChars="200"/>
              <w:rPr>
                <w:sz w:val="24"/>
              </w:rPr>
            </w:pPr>
            <w:r>
              <w:rPr>
                <w:sz w:val="24"/>
              </w:rPr>
              <w:t>土建工程施工方案应考虑有利于先后作业之间、土建与设备安装之间的协调均衡。在施工顺序上，前期以土建为主，安装配合预留、预埋，施工中后期应以安装为主，土建配合为安装创造条件。</w:t>
            </w:r>
          </w:p>
          <w:p w14:paraId="4081E38A">
            <w:pPr>
              <w:spacing w:line="360" w:lineRule="auto"/>
              <w:ind w:firstLine="480" w:firstLineChars="200"/>
              <w:rPr>
                <w:sz w:val="24"/>
              </w:rPr>
            </w:pPr>
            <w:r>
              <w:rPr>
                <w:sz w:val="24"/>
              </w:rPr>
              <w:t>1）建立整个施工现场的高程控制网及平面控制网，并定期复测。</w:t>
            </w:r>
          </w:p>
          <w:p w14:paraId="67A49EEF">
            <w:pPr>
              <w:spacing w:line="360" w:lineRule="auto"/>
              <w:ind w:firstLine="480" w:firstLineChars="200"/>
              <w:rPr>
                <w:sz w:val="24"/>
              </w:rPr>
            </w:pPr>
            <w:r>
              <w:rPr>
                <w:sz w:val="24"/>
              </w:rPr>
              <w:t>2）土建施工按照先地下、后地上的顺序，依次施工综合楼基础、光伏发电组件基础、逆变升压单元基础及其他设施。</w:t>
            </w:r>
          </w:p>
          <w:p w14:paraId="692CE1D8">
            <w:pPr>
              <w:spacing w:line="360" w:lineRule="auto"/>
              <w:ind w:firstLine="480" w:firstLineChars="200"/>
              <w:rPr>
                <w:sz w:val="24"/>
              </w:rPr>
            </w:pPr>
            <w:r>
              <w:rPr>
                <w:sz w:val="24"/>
              </w:rPr>
              <w:t>3）接地网、地下管道主线与相应的地下工程设施（给排水、消防管道、电缆沟道）同步施工，电缆管预埋与基础施工应紧密配合，防止遗漏。</w:t>
            </w:r>
          </w:p>
          <w:p w14:paraId="4650C222">
            <w:pPr>
              <w:spacing w:line="360" w:lineRule="auto"/>
              <w:ind w:firstLine="480" w:firstLineChars="200"/>
              <w:rPr>
                <w:sz w:val="24"/>
              </w:rPr>
            </w:pPr>
            <w:r>
              <w:rPr>
                <w:sz w:val="24"/>
              </w:rPr>
              <w:t>主体工程施工按以下施工顺序进行：</w:t>
            </w:r>
          </w:p>
          <w:p w14:paraId="76B8AC61">
            <w:pPr>
              <w:spacing w:line="360" w:lineRule="auto"/>
              <w:ind w:firstLine="480" w:firstLineChars="200"/>
              <w:rPr>
                <w:sz w:val="24"/>
              </w:rPr>
            </w:pPr>
            <w:r>
              <w:rPr>
                <w:sz w:val="24"/>
              </w:rPr>
              <w:t>道路施工→升压站施工、钻孔灌注桩安装→光伏阵列支架安装→光伏阵列设备安装及调试、电缆敷设。</w:t>
            </w:r>
          </w:p>
          <w:p w14:paraId="2380D568">
            <w:pPr>
              <w:spacing w:line="360" w:lineRule="auto"/>
              <w:ind w:firstLine="482" w:firstLineChars="200"/>
              <w:rPr>
                <w:b/>
                <w:bCs/>
                <w:sz w:val="24"/>
                <w:szCs w:val="24"/>
              </w:rPr>
            </w:pPr>
            <w:r>
              <w:rPr>
                <w:rFonts w:hint="eastAsia"/>
                <w:b/>
                <w:bCs/>
                <w:sz w:val="24"/>
                <w:szCs w:val="24"/>
              </w:rPr>
              <w:t>（2）</w:t>
            </w:r>
            <w:r>
              <w:rPr>
                <w:b/>
                <w:bCs/>
                <w:sz w:val="24"/>
                <w:szCs w:val="24"/>
              </w:rPr>
              <w:t>场内道路施工</w:t>
            </w:r>
          </w:p>
          <w:p w14:paraId="603EE329">
            <w:pPr>
              <w:spacing w:line="360" w:lineRule="auto"/>
              <w:ind w:firstLine="480" w:firstLineChars="200"/>
              <w:rPr>
                <w:sz w:val="24"/>
                <w:szCs w:val="24"/>
              </w:rPr>
            </w:pPr>
            <w:r>
              <w:rPr>
                <w:sz w:val="24"/>
                <w:szCs w:val="24"/>
              </w:rPr>
              <w:t>场内道路的施工以土石方开挖为主，填筑其次，具体方案如下：</w:t>
            </w:r>
          </w:p>
          <w:p w14:paraId="4206BB3C">
            <w:pPr>
              <w:spacing w:line="360" w:lineRule="auto"/>
              <w:ind w:firstLine="480" w:firstLineChars="200"/>
              <w:rPr>
                <w:sz w:val="24"/>
                <w:szCs w:val="24"/>
              </w:rPr>
            </w:pPr>
            <w:r>
              <w:rPr>
                <w:sz w:val="24"/>
                <w:szCs w:val="24"/>
              </w:rPr>
              <w:t>1）路基土石方工程</w:t>
            </w:r>
          </w:p>
          <w:p w14:paraId="68233E01">
            <w:pPr>
              <w:spacing w:line="360" w:lineRule="auto"/>
              <w:ind w:firstLine="480" w:firstLineChars="200"/>
              <w:rPr>
                <w:sz w:val="24"/>
                <w:szCs w:val="24"/>
              </w:rPr>
            </w:pPr>
            <w:r>
              <w:rPr>
                <w:rFonts w:hint="eastAsia"/>
                <w:sz w:val="24"/>
                <w:szCs w:val="24"/>
              </w:rPr>
              <w:t>先</w:t>
            </w:r>
            <w:r>
              <w:rPr>
                <w:sz w:val="24"/>
                <w:szCs w:val="24"/>
              </w:rPr>
              <w:t>由人工配合机械设备砍树木、挖树根，清除表土，原地面横坡陡于1:5的填方地段，由机械挖台阶，并将原地面翻挖压密实，对于存在不良土质的原地面层，一律作为弃渣处理；然后，及时施工下挡墙、护脚墙，为路基填土做准备。挖方地段要按设计要求，提前施工做好坡顶截水沟，以防止雨水损坏边坡。</w:t>
            </w:r>
          </w:p>
          <w:p w14:paraId="0A1758B1">
            <w:pPr>
              <w:spacing w:line="360" w:lineRule="auto"/>
              <w:ind w:firstLine="480" w:firstLineChars="200"/>
              <w:rPr>
                <w:sz w:val="24"/>
                <w:szCs w:val="24"/>
              </w:rPr>
            </w:pPr>
            <w:r>
              <w:rPr>
                <w:sz w:val="24"/>
                <w:szCs w:val="24"/>
              </w:rPr>
              <w:t>①土石方施工原则</w:t>
            </w:r>
          </w:p>
          <w:p w14:paraId="2FD00669">
            <w:pPr>
              <w:spacing w:line="360" w:lineRule="auto"/>
              <w:ind w:firstLine="480" w:firstLineChars="200"/>
              <w:rPr>
                <w:sz w:val="24"/>
                <w:szCs w:val="24"/>
              </w:rPr>
            </w:pPr>
            <w:r>
              <w:rPr>
                <w:sz w:val="24"/>
                <w:szCs w:val="24"/>
              </w:rPr>
              <w:t>施工前先复核原地面线，测定坡口线。对地质条件差、容易产生坍方的高边坡应顺路线方向间隔跳槽开挖，间隔距离不大于开挖长度的70%，以利于边坡的稳定，尤其是高度大于25m的边坡，必须间隔跳槽开挖，土石方开挖严禁放大炮开挖。边坡开挖高度每下降3m</w:t>
            </w:r>
            <w:r>
              <w:rPr>
                <w:rFonts w:hint="eastAsia"/>
                <w:sz w:val="24"/>
                <w:szCs w:val="24"/>
              </w:rPr>
              <w:t>~</w:t>
            </w:r>
            <w:r>
              <w:rPr>
                <w:sz w:val="24"/>
                <w:szCs w:val="24"/>
              </w:rPr>
              <w:t>4m后，测量一次坡脚位置及坡比，并用机械配合人工及时修整边坡坡面。每一台开挖到位后立即施作边坡防护工程。</w:t>
            </w:r>
          </w:p>
          <w:p w14:paraId="490A4484">
            <w:pPr>
              <w:spacing w:line="360" w:lineRule="auto"/>
              <w:ind w:firstLine="480" w:firstLineChars="200"/>
              <w:rPr>
                <w:sz w:val="24"/>
                <w:szCs w:val="24"/>
              </w:rPr>
            </w:pPr>
            <w:r>
              <w:rPr>
                <w:sz w:val="24"/>
                <w:szCs w:val="24"/>
              </w:rPr>
              <w:t>②土石方开挖方法</w:t>
            </w:r>
          </w:p>
          <w:p w14:paraId="77F8831C">
            <w:pPr>
              <w:spacing w:line="360" w:lineRule="auto"/>
              <w:ind w:firstLine="480" w:firstLineChars="200"/>
              <w:rPr>
                <w:sz w:val="24"/>
                <w:szCs w:val="24"/>
              </w:rPr>
            </w:pPr>
            <w:r>
              <w:rPr>
                <w:rFonts w:hint="eastAsia"/>
                <w:sz w:val="24"/>
                <w:szCs w:val="24"/>
              </w:rPr>
              <w:t>a.</w:t>
            </w:r>
            <w:r>
              <w:rPr>
                <w:sz w:val="24"/>
                <w:szCs w:val="24"/>
              </w:rPr>
              <w:t>土方开挖：采用挖掘机或推土机配合挖掘机开挖，人工配合挖掘机修整边坡。当土方开挖接近路基标高时，鉴别校对土质，然后按基床设计断面测量放样，开挖修整或按设计采取压实、换填等措施。</w:t>
            </w:r>
          </w:p>
          <w:p w14:paraId="47FC4C33">
            <w:pPr>
              <w:spacing w:line="360" w:lineRule="auto"/>
              <w:ind w:firstLine="480" w:firstLineChars="200"/>
              <w:rPr>
                <w:sz w:val="24"/>
                <w:szCs w:val="24"/>
              </w:rPr>
            </w:pPr>
            <w:r>
              <w:rPr>
                <w:sz w:val="24"/>
                <w:szCs w:val="24"/>
              </w:rPr>
              <w:t>土方采用挖掘机开挖，大型推土机配合推运土，分段自上而下地进行。对于高边坡地段，开挖要与防护紧密地结合起来，开挖一台，防护一台，地质特别破碎地段，必须采用跳槽开挖、分块防护的方法施工，以确保边坡稳定。</w:t>
            </w:r>
          </w:p>
          <w:p w14:paraId="60AEEE25">
            <w:pPr>
              <w:spacing w:line="360" w:lineRule="auto"/>
              <w:ind w:firstLine="480" w:firstLineChars="200"/>
              <w:rPr>
                <w:sz w:val="24"/>
                <w:szCs w:val="24"/>
              </w:rPr>
            </w:pPr>
            <w:r>
              <w:rPr>
                <w:rFonts w:hint="eastAsia"/>
                <w:sz w:val="24"/>
                <w:szCs w:val="24"/>
              </w:rPr>
              <w:t>b.</w:t>
            </w:r>
            <w:r>
              <w:rPr>
                <w:sz w:val="24"/>
                <w:szCs w:val="24"/>
              </w:rPr>
              <w:t>石方开挖：</w:t>
            </w:r>
            <w:r>
              <w:rPr>
                <w:rFonts w:hint="eastAsia"/>
                <w:sz w:val="24"/>
                <w:szCs w:val="24"/>
              </w:rPr>
              <w:t>本项目</w:t>
            </w:r>
            <w:r>
              <w:rPr>
                <w:sz w:val="24"/>
                <w:szCs w:val="24"/>
              </w:rPr>
              <w:t>石方单块强度高，但节理、裂隙十分发育。软石采用大马力推土机松动，其施工方法及工艺与土方基本相同。对于机械无法松动的坚石，采用小型控制爆破的方法开挖。爆破开挖方法可采用两种，第一种是在开挖坡面处首先实行4m</w:t>
            </w:r>
            <w:r>
              <w:rPr>
                <w:rFonts w:hint="eastAsia"/>
                <w:sz w:val="24"/>
                <w:szCs w:val="24"/>
              </w:rPr>
              <w:t>~</w:t>
            </w:r>
            <w:r>
              <w:rPr>
                <w:sz w:val="24"/>
                <w:szCs w:val="24"/>
              </w:rPr>
              <w:t>5m孔深的预裂光面控制爆破，使需开挖的石方与山体分离，再实行普通方法爆破进行开挖；第二种开挖为分层剥离开挖法，采用宽孔距，小抵抗线炮孔布置，起爆采用非电起爆。</w:t>
            </w:r>
          </w:p>
          <w:p w14:paraId="6D37E141">
            <w:pPr>
              <w:spacing w:line="360" w:lineRule="auto"/>
              <w:ind w:firstLine="480" w:firstLineChars="200"/>
              <w:rPr>
                <w:sz w:val="24"/>
                <w:szCs w:val="24"/>
              </w:rPr>
            </w:pPr>
            <w:r>
              <w:rPr>
                <w:sz w:val="24"/>
                <w:szCs w:val="24"/>
              </w:rPr>
              <w:t>对于次坚石、坚石，采用浅孔微差爆破、大型推土机推运土石、人工配合整修边坡的方法施工，严禁大中型爆破。</w:t>
            </w:r>
          </w:p>
          <w:p w14:paraId="52BCDB49">
            <w:pPr>
              <w:spacing w:line="360" w:lineRule="auto"/>
              <w:ind w:firstLine="480" w:firstLineChars="200"/>
              <w:rPr>
                <w:sz w:val="24"/>
              </w:rPr>
            </w:pPr>
            <w:r>
              <w:rPr>
                <w:sz w:val="24"/>
              </w:rPr>
              <w:t>2）路基填筑</w:t>
            </w:r>
          </w:p>
          <w:p w14:paraId="05A92CFD">
            <w:pPr>
              <w:spacing w:line="360" w:lineRule="auto"/>
              <w:ind w:firstLine="480" w:firstLineChars="200"/>
              <w:rPr>
                <w:sz w:val="24"/>
              </w:rPr>
            </w:pPr>
            <w:r>
              <w:rPr>
                <w:sz w:val="24"/>
              </w:rPr>
              <w:t>采用挖掘机或装载机装土，自卸汽车运土，推土机摊铺，人工配合平地机整平，振动压路机碾压密实。</w:t>
            </w:r>
          </w:p>
          <w:p w14:paraId="0449C868">
            <w:pPr>
              <w:spacing w:line="360" w:lineRule="auto"/>
              <w:ind w:firstLine="480" w:firstLineChars="200"/>
              <w:rPr>
                <w:sz w:val="24"/>
              </w:rPr>
            </w:pPr>
            <w:r>
              <w:rPr>
                <w:sz w:val="24"/>
              </w:rPr>
              <w:t>在路堤填筑前，填方材料每5000m</w:t>
            </w:r>
            <w:r>
              <w:rPr>
                <w:sz w:val="24"/>
                <w:vertAlign w:val="superscript"/>
              </w:rPr>
              <w:t>3</w:t>
            </w:r>
            <w:r>
              <w:rPr>
                <w:sz w:val="24"/>
              </w:rPr>
              <w:t>以及在土质变化时取样，按JTG E40-2007标准方法进行一次颗粒分析、液限和塑限、有机质含量和击实试验；用重型击实仪确定土的最大干密度和最佳含水量。</w:t>
            </w:r>
          </w:p>
          <w:p w14:paraId="25251969">
            <w:pPr>
              <w:spacing w:line="360" w:lineRule="auto"/>
              <w:ind w:firstLine="482" w:firstLineChars="200"/>
              <w:rPr>
                <w:b/>
                <w:bCs/>
                <w:sz w:val="24"/>
                <w:szCs w:val="24"/>
              </w:rPr>
            </w:pPr>
            <w:r>
              <w:rPr>
                <w:b/>
                <w:bCs/>
                <w:sz w:val="24"/>
                <w:szCs w:val="24"/>
              </w:rPr>
              <w:t>（3）光伏阵列基础施工</w:t>
            </w:r>
          </w:p>
          <w:p w14:paraId="6E59F908">
            <w:pPr>
              <w:spacing w:line="360" w:lineRule="auto"/>
              <w:ind w:firstLine="480" w:firstLineChars="200"/>
              <w:rPr>
                <w:sz w:val="24"/>
              </w:rPr>
            </w:pPr>
            <w:r>
              <w:rPr>
                <w:sz w:val="24"/>
              </w:rPr>
              <w:t>光伏阵列基础采用钻孔灌注桩形式，混凝土灌注桩基础施工包括钻孔、钢筋笼制作与安装、混凝土浇筑。</w:t>
            </w:r>
          </w:p>
          <w:p w14:paraId="08AB91A0">
            <w:pPr>
              <w:spacing w:line="360" w:lineRule="auto"/>
              <w:ind w:firstLine="480" w:firstLineChars="200"/>
              <w:rPr>
                <w:sz w:val="24"/>
              </w:rPr>
            </w:pPr>
            <w:r>
              <w:rPr>
                <w:sz w:val="24"/>
              </w:rPr>
              <w:t>1）钻孔</w:t>
            </w:r>
          </w:p>
          <w:p w14:paraId="773F08D3">
            <w:pPr>
              <w:spacing w:line="360" w:lineRule="auto"/>
              <w:ind w:firstLine="480" w:firstLineChars="200"/>
              <w:rPr>
                <w:sz w:val="24"/>
              </w:rPr>
            </w:pPr>
            <w:r>
              <w:rPr>
                <w:sz w:val="24"/>
              </w:rPr>
              <w:t>①根据施工现场坐标控制点首先建立该区测量控制网，对桩位准确定位放线。</w:t>
            </w:r>
          </w:p>
          <w:p w14:paraId="12369265">
            <w:pPr>
              <w:spacing w:line="360" w:lineRule="auto"/>
              <w:ind w:firstLine="480" w:firstLineChars="200"/>
              <w:rPr>
                <w:sz w:val="24"/>
              </w:rPr>
            </w:pPr>
            <w:r>
              <w:rPr>
                <w:sz w:val="24"/>
              </w:rPr>
              <w:t>②采用钻孔机械进行钻孔，钻孔应保证桩孔竖直。</w:t>
            </w:r>
          </w:p>
          <w:p w14:paraId="5445D9DE">
            <w:pPr>
              <w:spacing w:line="360" w:lineRule="auto"/>
              <w:ind w:firstLine="480" w:firstLineChars="200"/>
              <w:rPr>
                <w:sz w:val="24"/>
              </w:rPr>
            </w:pPr>
            <w:r>
              <w:rPr>
                <w:sz w:val="24"/>
              </w:rPr>
              <w:t>③钻孔完成后，进行钻孔验收，验收合格后方可进行下道工序施工。</w:t>
            </w:r>
          </w:p>
          <w:p w14:paraId="6F379D89">
            <w:pPr>
              <w:spacing w:line="360" w:lineRule="auto"/>
              <w:ind w:firstLine="480" w:firstLineChars="200"/>
              <w:rPr>
                <w:sz w:val="24"/>
              </w:rPr>
            </w:pPr>
            <w:r>
              <w:rPr>
                <w:sz w:val="24"/>
              </w:rPr>
              <w:t>2）钢筋笼制作与安装</w:t>
            </w:r>
          </w:p>
          <w:p w14:paraId="0439B92A">
            <w:pPr>
              <w:spacing w:line="360" w:lineRule="auto"/>
              <w:ind w:firstLine="480" w:firstLineChars="200"/>
              <w:rPr>
                <w:sz w:val="24"/>
              </w:rPr>
            </w:pPr>
            <w:r>
              <w:rPr>
                <w:sz w:val="24"/>
              </w:rPr>
              <w:t>钢筋笼所用钢筋HRB400钢筋，通过计算拟定桩长和桩基础埋深，通过实验验证后确定；安装时应严格把控钢筋笼放入，使钢筋笼位于钻孔中心位置。</w:t>
            </w:r>
          </w:p>
          <w:p w14:paraId="335D29FE">
            <w:pPr>
              <w:spacing w:line="360" w:lineRule="auto"/>
              <w:ind w:firstLine="480" w:firstLineChars="200"/>
              <w:rPr>
                <w:sz w:val="24"/>
              </w:rPr>
            </w:pPr>
            <w:r>
              <w:rPr>
                <w:sz w:val="24"/>
              </w:rPr>
              <w:t>3）混凝土浇筑</w:t>
            </w:r>
          </w:p>
          <w:p w14:paraId="1852D06B">
            <w:pPr>
              <w:spacing w:line="360" w:lineRule="auto"/>
              <w:ind w:firstLine="480" w:firstLineChars="200"/>
              <w:rPr>
                <w:sz w:val="24"/>
              </w:rPr>
            </w:pPr>
            <w:r>
              <w:rPr>
                <w:sz w:val="24"/>
              </w:rPr>
              <w:t>应严格把控混凝土浇筑质量，浇筑时速度不宜过快，防止集料离析、分离。</w:t>
            </w:r>
          </w:p>
          <w:p w14:paraId="569886A7">
            <w:pPr>
              <w:spacing w:line="360" w:lineRule="auto"/>
              <w:ind w:firstLine="482" w:firstLineChars="200"/>
              <w:rPr>
                <w:b/>
                <w:bCs/>
                <w:sz w:val="24"/>
                <w:szCs w:val="24"/>
              </w:rPr>
            </w:pPr>
            <w:r>
              <w:rPr>
                <w:b/>
                <w:bCs/>
                <w:sz w:val="24"/>
                <w:szCs w:val="24"/>
              </w:rPr>
              <w:t>（4）光伏阵列组件和支架安装</w:t>
            </w:r>
          </w:p>
          <w:p w14:paraId="40B0D2A4">
            <w:pPr>
              <w:adjustRightInd w:val="0"/>
              <w:snapToGrid w:val="0"/>
              <w:spacing w:line="360" w:lineRule="auto"/>
              <w:ind w:firstLine="480" w:firstLineChars="200"/>
              <w:rPr>
                <w:sz w:val="24"/>
              </w:rPr>
            </w:pPr>
            <w:r>
              <w:rPr>
                <w:sz w:val="24"/>
              </w:rPr>
              <w:t>支架和光伏组件进场前应做好质量验收，存放时应做好防潮、防腐蚀等防护工作。光伏组件的安装分为两部分：支架安装、光伏组件安装。</w:t>
            </w:r>
          </w:p>
          <w:p w14:paraId="661A6653">
            <w:pPr>
              <w:adjustRightInd w:val="0"/>
              <w:snapToGrid w:val="0"/>
              <w:spacing w:line="360" w:lineRule="auto"/>
              <w:ind w:firstLine="480" w:firstLineChars="200"/>
              <w:rPr>
                <w:sz w:val="24"/>
              </w:rPr>
            </w:pPr>
            <w:r>
              <w:rPr>
                <w:sz w:val="24"/>
              </w:rPr>
              <w:t>支架的安装：支架安装前应对基础的水平偏差和定位轴线偏差进行查验，不合格的项目应进行整改后再进行安装。支架的安装要满足紧固度和偏差度要求。支架的焊接部位应做防腐处理。</w:t>
            </w:r>
          </w:p>
          <w:p w14:paraId="1868B814">
            <w:pPr>
              <w:adjustRightInd w:val="0"/>
              <w:snapToGrid w:val="0"/>
              <w:spacing w:line="360" w:lineRule="auto"/>
              <w:ind w:firstLine="480" w:firstLineChars="200"/>
              <w:rPr>
                <w:sz w:val="24"/>
              </w:rPr>
            </w:pPr>
            <w:r>
              <w:rPr>
                <w:sz w:val="24"/>
              </w:rPr>
              <w:t>光伏组件的安装：挑选工作参数接近的组件在同一子方阵内，额定工作电流相等或相接近的组件进行串联，其安装角度、组件边缘高差和组件平整度应严格遵守设计文件或生产厂家的要求。严禁在雷、雨天进行组件的连线工作。</w:t>
            </w:r>
          </w:p>
          <w:p w14:paraId="71BAB6C6">
            <w:pPr>
              <w:spacing w:line="360" w:lineRule="auto"/>
              <w:ind w:firstLine="482" w:firstLineChars="200"/>
              <w:rPr>
                <w:b/>
                <w:bCs/>
                <w:sz w:val="24"/>
                <w:szCs w:val="24"/>
              </w:rPr>
            </w:pPr>
            <w:r>
              <w:rPr>
                <w:rFonts w:hint="eastAsia"/>
                <w:b/>
                <w:bCs/>
                <w:sz w:val="24"/>
                <w:szCs w:val="24"/>
              </w:rPr>
              <w:t>（5）</w:t>
            </w:r>
            <w:r>
              <w:rPr>
                <w:b/>
                <w:bCs/>
                <w:sz w:val="24"/>
                <w:szCs w:val="24"/>
              </w:rPr>
              <w:t>逆变器、箱式变压器及相关配电装置</w:t>
            </w:r>
          </w:p>
          <w:p w14:paraId="6E53A485">
            <w:pPr>
              <w:adjustRightInd w:val="0"/>
              <w:snapToGrid w:val="0"/>
              <w:spacing w:line="360" w:lineRule="auto"/>
              <w:ind w:firstLine="480" w:firstLineChars="200"/>
              <w:rPr>
                <w:sz w:val="24"/>
              </w:rPr>
            </w:pPr>
            <w:r>
              <w:rPr>
                <w:rFonts w:hint="eastAsia"/>
                <w:sz w:val="24"/>
              </w:rPr>
              <w:t>本项目</w:t>
            </w:r>
            <w:r>
              <w:rPr>
                <w:sz w:val="24"/>
              </w:rPr>
              <w:t>采用组串式逆变器。箱式变压器、组串式逆变器及其配套电气设备通过汽车运抵安装位置附近，采用吊车、液压升降小车等设备进行安装就位。箱式变压器安装于光伏阵列旁，其安装要求和方法参照相关安装规范以及生产厂家提供的相关安装技术要求和方法。</w:t>
            </w:r>
          </w:p>
          <w:p w14:paraId="02E93336">
            <w:pPr>
              <w:spacing w:line="360" w:lineRule="auto"/>
              <w:ind w:firstLine="482" w:firstLineChars="200"/>
              <w:rPr>
                <w:rFonts w:hint="eastAsia"/>
                <w:b/>
                <w:bCs/>
                <w:sz w:val="24"/>
                <w:szCs w:val="24"/>
              </w:rPr>
            </w:pPr>
            <w:r>
              <w:rPr>
                <w:rFonts w:hint="eastAsia"/>
                <w:b/>
                <w:bCs/>
                <w:sz w:val="24"/>
                <w:szCs w:val="24"/>
              </w:rPr>
              <w:t>（6）35kV集电线路施工</w:t>
            </w:r>
          </w:p>
          <w:p w14:paraId="2720D490">
            <w:pPr>
              <w:spacing w:line="360" w:lineRule="auto"/>
              <w:ind w:firstLine="480" w:firstLineChars="200"/>
              <w:rPr>
                <w:rFonts w:ascii="宋体" w:hAnsi="宋体" w:cs="宋体"/>
                <w:sz w:val="24"/>
                <w:szCs w:val="24"/>
              </w:rPr>
            </w:pPr>
            <w:r>
              <w:rPr>
                <w:rFonts w:hint="eastAsia" w:ascii="宋体" w:hAnsi="宋体" w:cs="宋体"/>
                <w:sz w:val="24"/>
                <w:szCs w:val="24"/>
              </w:rPr>
              <w:t>本项目</w:t>
            </w:r>
            <w:r>
              <w:rPr>
                <w:rFonts w:eastAsia="Times New Roman"/>
                <w:sz w:val="24"/>
                <w:szCs w:val="24"/>
              </w:rPr>
              <w:t>35</w:t>
            </w:r>
            <w:r>
              <w:rPr>
                <w:rFonts w:hint="eastAsia"/>
                <w:sz w:val="24"/>
                <w:szCs w:val="24"/>
              </w:rPr>
              <w:t>kV</w:t>
            </w:r>
            <w:r>
              <w:rPr>
                <w:rFonts w:ascii="宋体" w:hAnsi="宋体" w:cs="宋体"/>
                <w:sz w:val="24"/>
                <w:szCs w:val="24"/>
              </w:rPr>
              <w:t>集电线路采用直埋和架空结合的形式。所有控制电缆和电力电缆的施工，按设计要求和相关规范进行。</w:t>
            </w:r>
          </w:p>
          <w:p w14:paraId="2ABF38B9">
            <w:pPr>
              <w:pStyle w:val="29"/>
              <w:spacing w:after="0" w:line="360" w:lineRule="auto"/>
              <w:ind w:left="0" w:leftChars="0"/>
              <w:rPr>
                <w:rFonts w:ascii="黑体" w:hAnsi="黑体" w:eastAsia="黑体" w:cs="黑体"/>
                <w:sz w:val="24"/>
              </w:rPr>
            </w:pPr>
            <w:r>
              <w:rPr>
                <w:rFonts w:hint="eastAsia"/>
              </w:rPr>
              <w:t>1）</w:t>
            </w:r>
            <w:r>
              <w:rPr>
                <w:sz w:val="24"/>
              </w:rPr>
              <w:t>架空线路</w:t>
            </w:r>
          </w:p>
          <w:p w14:paraId="5BEA20D3">
            <w:pPr>
              <w:spacing w:line="360" w:lineRule="auto"/>
              <w:ind w:firstLine="480" w:firstLineChars="200"/>
              <w:rPr>
                <w:rFonts w:ascii="宋体" w:hAnsi="宋体" w:cs="宋体"/>
                <w:sz w:val="24"/>
                <w:szCs w:val="24"/>
              </w:rPr>
            </w:pPr>
            <w:r>
              <w:rPr>
                <w:rFonts w:ascii="宋体" w:hAnsi="宋体" w:cs="宋体"/>
                <w:sz w:val="24"/>
                <w:szCs w:val="24"/>
              </w:rPr>
              <w:t>架空线路施工主要包括基础开挖与浇筑、杆塔组立、架线，其主要内容如下：</w:t>
            </w:r>
          </w:p>
          <w:p w14:paraId="4AD07F56">
            <w:pPr>
              <w:spacing w:line="360" w:lineRule="auto"/>
              <w:ind w:firstLine="480" w:firstLineChars="200"/>
              <w:rPr>
                <w:sz w:val="24"/>
                <w:szCs w:val="24"/>
              </w:rPr>
            </w:pPr>
            <w:r>
              <w:rPr>
                <w:rFonts w:eastAsia="Times New Roman"/>
                <w:sz w:val="24"/>
                <w:szCs w:val="24"/>
              </w:rPr>
              <w:t>1</w:t>
            </w:r>
            <w:r>
              <w:rPr>
                <w:sz w:val="24"/>
                <w:szCs w:val="24"/>
              </w:rPr>
              <w:t>）基础开挖与浇筑</w:t>
            </w:r>
          </w:p>
          <w:p w14:paraId="372ED729">
            <w:pPr>
              <w:spacing w:line="360" w:lineRule="auto"/>
              <w:ind w:firstLine="480" w:firstLineChars="200"/>
              <w:rPr>
                <w:sz w:val="24"/>
                <w:szCs w:val="24"/>
              </w:rPr>
            </w:pPr>
            <w:r>
              <w:rPr>
                <w:sz w:val="24"/>
                <w:szCs w:val="24"/>
              </w:rPr>
              <w:t>基础开挖：土石方采用机械开挖为主，人工开挖为辅，从上至下分层进行。石方采用小药量爆破，自上而下逐层开挖，推土机集渣，开挖渣料采用挖掘机挖装，自卸汽车出渣。开挖渣料除用于回填外，多余部分用于平整场地和做弃渣处理。</w:t>
            </w:r>
          </w:p>
          <w:p w14:paraId="6A265CFF">
            <w:pPr>
              <w:spacing w:line="360" w:lineRule="auto"/>
              <w:ind w:firstLine="480" w:firstLineChars="200"/>
              <w:rPr>
                <w:sz w:val="24"/>
                <w:szCs w:val="24"/>
              </w:rPr>
            </w:pPr>
            <w:r>
              <w:rPr>
                <w:sz w:val="24"/>
                <w:szCs w:val="24"/>
              </w:rPr>
              <w:t>混凝土浇筑：应严格把控混凝土浇筑质量，插入式振动器振捣密实。</w:t>
            </w:r>
          </w:p>
          <w:p w14:paraId="4B7F7966">
            <w:pPr>
              <w:spacing w:line="360" w:lineRule="auto"/>
              <w:ind w:firstLine="480" w:firstLineChars="200"/>
              <w:rPr>
                <w:sz w:val="24"/>
                <w:szCs w:val="24"/>
              </w:rPr>
            </w:pPr>
            <w:r>
              <w:rPr>
                <w:rFonts w:eastAsia="Times New Roman"/>
                <w:sz w:val="24"/>
                <w:szCs w:val="24"/>
              </w:rPr>
              <w:t>2</w:t>
            </w:r>
            <w:r>
              <w:rPr>
                <w:sz w:val="24"/>
                <w:szCs w:val="24"/>
              </w:rPr>
              <w:t>）杆塔组立</w:t>
            </w:r>
          </w:p>
          <w:p w14:paraId="2387AAA0">
            <w:pPr>
              <w:spacing w:line="360" w:lineRule="auto"/>
              <w:ind w:firstLine="480" w:firstLineChars="200"/>
              <w:rPr>
                <w:sz w:val="24"/>
                <w:szCs w:val="24"/>
              </w:rPr>
            </w:pPr>
            <w:r>
              <w:rPr>
                <w:sz w:val="24"/>
                <w:szCs w:val="24"/>
              </w:rPr>
              <w:t>铁塔组立采用小抱杆，散装方式，电杆采用独脚、倒落式单抱杆或人字抱杆方法。搬运塔材时应步调一致，螺栓扳手使用前应检查是否打滑；安装螺栓时严禁用手指插入螺孔找正；抬装塔材时应防砸脚；传递工具和材料不得抛扔；撬动塔材时防止撬杠</w:t>
            </w:r>
            <w:r>
              <w:rPr>
                <w:rFonts w:hint="eastAsia"/>
                <w:sz w:val="24"/>
                <w:szCs w:val="24"/>
              </w:rPr>
              <w:t>上</w:t>
            </w:r>
            <w:r>
              <w:rPr>
                <w:sz w:val="24"/>
                <w:szCs w:val="24"/>
              </w:rPr>
              <w:t>人；螺栓安装困难时严禁用锤硬砸。</w:t>
            </w:r>
          </w:p>
          <w:p w14:paraId="2E685DA8">
            <w:pPr>
              <w:spacing w:line="360" w:lineRule="auto"/>
              <w:ind w:firstLine="480" w:firstLineChars="200"/>
              <w:rPr>
                <w:sz w:val="24"/>
                <w:szCs w:val="24"/>
              </w:rPr>
            </w:pPr>
            <w:r>
              <w:rPr>
                <w:sz w:val="24"/>
                <w:szCs w:val="24"/>
              </w:rPr>
              <w:t>现场应严格按照施工方案规定的几何尺寸</w:t>
            </w:r>
            <w:r>
              <w:rPr>
                <w:rFonts w:hint="eastAsia"/>
                <w:sz w:val="24"/>
                <w:szCs w:val="24"/>
              </w:rPr>
              <w:t>布置</w:t>
            </w:r>
            <w:r>
              <w:rPr>
                <w:sz w:val="24"/>
                <w:szCs w:val="24"/>
              </w:rPr>
              <w:t>进行铁塔起吊作业。地锚的埋深及马道角度符合要求；施工工器具规格按方案执行，严禁</w:t>
            </w:r>
            <w:r>
              <w:rPr>
                <w:rFonts w:hint="eastAsia"/>
                <w:sz w:val="24"/>
                <w:szCs w:val="24"/>
              </w:rPr>
              <w:t>以小见大</w:t>
            </w:r>
            <w:r>
              <w:rPr>
                <w:sz w:val="24"/>
                <w:szCs w:val="24"/>
              </w:rPr>
              <w:t>；施工连接部分确保无误，符合规定；锚具规格必须符合方案要求；进入起吊现场一切行动听指挥；所有工器具已作安全检查并且外观检查良好。</w:t>
            </w:r>
          </w:p>
          <w:p w14:paraId="70FE4A4E">
            <w:pPr>
              <w:spacing w:line="360" w:lineRule="auto"/>
              <w:ind w:firstLine="480" w:firstLineChars="200"/>
              <w:rPr>
                <w:sz w:val="24"/>
                <w:szCs w:val="24"/>
              </w:rPr>
            </w:pPr>
            <w:r>
              <w:rPr>
                <w:sz w:val="24"/>
                <w:szCs w:val="24"/>
              </w:rPr>
              <w:t>3）架线</w:t>
            </w:r>
          </w:p>
          <w:p w14:paraId="1891E510">
            <w:pPr>
              <w:spacing w:line="360" w:lineRule="auto"/>
              <w:ind w:firstLine="480" w:firstLineChars="200"/>
              <w:rPr>
                <w:rFonts w:hint="eastAsia" w:ascii="宋体" w:hAnsi="宋体" w:cs="宋体"/>
                <w:sz w:val="24"/>
                <w:szCs w:val="24"/>
              </w:rPr>
            </w:pPr>
            <w:r>
              <w:rPr>
                <w:rFonts w:hint="eastAsia" w:ascii="宋体" w:hAnsi="宋体" w:cs="宋体"/>
                <w:sz w:val="24"/>
                <w:szCs w:val="24"/>
              </w:rPr>
              <w:t>集电线路架线由放线、紧线、附件安装组成。导、地线展放采用牵引绳牵引放紧，采用机动绞磨紧线施工工艺。耐张塔采用高空划印、地面制作线夹的施工工艺，直线塔采用特制双钩或链条葫芦提线器安装附件。导线的接续采用钳压，底线采用液压的施工工艺。</w:t>
            </w:r>
          </w:p>
          <w:p w14:paraId="6A728208">
            <w:pPr>
              <w:spacing w:line="360" w:lineRule="auto"/>
              <w:ind w:firstLine="482" w:firstLineChars="200"/>
              <w:rPr>
                <w:b/>
                <w:bCs/>
                <w:sz w:val="24"/>
                <w:szCs w:val="24"/>
              </w:rPr>
            </w:pPr>
            <w:r>
              <w:rPr>
                <w:rFonts w:hint="eastAsia"/>
                <w:b/>
                <w:bCs/>
                <w:sz w:val="24"/>
                <w:szCs w:val="24"/>
              </w:rPr>
              <w:t>（7）</w:t>
            </w:r>
            <w:r>
              <w:rPr>
                <w:b/>
                <w:bCs/>
                <w:sz w:val="24"/>
                <w:szCs w:val="24"/>
              </w:rPr>
              <w:t>电缆敷设</w:t>
            </w:r>
          </w:p>
          <w:p w14:paraId="2623AAE1">
            <w:pPr>
              <w:adjustRightInd w:val="0"/>
              <w:snapToGrid w:val="0"/>
              <w:spacing w:line="360" w:lineRule="auto"/>
              <w:ind w:firstLine="480" w:firstLineChars="200"/>
              <w:rPr>
                <w:sz w:val="24"/>
              </w:rPr>
            </w:pPr>
            <w:r>
              <w:rPr>
                <w:sz w:val="24"/>
                <w:szCs w:val="24"/>
              </w:rPr>
              <w:t>电缆敷设要先开挖电缆沟，将沟底用沙土垫平整，电缆敷设后填埋一层沙土，再用红砖压上，上部用碎石土回填夯实。电缆沟采用0.2m</w:t>
            </w:r>
            <w:r>
              <w:rPr>
                <w:sz w:val="24"/>
                <w:szCs w:val="24"/>
                <w:vertAlign w:val="superscript"/>
              </w:rPr>
              <w:t>3</w:t>
            </w:r>
            <w:r>
              <w:rPr>
                <w:rFonts w:hint="eastAsia"/>
                <w:sz w:val="24"/>
                <w:szCs w:val="24"/>
              </w:rPr>
              <w:t>~</w:t>
            </w:r>
            <w:r>
              <w:rPr>
                <w:sz w:val="24"/>
                <w:szCs w:val="24"/>
              </w:rPr>
              <w:t>0.5m</w:t>
            </w:r>
            <w:r>
              <w:rPr>
                <w:sz w:val="24"/>
                <w:szCs w:val="24"/>
                <w:vertAlign w:val="superscript"/>
              </w:rPr>
              <w:t>3</w:t>
            </w:r>
            <w:r>
              <w:rPr>
                <w:sz w:val="24"/>
                <w:szCs w:val="24"/>
              </w:rPr>
              <w:t>反铲挖掘机配合人工开挖，开挖土石就近堆放，</w:t>
            </w:r>
            <w:bookmarkStart w:id="98" w:name="OLE_LINK56"/>
            <w:r>
              <w:rPr>
                <w:sz w:val="24"/>
                <w:szCs w:val="24"/>
              </w:rPr>
              <w:t>用于后期回填</w:t>
            </w:r>
            <w:bookmarkEnd w:id="98"/>
            <w:r>
              <w:rPr>
                <w:sz w:val="24"/>
                <w:szCs w:val="24"/>
              </w:rPr>
              <w:t>。砂土回填为人工回填，压实采用蛙式打夯机夯实。电缆沟土石方挖填可自身平衡。</w:t>
            </w:r>
          </w:p>
          <w:p w14:paraId="460F4E00">
            <w:pPr>
              <w:adjustRightInd w:val="0"/>
              <w:snapToGrid w:val="0"/>
              <w:spacing w:line="360" w:lineRule="auto"/>
              <w:ind w:firstLine="480" w:firstLineChars="200"/>
              <w:rPr>
                <w:sz w:val="24"/>
                <w:szCs w:val="24"/>
              </w:rPr>
            </w:pPr>
            <w:r>
              <w:rPr>
                <w:sz w:val="24"/>
              </w:rPr>
              <w:t>电缆在安装前对电缆进行质量验收。电缆在安装前，应根据设计资料及具体的施工情况，编制详细的电缆敷设程序表，表中应明确规定每根电缆安装的先后顺序。电缆的使用规格、安装路径应严格按设计要求进行，并满足相关规程规范的规定</w:t>
            </w:r>
            <w:r>
              <w:rPr>
                <w:sz w:val="24"/>
                <w:szCs w:val="24"/>
              </w:rPr>
              <w:t>。</w:t>
            </w:r>
          </w:p>
          <w:p w14:paraId="16B7D617">
            <w:pPr>
              <w:spacing w:line="360" w:lineRule="auto"/>
              <w:ind w:firstLine="482" w:firstLineChars="200"/>
              <w:rPr>
                <w:rFonts w:hint="eastAsia"/>
                <w:b/>
                <w:bCs/>
                <w:sz w:val="24"/>
                <w:szCs w:val="24"/>
              </w:rPr>
            </w:pPr>
            <w:r>
              <w:rPr>
                <w:rFonts w:hint="eastAsia"/>
                <w:b/>
                <w:bCs/>
                <w:sz w:val="24"/>
                <w:szCs w:val="24"/>
              </w:rPr>
              <w:t>（8）建（构）筑物土建施工及电气设备安装</w:t>
            </w:r>
          </w:p>
          <w:p w14:paraId="37EFF070">
            <w:pPr>
              <w:spacing w:line="360" w:lineRule="auto"/>
              <w:ind w:firstLine="480" w:firstLineChars="200"/>
              <w:rPr>
                <w:rFonts w:ascii="宋体" w:hAnsi="宋体" w:cs="宋体"/>
                <w:sz w:val="24"/>
                <w:szCs w:val="24"/>
              </w:rPr>
            </w:pPr>
            <w:r>
              <w:rPr>
                <w:rFonts w:ascii="宋体" w:hAnsi="宋体" w:cs="宋体"/>
                <w:sz w:val="24"/>
                <w:szCs w:val="24"/>
              </w:rPr>
              <w:t>光伏发电项目建（构）筑物包括光伏场区内建（构）筑物、升压站内建（构）筑物、大门、围栏等。光伏阵列内建（构）筑物主要是指光伏支架及设备基础，升压站内建（构）筑物包括大门、围栏、配电装置等建筑物及基础等。</w:t>
            </w:r>
          </w:p>
          <w:p w14:paraId="73870BA7">
            <w:pPr>
              <w:spacing w:line="360" w:lineRule="auto"/>
              <w:ind w:firstLine="480" w:firstLineChars="200"/>
              <w:rPr>
                <w:rFonts w:ascii="宋体" w:hAnsi="宋体" w:cs="宋体"/>
                <w:sz w:val="24"/>
                <w:szCs w:val="24"/>
              </w:rPr>
            </w:pPr>
            <w:r>
              <w:rPr>
                <w:rFonts w:ascii="宋体" w:hAnsi="宋体" w:cs="宋体"/>
                <w:sz w:val="24"/>
                <w:szCs w:val="24"/>
              </w:rPr>
              <w:t>升压站场地清理，采用推土机配合人工清理。然后用振动碾将场地碾平压实，达到设计要求。站内所有建筑物的基础开挖，均采用小型挖掘机和人工开挖清理。</w:t>
            </w:r>
          </w:p>
          <w:p w14:paraId="6F98C2A2">
            <w:pPr>
              <w:pStyle w:val="29"/>
              <w:spacing w:after="0" w:line="360" w:lineRule="auto"/>
              <w:ind w:left="0" w:leftChars="0" w:firstLine="480"/>
              <w:rPr>
                <w:sz w:val="24"/>
              </w:rPr>
            </w:pPr>
            <w:r>
              <w:rPr>
                <w:sz w:val="24"/>
              </w:rPr>
              <w:t>1）主要建筑物施工方法</w:t>
            </w:r>
          </w:p>
          <w:p w14:paraId="73A79B7A">
            <w:pPr>
              <w:spacing w:line="360" w:lineRule="auto"/>
              <w:ind w:firstLine="480" w:firstLineChars="200"/>
              <w:rPr>
                <w:rFonts w:hint="eastAsia" w:ascii="宋体" w:hAnsi="宋体" w:cs="宋体"/>
                <w:sz w:val="24"/>
                <w:szCs w:val="24"/>
              </w:rPr>
            </w:pPr>
            <w:r>
              <w:rPr>
                <w:rFonts w:hint="eastAsia" w:ascii="宋体" w:hAnsi="宋体" w:cs="宋体"/>
                <w:sz w:val="24"/>
                <w:szCs w:val="24"/>
              </w:rPr>
              <w:t>本项目升压站主要建筑物为大门、围栏、配电装置基础。施工流程为：施工准备→基础开挖→基础混凝土浇筑→电气管线敷设→电气设备安装。</w:t>
            </w:r>
          </w:p>
          <w:p w14:paraId="506C9033">
            <w:pPr>
              <w:spacing w:line="360" w:lineRule="auto"/>
              <w:ind w:firstLine="480" w:firstLineChars="200"/>
              <w:rPr>
                <w:rFonts w:hint="eastAsia" w:ascii="宋体" w:hAnsi="宋体" w:cs="宋体"/>
                <w:sz w:val="24"/>
                <w:szCs w:val="24"/>
              </w:rPr>
            </w:pPr>
            <w:r>
              <w:rPr>
                <w:rFonts w:hint="eastAsia" w:ascii="宋体" w:hAnsi="宋体" w:cs="宋体"/>
                <w:sz w:val="24"/>
                <w:szCs w:val="24"/>
              </w:rPr>
              <w:t>在混凝土浇筑过程中，应对模板、支架、预埋件及预留孔洞进行观察，如有变形、移位应及时进行处理，以保证质量。浇筑完毕后应按规定及时加以养护，在其强度未达到规定以前不得在其上踩踏或安装模板及支架。具体施工方法遵照相关房建施工技术规范执行。</w:t>
            </w:r>
          </w:p>
          <w:p w14:paraId="3069FCBF">
            <w:pPr>
              <w:pStyle w:val="29"/>
              <w:spacing w:after="0" w:line="360" w:lineRule="auto"/>
              <w:ind w:left="0" w:leftChars="0" w:firstLine="480"/>
              <w:rPr>
                <w:sz w:val="24"/>
              </w:rPr>
            </w:pPr>
            <w:r>
              <w:rPr>
                <w:sz w:val="24"/>
              </w:rPr>
              <w:t>2）电气设备的施工技术要求</w:t>
            </w:r>
          </w:p>
          <w:p w14:paraId="78E2DBB8">
            <w:pPr>
              <w:spacing w:line="360" w:lineRule="auto"/>
              <w:ind w:firstLine="480" w:firstLineChars="200"/>
              <w:rPr>
                <w:rFonts w:hint="eastAsia" w:ascii="宋体" w:hAnsi="宋体" w:cs="宋体"/>
                <w:sz w:val="24"/>
                <w:szCs w:val="24"/>
              </w:rPr>
            </w:pPr>
            <w:r>
              <w:rPr>
                <w:rFonts w:hint="eastAsia" w:ascii="宋体" w:hAnsi="宋体" w:cs="宋体"/>
                <w:sz w:val="24"/>
                <w:szCs w:val="24"/>
              </w:rPr>
              <w:t>电气设备安装前，基础养护完毕。变压器就位时，变压器基础轨道应水平；密封处理法兰连接处应用耐油密封垫密封，法兰连接面应平整、清洁；有载调压切换装置安装时传动机构应固定牢靠，连接准确，操作灵活，无卡阻现象，摩擦部分涂以润滑油；屏、箱、柜以及可开启的门，都应用裸铜线与接地的金属构件可靠接地。接地闸刀下端可通过扁钢或铜排与地网直接连接。</w:t>
            </w:r>
          </w:p>
          <w:p w14:paraId="3CFC0001">
            <w:pPr>
              <w:spacing w:line="360" w:lineRule="auto"/>
              <w:ind w:firstLine="480" w:firstLineChars="200"/>
              <w:rPr>
                <w:rFonts w:hint="eastAsia" w:ascii="宋体" w:hAnsi="宋体" w:cs="宋体"/>
                <w:sz w:val="24"/>
                <w:szCs w:val="24"/>
              </w:rPr>
            </w:pPr>
            <w:r>
              <w:rPr>
                <w:rFonts w:hint="eastAsia" w:ascii="宋体" w:hAnsi="宋体" w:cs="宋体"/>
                <w:sz w:val="24"/>
                <w:szCs w:val="24"/>
              </w:rPr>
              <w:t>电气设备的施工技术要求参照国家有关电气设备施工规范以及生产厂家提供的相关安装技术要求和方法。</w:t>
            </w:r>
          </w:p>
          <w:p w14:paraId="2B8C2751">
            <w:pPr>
              <w:pStyle w:val="29"/>
              <w:spacing w:after="0" w:line="360" w:lineRule="auto"/>
              <w:ind w:left="0" w:leftChars="0" w:firstLine="480"/>
              <w:rPr>
                <w:sz w:val="24"/>
              </w:rPr>
            </w:pPr>
            <w:r>
              <w:rPr>
                <w:sz w:val="24"/>
              </w:rPr>
              <w:t>3）主变安装</w:t>
            </w:r>
          </w:p>
          <w:p w14:paraId="33605233">
            <w:pPr>
              <w:spacing w:line="360" w:lineRule="auto"/>
              <w:ind w:firstLine="480" w:firstLineChars="200"/>
              <w:rPr>
                <w:sz w:val="24"/>
                <w:szCs w:val="24"/>
              </w:rPr>
            </w:pPr>
            <w:r>
              <w:rPr>
                <w:sz w:val="24"/>
                <w:szCs w:val="24"/>
              </w:rPr>
              <w:t>主变型号：SZ20-50000/110GY</w:t>
            </w:r>
          </w:p>
          <w:p w14:paraId="580056CB">
            <w:pPr>
              <w:spacing w:line="360" w:lineRule="auto"/>
              <w:ind w:firstLine="480" w:firstLineChars="200"/>
              <w:rPr>
                <w:sz w:val="24"/>
                <w:szCs w:val="24"/>
              </w:rPr>
            </w:pPr>
            <w:r>
              <w:rPr>
                <w:sz w:val="24"/>
                <w:szCs w:val="24"/>
              </w:rPr>
              <w:t>主变容量：50MVA</w:t>
            </w:r>
          </w:p>
          <w:p w14:paraId="28556D6F">
            <w:pPr>
              <w:spacing w:line="360" w:lineRule="auto"/>
              <w:ind w:firstLine="480" w:firstLineChars="200"/>
              <w:rPr>
                <w:sz w:val="24"/>
                <w:szCs w:val="24"/>
              </w:rPr>
            </w:pPr>
            <w:r>
              <w:rPr>
                <w:sz w:val="24"/>
                <w:szCs w:val="24"/>
              </w:rPr>
              <w:t>主变型式：三相有载调压油浸自冷变压器</w:t>
            </w:r>
          </w:p>
          <w:p w14:paraId="1EDF22FD">
            <w:pPr>
              <w:spacing w:line="360" w:lineRule="auto"/>
              <w:ind w:firstLine="480" w:firstLineChars="200"/>
              <w:rPr>
                <w:sz w:val="24"/>
                <w:szCs w:val="24"/>
              </w:rPr>
            </w:pPr>
            <w:r>
              <w:rPr>
                <w:sz w:val="24"/>
                <w:szCs w:val="24"/>
              </w:rPr>
              <w:t>电压比：115±8×1.25%/37kV</w:t>
            </w:r>
          </w:p>
          <w:p w14:paraId="2C2DD0AE">
            <w:pPr>
              <w:spacing w:line="360" w:lineRule="auto"/>
              <w:ind w:firstLine="480" w:firstLineChars="200"/>
              <w:rPr>
                <w:sz w:val="24"/>
                <w:szCs w:val="24"/>
              </w:rPr>
            </w:pPr>
            <w:r>
              <w:rPr>
                <w:sz w:val="24"/>
                <w:szCs w:val="24"/>
              </w:rPr>
              <w:t>阻抗电压：10.5%</w:t>
            </w:r>
          </w:p>
          <w:p w14:paraId="45FF00C5">
            <w:pPr>
              <w:spacing w:line="360" w:lineRule="auto"/>
              <w:ind w:firstLine="480" w:firstLineChars="200"/>
              <w:rPr>
                <w:sz w:val="24"/>
                <w:szCs w:val="24"/>
              </w:rPr>
            </w:pPr>
            <w:r>
              <w:rPr>
                <w:sz w:val="24"/>
                <w:szCs w:val="24"/>
              </w:rPr>
              <w:t>容量比：100/100</w:t>
            </w:r>
          </w:p>
          <w:p w14:paraId="6F961030">
            <w:pPr>
              <w:spacing w:line="360" w:lineRule="auto"/>
              <w:ind w:firstLine="480" w:firstLineChars="200"/>
              <w:rPr>
                <w:sz w:val="24"/>
                <w:szCs w:val="24"/>
              </w:rPr>
            </w:pPr>
            <w:r>
              <w:rPr>
                <w:sz w:val="24"/>
                <w:szCs w:val="24"/>
              </w:rPr>
              <w:t>联接组别：YN，d11</w:t>
            </w:r>
          </w:p>
          <w:p w14:paraId="6EC586F8">
            <w:pPr>
              <w:spacing w:line="360" w:lineRule="auto"/>
              <w:ind w:firstLine="480" w:firstLineChars="200"/>
              <w:rPr>
                <w:sz w:val="24"/>
                <w:szCs w:val="24"/>
              </w:rPr>
            </w:pPr>
            <w:r>
              <w:rPr>
                <w:sz w:val="24"/>
                <w:szCs w:val="24"/>
              </w:rPr>
              <w:t>调压方式：有载调压</w:t>
            </w:r>
          </w:p>
          <w:p w14:paraId="7F55F831">
            <w:pPr>
              <w:spacing w:line="360" w:lineRule="auto"/>
              <w:ind w:firstLine="480" w:firstLineChars="200"/>
              <w:rPr>
                <w:sz w:val="24"/>
                <w:szCs w:val="24"/>
              </w:rPr>
            </w:pPr>
            <w:r>
              <w:rPr>
                <w:sz w:val="24"/>
                <w:szCs w:val="24"/>
              </w:rPr>
              <w:t>冷却方式：油浸自冷</w:t>
            </w:r>
          </w:p>
          <w:p w14:paraId="3481859C">
            <w:pPr>
              <w:spacing w:line="360" w:lineRule="auto"/>
              <w:ind w:firstLine="480" w:firstLineChars="200"/>
              <w:rPr>
                <w:sz w:val="24"/>
                <w:szCs w:val="24"/>
              </w:rPr>
            </w:pPr>
            <w:r>
              <w:rPr>
                <w:sz w:val="24"/>
                <w:szCs w:val="24"/>
              </w:rPr>
              <w:t>中性点接地方式：主变高压侧按不死接地设计。</w:t>
            </w:r>
          </w:p>
          <w:p w14:paraId="030B89E3">
            <w:pPr>
              <w:pStyle w:val="29"/>
              <w:spacing w:after="0" w:line="360" w:lineRule="auto"/>
              <w:ind w:left="0" w:leftChars="0" w:firstLine="480"/>
              <w:rPr>
                <w:rFonts w:hint="eastAsia" w:ascii="宋体" w:hAnsi="宋体" w:cs="宋体"/>
                <w:sz w:val="24"/>
              </w:rPr>
            </w:pPr>
            <w:r>
              <w:rPr>
                <w:rFonts w:hint="eastAsia" w:ascii="宋体" w:hAnsi="宋体" w:cs="宋体"/>
                <w:sz w:val="24"/>
              </w:rPr>
              <w:t>主变压器安装前要认真阅读施工图和厂家说明书，编制变压器具体细致的作业指导书，并进行技术交底，准备好施工所用机械和材料等。安装过程中要严格按照规范、规程以及作业指导书进行施工。</w:t>
            </w:r>
          </w:p>
          <w:p w14:paraId="4BC91ABF">
            <w:pPr>
              <w:pStyle w:val="29"/>
              <w:spacing w:after="0" w:line="360" w:lineRule="auto"/>
              <w:ind w:left="0" w:leftChars="0" w:firstLine="480"/>
              <w:rPr>
                <w:sz w:val="24"/>
              </w:rPr>
            </w:pPr>
            <w:r>
              <w:rPr>
                <w:rFonts w:hint="eastAsia" w:ascii="宋体" w:hAnsi="宋体" w:cs="宋体"/>
                <w:sz w:val="24"/>
              </w:rPr>
              <w:t>变压器到货后，要做好检查和保存工作，首先要检查冲撞记录仪，判断运输是否良好。充气运输要检查充气压力是否在正常范围内。安装前，要定时观察充</w:t>
            </w:r>
            <w:r>
              <w:rPr>
                <w:sz w:val="24"/>
              </w:rPr>
              <w:t>气压力值；做好变压器油的到货接收，保证质量，清点附件、备件、专用工具及技术资料是否齐全，并填写开箱记录。如有设备缺陷，还应填写顾客财产丢失、损坏缺件及不适用情况报告单。</w:t>
            </w:r>
          </w:p>
          <w:p w14:paraId="345FAEA0">
            <w:pPr>
              <w:pStyle w:val="29"/>
              <w:spacing w:after="0" w:line="360" w:lineRule="auto"/>
              <w:ind w:left="0" w:leftChars="0" w:firstLine="480"/>
              <w:rPr>
                <w:rFonts w:hint="eastAsia" w:ascii="宋体" w:hAnsi="宋体" w:cs="宋体"/>
                <w:sz w:val="24"/>
              </w:rPr>
            </w:pPr>
            <w:r>
              <w:rPr>
                <w:sz w:val="24"/>
              </w:rPr>
              <w:t>变压器的就位：采用100t吊车一次就位。安装时要合理安排工序，提高工作效率，以减少暴露时间。安装中要注意密封，器身检查时必须严格按规范及厂家指导书要求进行。所用工具</w:t>
            </w:r>
            <w:r>
              <w:rPr>
                <w:rFonts w:hint="eastAsia" w:ascii="宋体" w:hAnsi="宋体" w:cs="宋体"/>
                <w:sz w:val="24"/>
              </w:rPr>
              <w:t>登记注册，由专人管理，工作结束后全部收回。特别要注意定位紧固螺丝和易损部位的检查，在芯部检查等关键工序完工后，及时填写隐蔽工程检查记录和关键工序控制点。</w:t>
            </w:r>
          </w:p>
          <w:p w14:paraId="698B036C">
            <w:pPr>
              <w:pStyle w:val="29"/>
              <w:spacing w:after="0" w:line="360" w:lineRule="auto"/>
              <w:ind w:left="0" w:leftChars="0" w:firstLine="480"/>
              <w:rPr>
                <w:rFonts w:hint="eastAsia" w:ascii="宋体" w:hAnsi="宋体" w:cs="宋体"/>
                <w:sz w:val="24"/>
              </w:rPr>
            </w:pPr>
            <w:r>
              <w:rPr>
                <w:rFonts w:hint="eastAsia" w:ascii="宋体" w:hAnsi="宋体" w:cs="宋体"/>
                <w:sz w:val="24"/>
              </w:rPr>
              <w:t>做好变压器油及附件器身试验，安装后还要进行密封性试验、电抗器的整体试验和局放试验，注油完毕后，还应填写“绝缘油控制点记录”。</w:t>
            </w:r>
          </w:p>
          <w:p w14:paraId="25BE43A1">
            <w:pPr>
              <w:pStyle w:val="29"/>
              <w:spacing w:after="0" w:line="360" w:lineRule="auto"/>
              <w:ind w:left="0" w:leftChars="0" w:firstLine="480"/>
              <w:rPr>
                <w:rFonts w:hint="eastAsia" w:ascii="宋体" w:hAnsi="宋体" w:cs="宋体"/>
                <w:sz w:val="24"/>
              </w:rPr>
            </w:pPr>
            <w:r>
              <w:rPr>
                <w:rFonts w:hint="eastAsia" w:ascii="宋体" w:hAnsi="宋体" w:cs="宋体"/>
                <w:sz w:val="24"/>
              </w:rPr>
              <w:t>变压器安装时要认真检查附件的完好性。避免不必要的返工，套管吊装时应采取有效措施，防止瓷套和引线损伤。</w:t>
            </w:r>
          </w:p>
          <w:p w14:paraId="38BFD511">
            <w:pPr>
              <w:pStyle w:val="29"/>
              <w:spacing w:after="0" w:line="360" w:lineRule="auto"/>
              <w:ind w:left="0" w:leftChars="0" w:firstLine="480"/>
              <w:rPr>
                <w:rFonts w:hint="eastAsia" w:ascii="宋体" w:hAnsi="宋体" w:cs="宋体"/>
                <w:sz w:val="24"/>
              </w:rPr>
            </w:pPr>
            <w:r>
              <w:rPr>
                <w:rFonts w:hint="eastAsia" w:ascii="宋体" w:hAnsi="宋体" w:cs="宋体"/>
                <w:sz w:val="24"/>
              </w:rPr>
              <w:t>绝缘油处理是变压器安装中的一个重要环节，绝缘油过滤的好坏直接影响变压器、高压的最终运行质量，必须加以重视。在安装过程中要注意管道、冷却装置、油枕的清洁和整个管路的密封。</w:t>
            </w:r>
          </w:p>
          <w:p w14:paraId="7D235951">
            <w:pPr>
              <w:pStyle w:val="29"/>
              <w:spacing w:after="0" w:line="360" w:lineRule="auto"/>
              <w:ind w:left="0" w:leftChars="0" w:firstLine="480"/>
              <w:rPr>
                <w:rFonts w:hint="eastAsia" w:ascii="宋体" w:hAnsi="宋体" w:cs="宋体"/>
                <w:sz w:val="24"/>
              </w:rPr>
            </w:pPr>
            <w:r>
              <w:rPr>
                <w:rFonts w:hint="eastAsia" w:ascii="宋体" w:hAnsi="宋体" w:cs="宋体"/>
                <w:sz w:val="24"/>
              </w:rPr>
              <w:t>变压器试验合格后，并做好套管的封堵，要求防火、屏蔽、密封且在单个套管穿墙处不能有磁闭合回路。</w:t>
            </w:r>
          </w:p>
          <w:bookmarkEnd w:id="97"/>
          <w:p w14:paraId="467746BF">
            <w:pPr>
              <w:spacing w:line="360" w:lineRule="auto"/>
              <w:jc w:val="left"/>
              <w:rPr>
                <w:b/>
                <w:bCs/>
                <w:kern w:val="0"/>
                <w:sz w:val="24"/>
              </w:rPr>
            </w:pPr>
            <w:r>
              <w:rPr>
                <w:rFonts w:hint="eastAsia"/>
                <w:b/>
                <w:bCs/>
                <w:sz w:val="24"/>
                <w:szCs w:val="24"/>
              </w:rPr>
              <w:t xml:space="preserve">2.4.2 </w:t>
            </w:r>
            <w:r>
              <w:rPr>
                <w:b/>
                <w:bCs/>
                <w:kern w:val="0"/>
                <w:sz w:val="24"/>
              </w:rPr>
              <w:t>施工时序与施工周期</w:t>
            </w:r>
          </w:p>
          <w:p w14:paraId="36EFDDC3">
            <w:pPr>
              <w:topLinePunct/>
              <w:autoSpaceDE w:val="0"/>
              <w:autoSpaceDN w:val="0"/>
              <w:spacing w:line="360" w:lineRule="auto"/>
              <w:ind w:firstLine="480" w:firstLineChars="200"/>
              <w:rPr>
                <w:rFonts w:hint="eastAsia"/>
                <w:sz w:val="24"/>
                <w:szCs w:val="24"/>
              </w:rPr>
            </w:pPr>
            <w:r>
              <w:rPr>
                <w:rFonts w:hint="eastAsia"/>
                <w:sz w:val="24"/>
                <w:szCs w:val="24"/>
              </w:rPr>
              <w:t>根据项目施工计划安排，本项目计划于2026年</w:t>
            </w:r>
            <w:r>
              <w:rPr>
                <w:sz w:val="24"/>
                <w:szCs w:val="24"/>
              </w:rPr>
              <w:t>8</w:t>
            </w:r>
            <w:r>
              <w:rPr>
                <w:rFonts w:hint="eastAsia"/>
                <w:sz w:val="24"/>
                <w:szCs w:val="24"/>
              </w:rPr>
              <w:t>月开工，202</w:t>
            </w:r>
            <w:r>
              <w:rPr>
                <w:sz w:val="24"/>
                <w:szCs w:val="24"/>
              </w:rPr>
              <w:t>7</w:t>
            </w:r>
            <w:r>
              <w:rPr>
                <w:rFonts w:hint="eastAsia"/>
                <w:sz w:val="24"/>
                <w:szCs w:val="24"/>
              </w:rPr>
              <w:t>年</w:t>
            </w:r>
            <w:r>
              <w:rPr>
                <w:sz w:val="24"/>
                <w:szCs w:val="24"/>
              </w:rPr>
              <w:t>1</w:t>
            </w:r>
            <w:r>
              <w:rPr>
                <w:rFonts w:hint="eastAsia"/>
                <w:sz w:val="24"/>
                <w:szCs w:val="24"/>
              </w:rPr>
              <w:t>月建设完成，总工期6个月。本项目施工进度详见下表。</w:t>
            </w:r>
          </w:p>
          <w:p w14:paraId="36C981DA">
            <w:pPr>
              <w:pStyle w:val="221"/>
              <w:adjustRightInd/>
              <w:spacing w:line="360" w:lineRule="auto"/>
              <w:ind w:firstLine="0" w:firstLineChars="0"/>
              <w:jc w:val="center"/>
              <w:rPr>
                <w:rFonts w:hAnsi="Times New Roman"/>
                <w:b/>
                <w:bCs/>
                <w:color w:val="auto"/>
              </w:rPr>
            </w:pPr>
            <w:r>
              <w:rPr>
                <w:rFonts w:hAnsi="Times New Roman"/>
                <w:b/>
                <w:bCs/>
                <w:color w:val="auto"/>
              </w:rPr>
              <w:t>表2.4.2-1</w:t>
            </w:r>
            <w:r>
              <w:rPr>
                <w:rFonts w:hint="eastAsia" w:hAnsi="Times New Roman"/>
                <w:b/>
                <w:bCs/>
                <w:color w:val="auto"/>
              </w:rPr>
              <w:t xml:space="preserve">  </w:t>
            </w:r>
            <w:r>
              <w:rPr>
                <w:rFonts w:hAnsi="Times New Roman"/>
                <w:b/>
                <w:bCs/>
                <w:color w:val="auto"/>
                <w:kern w:val="2"/>
              </w:rPr>
              <w:t>施工进度计划表</w:t>
            </w:r>
          </w:p>
          <w:tbl>
            <w:tblPr>
              <w:tblStyle w:val="30"/>
              <w:tblW w:w="5000" w:type="pct"/>
              <w:jc w:val="center"/>
              <w:tblLayout w:type="autofit"/>
              <w:tblCellMar>
                <w:top w:w="0" w:type="dxa"/>
                <w:left w:w="108" w:type="dxa"/>
                <w:bottom w:w="0" w:type="dxa"/>
                <w:right w:w="108" w:type="dxa"/>
              </w:tblCellMar>
            </w:tblPr>
            <w:tblGrid>
              <w:gridCol w:w="2649"/>
              <w:gridCol w:w="990"/>
              <w:gridCol w:w="831"/>
              <w:gridCol w:w="981"/>
              <w:gridCol w:w="980"/>
              <w:gridCol w:w="990"/>
              <w:gridCol w:w="925"/>
            </w:tblGrid>
            <w:tr w14:paraId="0B9B5E20">
              <w:tblPrEx>
                <w:tblCellMar>
                  <w:top w:w="0" w:type="dxa"/>
                  <w:left w:w="108" w:type="dxa"/>
                  <w:bottom w:w="0" w:type="dxa"/>
                  <w:right w:w="108" w:type="dxa"/>
                </w:tblCellMar>
              </w:tblPrEx>
              <w:trPr>
                <w:trHeight w:val="283" w:hRule="atLeast"/>
                <w:jc w:val="center"/>
              </w:trPr>
              <w:tc>
                <w:tcPr>
                  <w:tcW w:w="2686" w:type="dxa"/>
                  <w:vMerge w:val="restart"/>
                  <w:tcBorders>
                    <w:top w:val="single" w:color="000000" w:sz="4" w:space="0"/>
                    <w:left w:val="single" w:color="000000" w:sz="4" w:space="0"/>
                    <w:bottom w:val="single" w:color="000000" w:sz="4" w:space="0"/>
                    <w:right w:val="single" w:color="000000" w:sz="4" w:space="0"/>
                  </w:tcBorders>
                  <w:noWrap/>
                  <w:vAlign w:val="center"/>
                </w:tcPr>
                <w:p w14:paraId="63AA8BBB">
                  <w:pPr>
                    <w:widowControl/>
                    <w:jc w:val="center"/>
                    <w:rPr>
                      <w:b/>
                      <w:bCs/>
                      <w:kern w:val="0"/>
                    </w:rPr>
                  </w:pPr>
                  <w:r>
                    <w:rPr>
                      <w:b/>
                      <w:bCs/>
                      <w:kern w:val="0"/>
                    </w:rPr>
                    <w:t>施工内容</w:t>
                  </w:r>
                </w:p>
              </w:tc>
              <w:tc>
                <w:tcPr>
                  <w:tcW w:w="5765" w:type="dxa"/>
                  <w:gridSpan w:val="6"/>
                  <w:tcBorders>
                    <w:top w:val="single" w:color="000000" w:sz="4" w:space="0"/>
                    <w:left w:val="single" w:color="000000" w:sz="4" w:space="0"/>
                    <w:bottom w:val="single" w:color="000000" w:sz="4" w:space="0"/>
                    <w:right w:val="single" w:color="000000" w:sz="4" w:space="0"/>
                  </w:tcBorders>
                  <w:noWrap/>
                  <w:vAlign w:val="center"/>
                </w:tcPr>
                <w:p w14:paraId="2B024D0B">
                  <w:pPr>
                    <w:widowControl/>
                    <w:jc w:val="center"/>
                    <w:rPr>
                      <w:b/>
                      <w:bCs/>
                      <w:kern w:val="0"/>
                    </w:rPr>
                  </w:pPr>
                  <w:r>
                    <w:rPr>
                      <w:b/>
                      <w:bCs/>
                      <w:kern w:val="0"/>
                    </w:rPr>
                    <w:t>施工工期</w:t>
                  </w:r>
                </w:p>
              </w:tc>
            </w:tr>
            <w:tr w14:paraId="150A2A13">
              <w:tblPrEx>
                <w:tblCellMar>
                  <w:top w:w="0" w:type="dxa"/>
                  <w:left w:w="108" w:type="dxa"/>
                  <w:bottom w:w="0" w:type="dxa"/>
                  <w:right w:w="108" w:type="dxa"/>
                </w:tblCellMar>
              </w:tblPrEx>
              <w:trPr>
                <w:trHeight w:val="283" w:hRule="atLeast"/>
                <w:jc w:val="center"/>
              </w:trPr>
              <w:tc>
                <w:tcPr>
                  <w:tcW w:w="2686" w:type="dxa"/>
                  <w:vMerge w:val="continue"/>
                  <w:tcBorders>
                    <w:top w:val="single" w:color="000000" w:sz="4" w:space="0"/>
                    <w:left w:val="single" w:color="000000" w:sz="4" w:space="0"/>
                    <w:bottom w:val="single" w:color="000000" w:sz="4" w:space="0"/>
                    <w:right w:val="single" w:color="000000" w:sz="4" w:space="0"/>
                  </w:tcBorders>
                  <w:noWrap/>
                  <w:vAlign w:val="center"/>
                </w:tcPr>
                <w:p w14:paraId="6ECBFA7B">
                  <w:pPr>
                    <w:widowControl/>
                    <w:jc w:val="center"/>
                    <w:rPr>
                      <w:b/>
                      <w:bCs/>
                      <w:kern w:val="0"/>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1E6FB366">
                  <w:pPr>
                    <w:widowControl/>
                    <w:jc w:val="center"/>
                    <w:rPr>
                      <w:b/>
                      <w:bCs/>
                      <w:kern w:val="0"/>
                    </w:rPr>
                  </w:pPr>
                  <w:r>
                    <w:rPr>
                      <w:rFonts w:hint="eastAsia"/>
                      <w:b/>
                      <w:bCs/>
                      <w:kern w:val="0"/>
                    </w:rPr>
                    <w:t>第1月</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283109E3">
                  <w:pPr>
                    <w:widowControl/>
                    <w:jc w:val="center"/>
                    <w:rPr>
                      <w:b/>
                      <w:bCs/>
                      <w:kern w:val="0"/>
                    </w:rPr>
                  </w:pPr>
                  <w:r>
                    <w:rPr>
                      <w:rFonts w:hint="eastAsia"/>
                      <w:b/>
                      <w:bCs/>
                      <w:kern w:val="0"/>
                    </w:rPr>
                    <w:t>第</w:t>
                  </w:r>
                  <w:r>
                    <w:rPr>
                      <w:b/>
                      <w:bCs/>
                      <w:kern w:val="0"/>
                    </w:rPr>
                    <w:t>2</w:t>
                  </w:r>
                  <w:r>
                    <w:rPr>
                      <w:rFonts w:hint="eastAsia"/>
                      <w:b/>
                      <w:bCs/>
                      <w:kern w:val="0"/>
                    </w:rPr>
                    <w:t>月</w:t>
                  </w:r>
                </w:p>
              </w:tc>
              <w:tc>
                <w:tcPr>
                  <w:tcW w:w="993" w:type="dxa"/>
                  <w:tcBorders>
                    <w:top w:val="single" w:color="000000" w:sz="4" w:space="0"/>
                    <w:left w:val="single" w:color="000000" w:sz="4" w:space="0"/>
                    <w:bottom w:val="single" w:color="000000" w:sz="4" w:space="0"/>
                    <w:right w:val="single" w:color="000000" w:sz="4" w:space="0"/>
                  </w:tcBorders>
                  <w:noWrap/>
                  <w:vAlign w:val="center"/>
                </w:tcPr>
                <w:p w14:paraId="636C6462">
                  <w:pPr>
                    <w:widowControl/>
                    <w:jc w:val="center"/>
                    <w:rPr>
                      <w:b/>
                      <w:bCs/>
                      <w:kern w:val="0"/>
                    </w:rPr>
                  </w:pPr>
                  <w:r>
                    <w:rPr>
                      <w:rFonts w:hint="eastAsia"/>
                      <w:b/>
                      <w:bCs/>
                      <w:kern w:val="0"/>
                    </w:rPr>
                    <w:t>第</w:t>
                  </w:r>
                  <w:r>
                    <w:rPr>
                      <w:b/>
                      <w:bCs/>
                      <w:kern w:val="0"/>
                    </w:rPr>
                    <w:t>3</w:t>
                  </w:r>
                  <w:r>
                    <w:rPr>
                      <w:rFonts w:hint="eastAsia"/>
                      <w:b/>
                      <w:bCs/>
                      <w:kern w:val="0"/>
                    </w:rPr>
                    <w:t>月</w:t>
                  </w:r>
                </w:p>
              </w:tc>
              <w:tc>
                <w:tcPr>
                  <w:tcW w:w="992" w:type="dxa"/>
                  <w:tcBorders>
                    <w:top w:val="single" w:color="000000" w:sz="4" w:space="0"/>
                    <w:left w:val="single" w:color="000000" w:sz="4" w:space="0"/>
                    <w:bottom w:val="single" w:color="000000" w:sz="4" w:space="0"/>
                    <w:right w:val="single" w:color="000000" w:sz="4" w:space="0"/>
                  </w:tcBorders>
                  <w:noWrap/>
                  <w:vAlign w:val="center"/>
                </w:tcPr>
                <w:p w14:paraId="4A4E85D0">
                  <w:pPr>
                    <w:widowControl/>
                    <w:jc w:val="center"/>
                    <w:rPr>
                      <w:b/>
                      <w:bCs/>
                      <w:kern w:val="0"/>
                    </w:rPr>
                  </w:pPr>
                  <w:r>
                    <w:rPr>
                      <w:rFonts w:hint="eastAsia"/>
                      <w:b/>
                      <w:bCs/>
                      <w:kern w:val="0"/>
                    </w:rPr>
                    <w:t>第</w:t>
                  </w:r>
                  <w:r>
                    <w:rPr>
                      <w:b/>
                      <w:bCs/>
                      <w:kern w:val="0"/>
                    </w:rPr>
                    <w:t>4</w:t>
                  </w:r>
                  <w:r>
                    <w:rPr>
                      <w:rFonts w:hint="eastAsia"/>
                      <w:b/>
                      <w:bCs/>
                      <w:kern w:val="0"/>
                    </w:rPr>
                    <w:t>月</w:t>
                  </w: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1CB7BC6F">
                  <w:pPr>
                    <w:widowControl/>
                    <w:jc w:val="center"/>
                    <w:rPr>
                      <w:b/>
                      <w:bCs/>
                      <w:kern w:val="0"/>
                    </w:rPr>
                  </w:pPr>
                  <w:r>
                    <w:rPr>
                      <w:rFonts w:hint="eastAsia"/>
                      <w:b/>
                      <w:bCs/>
                      <w:kern w:val="0"/>
                    </w:rPr>
                    <w:t>第</w:t>
                  </w:r>
                  <w:r>
                    <w:rPr>
                      <w:b/>
                      <w:bCs/>
                      <w:kern w:val="0"/>
                    </w:rPr>
                    <w:t>5</w:t>
                  </w:r>
                  <w:r>
                    <w:rPr>
                      <w:rFonts w:hint="eastAsia"/>
                      <w:b/>
                      <w:bCs/>
                      <w:kern w:val="0"/>
                    </w:rPr>
                    <w:t>月</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6783AFB6">
                  <w:pPr>
                    <w:widowControl/>
                    <w:jc w:val="center"/>
                    <w:rPr>
                      <w:b/>
                      <w:bCs/>
                      <w:kern w:val="0"/>
                    </w:rPr>
                  </w:pPr>
                  <w:r>
                    <w:rPr>
                      <w:rFonts w:hint="eastAsia"/>
                      <w:b/>
                      <w:bCs/>
                      <w:kern w:val="0"/>
                    </w:rPr>
                    <w:t>第</w:t>
                  </w:r>
                  <w:r>
                    <w:rPr>
                      <w:b/>
                      <w:bCs/>
                      <w:kern w:val="0"/>
                    </w:rPr>
                    <w:t>6</w:t>
                  </w:r>
                  <w:r>
                    <w:rPr>
                      <w:rFonts w:hint="eastAsia"/>
                      <w:b/>
                      <w:bCs/>
                      <w:kern w:val="0"/>
                    </w:rPr>
                    <w:t>月</w:t>
                  </w:r>
                </w:p>
              </w:tc>
            </w:tr>
            <w:tr w14:paraId="0C74D33C">
              <w:tblPrEx>
                <w:tblCellMar>
                  <w:top w:w="0" w:type="dxa"/>
                  <w:left w:w="108" w:type="dxa"/>
                  <w:bottom w:w="0" w:type="dxa"/>
                  <w:right w:w="108" w:type="dxa"/>
                </w:tblCellMar>
              </w:tblPrEx>
              <w:trPr>
                <w:trHeight w:val="283" w:hRule="atLeast"/>
                <w:jc w:val="center"/>
              </w:trPr>
              <w:tc>
                <w:tcPr>
                  <w:tcW w:w="2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97C21">
                  <w:pPr>
                    <w:widowControl/>
                    <w:jc w:val="center"/>
                    <w:rPr>
                      <w:kern w:val="0"/>
                    </w:rPr>
                  </w:pPr>
                  <w:r>
                    <w:rPr>
                      <w:kern w:val="0"/>
                    </w:rPr>
                    <w:t>施工准备</w:t>
                  </w:r>
                </w:p>
              </w:tc>
              <w:tc>
                <w:tcPr>
                  <w:tcW w:w="1002"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405010F8">
                  <w:pPr>
                    <w:widowControl/>
                    <w:jc w:val="center"/>
                    <w:rPr>
                      <w:color w:val="0000FF"/>
                      <w:kern w:val="0"/>
                      <w:highlight w:val="yellow"/>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760FC0AE">
                  <w:pPr>
                    <w:widowControl/>
                    <w:jc w:val="center"/>
                    <w:rPr>
                      <w:kern w:val="0"/>
                    </w:rPr>
                  </w:pPr>
                </w:p>
              </w:tc>
              <w:tc>
                <w:tcPr>
                  <w:tcW w:w="993" w:type="dxa"/>
                  <w:tcBorders>
                    <w:top w:val="single" w:color="000000" w:sz="4" w:space="0"/>
                    <w:left w:val="single" w:color="000000" w:sz="4" w:space="0"/>
                    <w:bottom w:val="single" w:color="000000" w:sz="4" w:space="0"/>
                    <w:right w:val="single" w:color="000000" w:sz="4" w:space="0"/>
                  </w:tcBorders>
                  <w:noWrap/>
                  <w:vAlign w:val="center"/>
                </w:tcPr>
                <w:p w14:paraId="701CD952">
                  <w:pPr>
                    <w:widowControl/>
                    <w:jc w:val="center"/>
                    <w:rPr>
                      <w:kern w:val="0"/>
                    </w:rPr>
                  </w:pPr>
                </w:p>
              </w:tc>
              <w:tc>
                <w:tcPr>
                  <w:tcW w:w="992" w:type="dxa"/>
                  <w:tcBorders>
                    <w:top w:val="single" w:color="000000" w:sz="4" w:space="0"/>
                    <w:left w:val="single" w:color="000000" w:sz="4" w:space="0"/>
                    <w:bottom w:val="single" w:color="000000" w:sz="4" w:space="0"/>
                    <w:right w:val="single" w:color="000000" w:sz="4" w:space="0"/>
                  </w:tcBorders>
                  <w:noWrap/>
                  <w:vAlign w:val="center"/>
                </w:tcPr>
                <w:p w14:paraId="20DD65FB">
                  <w:pPr>
                    <w:widowControl/>
                    <w:jc w:val="center"/>
                    <w:rPr>
                      <w:color w:val="0000FF"/>
                      <w:kern w:val="0"/>
                      <w:highlight w:val="gree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4FCF2C9D">
                  <w:pPr>
                    <w:widowControl/>
                    <w:jc w:val="center"/>
                    <w:rPr>
                      <w:color w:val="0000FF"/>
                      <w:kern w:val="0"/>
                      <w:highlight w:val="green"/>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E34D940">
                  <w:pPr>
                    <w:widowControl/>
                    <w:jc w:val="center"/>
                    <w:rPr>
                      <w:kern w:val="0"/>
                    </w:rPr>
                  </w:pPr>
                </w:p>
              </w:tc>
            </w:tr>
            <w:tr w14:paraId="65A55883">
              <w:trPr>
                <w:trHeight w:val="283" w:hRule="atLeast"/>
                <w:jc w:val="center"/>
              </w:trPr>
              <w:tc>
                <w:tcPr>
                  <w:tcW w:w="2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298F5">
                  <w:pPr>
                    <w:widowControl/>
                    <w:jc w:val="center"/>
                    <w:rPr>
                      <w:kern w:val="0"/>
                    </w:rPr>
                  </w:pPr>
                  <w:r>
                    <w:rPr>
                      <w:kern w:val="0"/>
                    </w:rPr>
                    <w:t>道路工程施工</w:t>
                  </w:r>
                </w:p>
              </w:tc>
              <w:tc>
                <w:tcPr>
                  <w:tcW w:w="1002"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395C8E32">
                  <w:pPr>
                    <w:widowControl/>
                    <w:jc w:val="center"/>
                    <w:rPr>
                      <w:color w:val="0000FF"/>
                      <w:kern w:val="0"/>
                      <w:highlight w:val="yellow"/>
                    </w:rPr>
                  </w:pPr>
                </w:p>
              </w:tc>
              <w:tc>
                <w:tcPr>
                  <w:tcW w:w="840"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1E3C53EA">
                  <w:pPr>
                    <w:widowControl/>
                    <w:jc w:val="center"/>
                    <w:rPr>
                      <w:kern w:val="0"/>
                    </w:rPr>
                  </w:pPr>
                </w:p>
              </w:tc>
              <w:tc>
                <w:tcPr>
                  <w:tcW w:w="993" w:type="dxa"/>
                  <w:tcBorders>
                    <w:top w:val="single" w:color="000000" w:sz="4" w:space="0"/>
                    <w:left w:val="single" w:color="000000" w:sz="4" w:space="0"/>
                    <w:bottom w:val="single" w:color="000000" w:sz="4" w:space="0"/>
                    <w:right w:val="single" w:color="000000" w:sz="4" w:space="0"/>
                  </w:tcBorders>
                  <w:noWrap/>
                  <w:vAlign w:val="center"/>
                </w:tcPr>
                <w:p w14:paraId="03ABFAAA">
                  <w:pPr>
                    <w:widowControl/>
                    <w:jc w:val="center"/>
                    <w:rPr>
                      <w:kern w:val="0"/>
                    </w:rPr>
                  </w:pPr>
                </w:p>
              </w:tc>
              <w:tc>
                <w:tcPr>
                  <w:tcW w:w="992" w:type="dxa"/>
                  <w:tcBorders>
                    <w:top w:val="single" w:color="000000" w:sz="4" w:space="0"/>
                    <w:left w:val="single" w:color="000000" w:sz="4" w:space="0"/>
                    <w:bottom w:val="single" w:color="000000" w:sz="4" w:space="0"/>
                    <w:right w:val="single" w:color="000000" w:sz="4" w:space="0"/>
                  </w:tcBorders>
                  <w:noWrap/>
                  <w:vAlign w:val="center"/>
                </w:tcPr>
                <w:p w14:paraId="08224667">
                  <w:pPr>
                    <w:widowControl/>
                    <w:jc w:val="center"/>
                    <w:rPr>
                      <w:kern w:val="0"/>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63DF4391">
                  <w:pPr>
                    <w:widowControl/>
                    <w:jc w:val="center"/>
                    <w:rPr>
                      <w:kern w:val="0"/>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32C035A6">
                  <w:pPr>
                    <w:widowControl/>
                    <w:jc w:val="center"/>
                    <w:rPr>
                      <w:kern w:val="0"/>
                    </w:rPr>
                  </w:pPr>
                </w:p>
              </w:tc>
            </w:tr>
            <w:tr w14:paraId="357958C2">
              <w:tblPrEx>
                <w:tblCellMar>
                  <w:top w:w="0" w:type="dxa"/>
                  <w:left w:w="108" w:type="dxa"/>
                  <w:bottom w:w="0" w:type="dxa"/>
                  <w:right w:w="108" w:type="dxa"/>
                </w:tblCellMar>
              </w:tblPrEx>
              <w:trPr>
                <w:trHeight w:val="283" w:hRule="atLeast"/>
                <w:jc w:val="center"/>
              </w:trPr>
              <w:tc>
                <w:tcPr>
                  <w:tcW w:w="2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7527">
                  <w:pPr>
                    <w:widowControl/>
                    <w:jc w:val="center"/>
                    <w:rPr>
                      <w:kern w:val="0"/>
                    </w:rPr>
                  </w:pPr>
                  <w:r>
                    <w:rPr>
                      <w:kern w:val="0"/>
                    </w:rPr>
                    <w:t>光伏支架基础施工</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92E86">
                  <w:pPr>
                    <w:widowControl/>
                    <w:jc w:val="center"/>
                    <w:rPr>
                      <w:kern w:val="0"/>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DBBF">
                  <w:pPr>
                    <w:widowControl/>
                    <w:jc w:val="center"/>
                    <w:rPr>
                      <w:kern w:val="0"/>
                    </w:rPr>
                  </w:pPr>
                </w:p>
              </w:tc>
              <w:tc>
                <w:tcPr>
                  <w:tcW w:w="993"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469AE7ED">
                  <w:pPr>
                    <w:widowControl/>
                    <w:jc w:val="center"/>
                    <w:rPr>
                      <w:kern w:val="0"/>
                    </w:rPr>
                  </w:pPr>
                </w:p>
              </w:tc>
              <w:tc>
                <w:tcPr>
                  <w:tcW w:w="992"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2806D00E">
                  <w:pPr>
                    <w:widowControl/>
                    <w:jc w:val="center"/>
                    <w:rPr>
                      <w:kern w:val="0"/>
                    </w:rPr>
                  </w:pPr>
                </w:p>
              </w:tc>
              <w:tc>
                <w:tcPr>
                  <w:tcW w:w="1002"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6AD0227B">
                  <w:pPr>
                    <w:widowControl/>
                    <w:jc w:val="center"/>
                    <w:rPr>
                      <w:kern w:val="0"/>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F848680">
                  <w:pPr>
                    <w:widowControl/>
                    <w:jc w:val="center"/>
                    <w:rPr>
                      <w:kern w:val="0"/>
                    </w:rPr>
                  </w:pPr>
                </w:p>
              </w:tc>
            </w:tr>
            <w:tr w14:paraId="04319AB9">
              <w:trPr>
                <w:trHeight w:val="283" w:hRule="atLeast"/>
                <w:jc w:val="center"/>
              </w:trPr>
              <w:tc>
                <w:tcPr>
                  <w:tcW w:w="2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C5E07">
                  <w:pPr>
                    <w:widowControl/>
                    <w:jc w:val="center"/>
                    <w:rPr>
                      <w:kern w:val="0"/>
                    </w:rPr>
                  </w:pPr>
                  <w:r>
                    <w:rPr>
                      <w:kern w:val="0"/>
                    </w:rPr>
                    <w:t>光伏支架安装</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F5EC">
                  <w:pPr>
                    <w:widowControl/>
                    <w:jc w:val="center"/>
                    <w:rPr>
                      <w:kern w:val="0"/>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391A5">
                  <w:pPr>
                    <w:widowControl/>
                    <w:jc w:val="center"/>
                    <w:rPr>
                      <w:kern w:val="0"/>
                    </w:rPr>
                  </w:pPr>
                </w:p>
              </w:tc>
              <w:tc>
                <w:tcPr>
                  <w:tcW w:w="993"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1BC45111">
                  <w:pPr>
                    <w:widowControl/>
                    <w:jc w:val="center"/>
                    <w:rPr>
                      <w:kern w:val="0"/>
                    </w:rPr>
                  </w:pPr>
                </w:p>
              </w:tc>
              <w:tc>
                <w:tcPr>
                  <w:tcW w:w="992"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28621F37">
                  <w:pPr>
                    <w:widowControl/>
                    <w:jc w:val="center"/>
                    <w:rPr>
                      <w:kern w:val="0"/>
                    </w:rPr>
                  </w:pPr>
                </w:p>
              </w:tc>
              <w:tc>
                <w:tcPr>
                  <w:tcW w:w="1002"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7E950398">
                  <w:pPr>
                    <w:widowControl/>
                    <w:jc w:val="center"/>
                    <w:rPr>
                      <w:kern w:val="0"/>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52ED026E">
                  <w:pPr>
                    <w:widowControl/>
                    <w:jc w:val="center"/>
                    <w:rPr>
                      <w:kern w:val="0"/>
                    </w:rPr>
                  </w:pPr>
                </w:p>
              </w:tc>
            </w:tr>
            <w:tr w14:paraId="669897AB">
              <w:tblPrEx>
                <w:tblCellMar>
                  <w:top w:w="0" w:type="dxa"/>
                  <w:left w:w="108" w:type="dxa"/>
                  <w:bottom w:w="0" w:type="dxa"/>
                  <w:right w:w="108" w:type="dxa"/>
                </w:tblCellMar>
              </w:tblPrEx>
              <w:trPr>
                <w:trHeight w:val="283" w:hRule="atLeast"/>
                <w:jc w:val="center"/>
              </w:trPr>
              <w:tc>
                <w:tcPr>
                  <w:tcW w:w="2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2EB4">
                  <w:pPr>
                    <w:widowControl/>
                    <w:jc w:val="center"/>
                    <w:rPr>
                      <w:kern w:val="0"/>
                    </w:rPr>
                  </w:pPr>
                  <w:r>
                    <w:rPr>
                      <w:kern w:val="0"/>
                    </w:rPr>
                    <w:t>光伏组件安装及调试</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8F611">
                  <w:pPr>
                    <w:widowControl/>
                    <w:jc w:val="center"/>
                    <w:rPr>
                      <w:kern w:val="0"/>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711DF">
                  <w:pPr>
                    <w:widowControl/>
                    <w:jc w:val="center"/>
                    <w:rPr>
                      <w:kern w:val="0"/>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C72D7">
                  <w:pPr>
                    <w:widowControl/>
                    <w:jc w:val="center"/>
                    <w:rPr>
                      <w:kern w:val="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08649">
                  <w:pPr>
                    <w:widowControl/>
                    <w:jc w:val="center"/>
                    <w:rPr>
                      <w:kern w:val="0"/>
                    </w:rPr>
                  </w:pPr>
                </w:p>
              </w:tc>
              <w:tc>
                <w:tcPr>
                  <w:tcW w:w="1002"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3E51AFBB">
                  <w:pPr>
                    <w:widowControl/>
                    <w:jc w:val="center"/>
                    <w:rPr>
                      <w:kern w:val="0"/>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54BD0D41">
                  <w:pPr>
                    <w:widowControl/>
                    <w:jc w:val="center"/>
                    <w:rPr>
                      <w:kern w:val="0"/>
                    </w:rPr>
                  </w:pPr>
                </w:p>
              </w:tc>
            </w:tr>
            <w:tr w14:paraId="719BA2EE">
              <w:tblPrEx>
                <w:tblCellMar>
                  <w:top w:w="0" w:type="dxa"/>
                  <w:left w:w="108" w:type="dxa"/>
                  <w:bottom w:w="0" w:type="dxa"/>
                  <w:right w:w="108" w:type="dxa"/>
                </w:tblCellMar>
              </w:tblPrEx>
              <w:trPr>
                <w:trHeight w:val="283" w:hRule="atLeast"/>
                <w:jc w:val="center"/>
              </w:trPr>
              <w:tc>
                <w:tcPr>
                  <w:tcW w:w="2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2A920">
                  <w:pPr>
                    <w:widowControl/>
                    <w:jc w:val="center"/>
                    <w:rPr>
                      <w:kern w:val="0"/>
                    </w:rPr>
                  </w:pPr>
                  <w:r>
                    <w:rPr>
                      <w:kern w:val="0"/>
                    </w:rPr>
                    <w:t>箱变安装及调试</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B44EE">
                  <w:pPr>
                    <w:widowControl/>
                    <w:jc w:val="center"/>
                    <w:rPr>
                      <w:kern w:val="0"/>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38BDE">
                  <w:pPr>
                    <w:widowControl/>
                    <w:jc w:val="center"/>
                    <w:rPr>
                      <w:kern w:val="0"/>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DE428">
                  <w:pPr>
                    <w:widowControl/>
                    <w:jc w:val="center"/>
                    <w:rPr>
                      <w:kern w:val="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06681">
                  <w:pPr>
                    <w:widowControl/>
                    <w:jc w:val="center"/>
                    <w:rPr>
                      <w:kern w:val="0"/>
                    </w:rPr>
                  </w:pPr>
                </w:p>
              </w:tc>
              <w:tc>
                <w:tcPr>
                  <w:tcW w:w="1002"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1A1A7AAB">
                  <w:pPr>
                    <w:widowControl/>
                    <w:jc w:val="center"/>
                    <w:rPr>
                      <w:kern w:val="0"/>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02328851">
                  <w:pPr>
                    <w:widowControl/>
                    <w:jc w:val="center"/>
                    <w:rPr>
                      <w:kern w:val="0"/>
                    </w:rPr>
                  </w:pPr>
                </w:p>
              </w:tc>
            </w:tr>
            <w:tr w14:paraId="19BC7595">
              <w:tblPrEx>
                <w:tblCellMar>
                  <w:top w:w="0" w:type="dxa"/>
                  <w:left w:w="108" w:type="dxa"/>
                  <w:bottom w:w="0" w:type="dxa"/>
                  <w:right w:w="108" w:type="dxa"/>
                </w:tblCellMar>
              </w:tblPrEx>
              <w:trPr>
                <w:trHeight w:val="283" w:hRule="atLeast"/>
                <w:jc w:val="center"/>
              </w:trPr>
              <w:tc>
                <w:tcPr>
                  <w:tcW w:w="2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77AC6">
                  <w:pPr>
                    <w:widowControl/>
                    <w:jc w:val="center"/>
                    <w:rPr>
                      <w:kern w:val="0"/>
                    </w:rPr>
                  </w:pPr>
                  <w:r>
                    <w:rPr>
                      <w:kern w:val="0"/>
                    </w:rPr>
                    <w:t>集电线路施工</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2EFF8">
                  <w:pPr>
                    <w:widowControl/>
                    <w:jc w:val="center"/>
                    <w:rPr>
                      <w:kern w:val="0"/>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503E4">
                  <w:pPr>
                    <w:widowControl/>
                    <w:jc w:val="center"/>
                    <w:rPr>
                      <w:kern w:val="0"/>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898D">
                  <w:pPr>
                    <w:widowControl/>
                    <w:jc w:val="center"/>
                    <w:rPr>
                      <w:kern w:val="0"/>
                    </w:rPr>
                  </w:pPr>
                </w:p>
              </w:tc>
              <w:tc>
                <w:tcPr>
                  <w:tcW w:w="992"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488A827D">
                  <w:pPr>
                    <w:widowControl/>
                    <w:jc w:val="center"/>
                    <w:rPr>
                      <w:kern w:val="0"/>
                    </w:rPr>
                  </w:pPr>
                </w:p>
              </w:tc>
              <w:tc>
                <w:tcPr>
                  <w:tcW w:w="1002"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1C5F6124">
                  <w:pPr>
                    <w:widowControl/>
                    <w:jc w:val="center"/>
                    <w:rPr>
                      <w:kern w:val="0"/>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757D34C1">
                  <w:pPr>
                    <w:widowControl/>
                    <w:jc w:val="center"/>
                    <w:rPr>
                      <w:kern w:val="0"/>
                    </w:rPr>
                  </w:pPr>
                </w:p>
              </w:tc>
            </w:tr>
            <w:tr w14:paraId="68F3BD36">
              <w:tblPrEx>
                <w:tblCellMar>
                  <w:top w:w="0" w:type="dxa"/>
                  <w:left w:w="108" w:type="dxa"/>
                  <w:bottom w:w="0" w:type="dxa"/>
                  <w:right w:w="108" w:type="dxa"/>
                </w:tblCellMar>
              </w:tblPrEx>
              <w:trPr>
                <w:trHeight w:val="283" w:hRule="atLeast"/>
                <w:jc w:val="center"/>
              </w:trPr>
              <w:tc>
                <w:tcPr>
                  <w:tcW w:w="2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7A186">
                  <w:pPr>
                    <w:widowControl/>
                    <w:jc w:val="center"/>
                    <w:rPr>
                      <w:kern w:val="0"/>
                    </w:rPr>
                  </w:pPr>
                  <w:r>
                    <w:rPr>
                      <w:kern w:val="0"/>
                    </w:rPr>
                    <w:t>升压站土建施工、设备安装</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5DF7C">
                  <w:pPr>
                    <w:widowControl/>
                    <w:jc w:val="center"/>
                    <w:rPr>
                      <w:kern w:val="0"/>
                    </w:rPr>
                  </w:pPr>
                </w:p>
              </w:tc>
              <w:tc>
                <w:tcPr>
                  <w:tcW w:w="840"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635BA4C5">
                  <w:pPr>
                    <w:widowControl/>
                    <w:jc w:val="center"/>
                    <w:rPr>
                      <w:kern w:val="0"/>
                    </w:rPr>
                  </w:pPr>
                </w:p>
              </w:tc>
              <w:tc>
                <w:tcPr>
                  <w:tcW w:w="993"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3508555C">
                  <w:pPr>
                    <w:widowControl/>
                    <w:jc w:val="center"/>
                    <w:rPr>
                      <w:kern w:val="0"/>
                    </w:rPr>
                  </w:pPr>
                </w:p>
              </w:tc>
              <w:tc>
                <w:tcPr>
                  <w:tcW w:w="992"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364DB254">
                  <w:pPr>
                    <w:widowControl/>
                    <w:jc w:val="center"/>
                    <w:rPr>
                      <w:kern w:val="0"/>
                    </w:rPr>
                  </w:pPr>
                </w:p>
              </w:tc>
              <w:tc>
                <w:tcPr>
                  <w:tcW w:w="1002"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5ED78329">
                  <w:pPr>
                    <w:widowControl/>
                    <w:jc w:val="center"/>
                    <w:rPr>
                      <w:kern w:val="0"/>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3F886DDF">
                  <w:pPr>
                    <w:widowControl/>
                    <w:jc w:val="center"/>
                    <w:rPr>
                      <w:kern w:val="0"/>
                    </w:rPr>
                  </w:pPr>
                </w:p>
              </w:tc>
            </w:tr>
            <w:tr w14:paraId="0FC7A0A4">
              <w:tblPrEx>
                <w:tblCellMar>
                  <w:top w:w="0" w:type="dxa"/>
                  <w:left w:w="108" w:type="dxa"/>
                  <w:bottom w:w="0" w:type="dxa"/>
                  <w:right w:w="108" w:type="dxa"/>
                </w:tblCellMar>
              </w:tblPrEx>
              <w:trPr>
                <w:trHeight w:val="283" w:hRule="atLeast"/>
                <w:jc w:val="center"/>
              </w:trPr>
              <w:tc>
                <w:tcPr>
                  <w:tcW w:w="2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75D7D">
                  <w:pPr>
                    <w:widowControl/>
                    <w:jc w:val="center"/>
                    <w:rPr>
                      <w:kern w:val="0"/>
                    </w:rPr>
                  </w:pPr>
                  <w:r>
                    <w:rPr>
                      <w:kern w:val="0"/>
                    </w:rPr>
                    <w:t>竣工验收</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08737">
                  <w:pPr>
                    <w:widowControl/>
                    <w:jc w:val="center"/>
                    <w:rPr>
                      <w:kern w:val="0"/>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CEE8">
                  <w:pPr>
                    <w:widowControl/>
                    <w:jc w:val="center"/>
                    <w:rPr>
                      <w:kern w:val="0"/>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FCD5">
                  <w:pPr>
                    <w:widowControl/>
                    <w:jc w:val="center"/>
                    <w:rPr>
                      <w:kern w:val="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CDB1">
                  <w:pPr>
                    <w:widowControl/>
                    <w:jc w:val="center"/>
                    <w:rPr>
                      <w:kern w:val="0"/>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BE712">
                  <w:pPr>
                    <w:widowControl/>
                    <w:jc w:val="center"/>
                    <w:rPr>
                      <w:kern w:val="0"/>
                    </w:rPr>
                  </w:pPr>
                </w:p>
              </w:tc>
              <w:tc>
                <w:tcPr>
                  <w:tcW w:w="936" w:type="dxa"/>
                  <w:tcBorders>
                    <w:top w:val="single" w:color="000000" w:sz="4" w:space="0"/>
                    <w:left w:val="single" w:color="000000" w:sz="4" w:space="0"/>
                    <w:bottom w:val="single" w:color="000000" w:sz="4" w:space="0"/>
                    <w:right w:val="single" w:color="000000" w:sz="4" w:space="0"/>
                  </w:tcBorders>
                  <w:shd w:val="clear" w:color="auto" w:fill="ACB9CA"/>
                  <w:noWrap/>
                  <w:vAlign w:val="center"/>
                </w:tcPr>
                <w:p w14:paraId="07BF78DC">
                  <w:pPr>
                    <w:widowControl/>
                    <w:jc w:val="center"/>
                    <w:rPr>
                      <w:kern w:val="0"/>
                    </w:rPr>
                  </w:pPr>
                </w:p>
              </w:tc>
            </w:tr>
          </w:tbl>
          <w:p w14:paraId="78BA76E8">
            <w:pPr>
              <w:topLinePunct/>
              <w:autoSpaceDE w:val="0"/>
              <w:autoSpaceDN w:val="0"/>
              <w:spacing w:line="360" w:lineRule="auto"/>
              <w:ind w:firstLine="420" w:firstLineChars="200"/>
              <w:rPr>
                <w:rFonts w:eastAsia="黑体"/>
                <w:kern w:val="0"/>
              </w:rPr>
            </w:pPr>
          </w:p>
        </w:tc>
      </w:tr>
      <w:tr w14:paraId="6BE815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39" w:hRule="atLeast"/>
          <w:jc w:val="center"/>
        </w:trPr>
        <w:tc>
          <w:tcPr>
            <w:tcW w:w="354" w:type="pct"/>
            <w:noWrap/>
            <w:vAlign w:val="center"/>
          </w:tcPr>
          <w:p w14:paraId="23467E06">
            <w:pPr>
              <w:adjustRightInd w:val="0"/>
              <w:snapToGrid w:val="0"/>
              <w:jc w:val="center"/>
              <w:rPr>
                <w:kern w:val="0"/>
                <w:sz w:val="24"/>
              </w:rPr>
            </w:pPr>
            <w:r>
              <w:rPr>
                <w:kern w:val="0"/>
                <w:sz w:val="24"/>
              </w:rPr>
              <w:t>其他</w:t>
            </w:r>
          </w:p>
        </w:tc>
        <w:tc>
          <w:tcPr>
            <w:tcW w:w="4646" w:type="pct"/>
            <w:noWrap/>
          </w:tcPr>
          <w:p w14:paraId="266AB1DD">
            <w:pPr>
              <w:spacing w:line="360" w:lineRule="auto"/>
              <w:ind w:firstLine="482" w:firstLineChars="200"/>
              <w:jc w:val="left"/>
              <w:rPr>
                <w:b/>
                <w:bCs/>
                <w:kern w:val="0"/>
                <w:sz w:val="24"/>
                <w:szCs w:val="24"/>
              </w:rPr>
            </w:pPr>
            <w:r>
              <w:rPr>
                <w:b/>
                <w:bCs/>
                <w:kern w:val="0"/>
                <w:sz w:val="24"/>
                <w:szCs w:val="24"/>
              </w:rPr>
              <w:t>光伏电站退役及拆除方案</w:t>
            </w:r>
          </w:p>
          <w:p w14:paraId="09847163">
            <w:pPr>
              <w:topLinePunct/>
              <w:spacing w:line="360" w:lineRule="auto"/>
              <w:ind w:firstLine="482" w:firstLineChars="200"/>
              <w:rPr>
                <w:b/>
                <w:bCs/>
                <w:sz w:val="24"/>
                <w:szCs w:val="24"/>
              </w:rPr>
            </w:pPr>
            <w:r>
              <w:rPr>
                <w:b/>
                <w:bCs/>
                <w:sz w:val="24"/>
                <w:szCs w:val="24"/>
              </w:rPr>
              <w:t>（1）拆除、清理方案</w:t>
            </w:r>
          </w:p>
          <w:p w14:paraId="5D3C27F9">
            <w:pPr>
              <w:pStyle w:val="16"/>
              <w:spacing w:after="0" w:line="360" w:lineRule="auto"/>
              <w:ind w:left="0" w:leftChars="0" w:firstLine="480" w:firstLineChars="200"/>
              <w:rPr>
                <w:sz w:val="24"/>
                <w:szCs w:val="24"/>
              </w:rPr>
            </w:pPr>
            <w:r>
              <w:rPr>
                <w:sz w:val="24"/>
                <w:szCs w:val="24"/>
              </w:rPr>
              <w:t>电站运行期满后（25年），废电池板由厂家负责回收及再利用。组件支架等钢材由物资再生公司回收。所有的建（构）物及其基础由拆迁公司拆除、清理。电站的地面由电站运营商负责恢复地面植被。</w:t>
            </w:r>
          </w:p>
          <w:p w14:paraId="79A38C8D">
            <w:pPr>
              <w:topLinePunct/>
              <w:spacing w:line="360" w:lineRule="auto"/>
              <w:ind w:firstLine="482" w:firstLineChars="200"/>
              <w:rPr>
                <w:b/>
                <w:bCs/>
                <w:sz w:val="24"/>
                <w:szCs w:val="24"/>
              </w:rPr>
            </w:pPr>
            <w:r>
              <w:rPr>
                <w:b/>
                <w:bCs/>
                <w:sz w:val="24"/>
                <w:szCs w:val="24"/>
              </w:rPr>
              <w:t>（2）承诺</w:t>
            </w:r>
          </w:p>
          <w:p w14:paraId="56BD8E5C">
            <w:pPr>
              <w:pStyle w:val="16"/>
              <w:spacing w:after="0" w:line="360" w:lineRule="auto"/>
              <w:ind w:left="0" w:leftChars="0" w:firstLine="480" w:firstLineChars="200"/>
              <w:rPr>
                <w:sz w:val="24"/>
                <w:szCs w:val="24"/>
              </w:rPr>
            </w:pPr>
            <w:r>
              <w:rPr>
                <w:sz w:val="24"/>
                <w:szCs w:val="24"/>
              </w:rPr>
              <w:t>电站运营方应承诺在运营期或延长期满后一年的时间内，拆除光伏电站的相关设施，并尽可能地恢复建设光伏电站前的地形地貌。</w:t>
            </w:r>
          </w:p>
          <w:p w14:paraId="6305C531">
            <w:pPr>
              <w:pStyle w:val="16"/>
              <w:spacing w:after="0" w:line="360" w:lineRule="auto"/>
              <w:ind w:left="0" w:leftChars="0" w:firstLine="480" w:firstLineChars="200"/>
              <w:rPr>
                <w:sz w:val="24"/>
                <w:szCs w:val="24"/>
              </w:rPr>
            </w:pPr>
            <w:r>
              <w:rPr>
                <w:sz w:val="24"/>
                <w:szCs w:val="24"/>
              </w:rPr>
              <w:t>电站运营方在运营期或延长期结束后</w:t>
            </w:r>
            <w:r>
              <w:rPr>
                <w:rFonts w:hint="eastAsia"/>
                <w:sz w:val="24"/>
                <w:szCs w:val="24"/>
              </w:rPr>
              <w:t>，将</w:t>
            </w:r>
            <w:r>
              <w:rPr>
                <w:sz w:val="24"/>
                <w:szCs w:val="24"/>
              </w:rPr>
              <w:t>全部光伏发电组件、箱变及其他建构筑物无偿拆除并运出光伏电站，并在规定时间内使光伏发电组件和箱式升压站基础处的地面基本恢复原貌。</w:t>
            </w:r>
          </w:p>
          <w:p w14:paraId="47EC262B">
            <w:pPr>
              <w:pStyle w:val="16"/>
              <w:spacing w:after="0" w:line="360" w:lineRule="auto"/>
              <w:ind w:left="0" w:leftChars="0" w:firstLine="480" w:firstLineChars="200"/>
              <w:rPr>
                <w:sz w:val="24"/>
                <w:szCs w:val="24"/>
              </w:rPr>
            </w:pPr>
            <w:r>
              <w:rPr>
                <w:sz w:val="24"/>
                <w:szCs w:val="24"/>
              </w:rPr>
              <w:t>与拆除有关的全部费用均由电站运营方承担，并承担拆除结束前光伏电站的全部或部分损失或损坏的风险。</w:t>
            </w:r>
          </w:p>
          <w:p w14:paraId="4F6BBF0D">
            <w:pPr>
              <w:topLinePunct/>
              <w:spacing w:line="360" w:lineRule="auto"/>
              <w:ind w:firstLine="482" w:firstLineChars="200"/>
              <w:rPr>
                <w:b/>
                <w:bCs/>
                <w:sz w:val="24"/>
                <w:szCs w:val="24"/>
              </w:rPr>
            </w:pPr>
            <w:r>
              <w:rPr>
                <w:b/>
                <w:bCs/>
                <w:sz w:val="24"/>
                <w:szCs w:val="24"/>
              </w:rPr>
              <w:t>（3）拆除方案</w:t>
            </w:r>
          </w:p>
          <w:p w14:paraId="60B9E38D">
            <w:pPr>
              <w:pStyle w:val="16"/>
              <w:spacing w:after="0" w:line="360" w:lineRule="auto"/>
              <w:ind w:left="0" w:leftChars="0" w:firstLine="480" w:firstLineChars="200"/>
              <w:rPr>
                <w:sz w:val="24"/>
                <w:szCs w:val="24"/>
              </w:rPr>
            </w:pPr>
            <w:r>
              <w:rPr>
                <w:sz w:val="24"/>
                <w:szCs w:val="24"/>
              </w:rPr>
              <w:t>在运营期满后，运营方不迟于运营期或延长期结束六个月前，向省发展和改革委员会汇报、商定详细的拆除方案及拆除程序。初步可采用以下两种拆除方案：</w:t>
            </w:r>
          </w:p>
          <w:p w14:paraId="380C2B95">
            <w:pPr>
              <w:pStyle w:val="16"/>
              <w:spacing w:after="0" w:line="360" w:lineRule="auto"/>
              <w:ind w:left="0" w:leftChars="0" w:firstLine="480" w:firstLineChars="200"/>
              <w:rPr>
                <w:sz w:val="24"/>
                <w:szCs w:val="24"/>
              </w:rPr>
            </w:pPr>
            <w:r>
              <w:rPr>
                <w:sz w:val="24"/>
                <w:szCs w:val="24"/>
              </w:rPr>
              <w:t>1</w:t>
            </w:r>
            <w:r>
              <w:rPr>
                <w:rFonts w:hint="eastAsia"/>
                <w:sz w:val="24"/>
                <w:szCs w:val="24"/>
              </w:rPr>
              <w:t>）</w:t>
            </w:r>
            <w:r>
              <w:rPr>
                <w:sz w:val="24"/>
                <w:szCs w:val="24"/>
              </w:rPr>
              <w:t>部分拆除方案</w:t>
            </w:r>
          </w:p>
          <w:p w14:paraId="7F9CF17D">
            <w:pPr>
              <w:pStyle w:val="16"/>
              <w:spacing w:after="0" w:line="360" w:lineRule="auto"/>
              <w:ind w:left="0" w:leftChars="0" w:firstLine="480" w:firstLineChars="200"/>
              <w:rPr>
                <w:sz w:val="24"/>
                <w:szCs w:val="24"/>
              </w:rPr>
            </w:pPr>
            <w:r>
              <w:rPr>
                <w:sz w:val="24"/>
                <w:szCs w:val="24"/>
              </w:rPr>
              <w:t>除提供给地方政府或省电力公司无偿使用的设施外，其他设施由项目公司组织拆除，在规定的时间内按要求尽量恢复原地貌。</w:t>
            </w:r>
          </w:p>
          <w:p w14:paraId="0036DA5F">
            <w:pPr>
              <w:pStyle w:val="16"/>
              <w:spacing w:after="0" w:line="360" w:lineRule="auto"/>
              <w:ind w:left="0" w:leftChars="0" w:firstLine="480" w:firstLineChars="200"/>
              <w:rPr>
                <w:sz w:val="24"/>
                <w:szCs w:val="24"/>
              </w:rPr>
            </w:pPr>
            <w:r>
              <w:rPr>
                <w:sz w:val="24"/>
                <w:szCs w:val="24"/>
              </w:rPr>
              <w:t>2</w:t>
            </w:r>
            <w:r>
              <w:rPr>
                <w:rFonts w:hint="eastAsia"/>
                <w:sz w:val="24"/>
                <w:szCs w:val="24"/>
              </w:rPr>
              <w:t>）</w:t>
            </w:r>
            <w:r>
              <w:rPr>
                <w:sz w:val="24"/>
                <w:szCs w:val="24"/>
              </w:rPr>
              <w:t>全部拆除方案</w:t>
            </w:r>
          </w:p>
          <w:p w14:paraId="7856DA30">
            <w:pPr>
              <w:pStyle w:val="16"/>
              <w:spacing w:after="0" w:line="360" w:lineRule="auto"/>
              <w:ind w:left="0" w:leftChars="0" w:firstLine="480" w:firstLineChars="200"/>
              <w:rPr>
                <w:sz w:val="24"/>
                <w:szCs w:val="24"/>
              </w:rPr>
            </w:pPr>
            <w:r>
              <w:rPr>
                <w:sz w:val="24"/>
                <w:szCs w:val="24"/>
              </w:rPr>
              <w:t>在确定光伏电站无利用价值后，除可利用的设施外，其余采用破坏性拆除，拆除物经过清理后运输到指定的废弃物场地。拆除的全过程严格执行各项安全规程、规定和国家及地方各级环保部门的相关规定。</w:t>
            </w:r>
          </w:p>
          <w:p w14:paraId="6AE554C6">
            <w:pPr>
              <w:topLinePunct/>
              <w:spacing w:line="360" w:lineRule="auto"/>
              <w:ind w:firstLine="482" w:firstLineChars="200"/>
              <w:rPr>
                <w:b/>
                <w:bCs/>
                <w:sz w:val="24"/>
                <w:szCs w:val="24"/>
              </w:rPr>
            </w:pPr>
            <w:r>
              <w:rPr>
                <w:b/>
                <w:bCs/>
                <w:sz w:val="24"/>
                <w:szCs w:val="24"/>
              </w:rPr>
              <w:t>（4）拆除流程</w:t>
            </w:r>
          </w:p>
          <w:p w14:paraId="5B201C3A">
            <w:pPr>
              <w:pStyle w:val="16"/>
              <w:spacing w:after="0" w:line="360" w:lineRule="auto"/>
              <w:ind w:left="0" w:leftChars="0" w:firstLine="480" w:firstLineChars="200"/>
              <w:rPr>
                <w:sz w:val="24"/>
                <w:szCs w:val="24"/>
              </w:rPr>
            </w:pPr>
            <w:r>
              <w:rPr>
                <w:sz w:val="24"/>
                <w:szCs w:val="24"/>
              </w:rPr>
              <w:t>1</w:t>
            </w:r>
            <w:r>
              <w:rPr>
                <w:rFonts w:hint="eastAsia"/>
                <w:sz w:val="24"/>
                <w:szCs w:val="24"/>
              </w:rPr>
              <w:t>）</w:t>
            </w:r>
            <w:r>
              <w:rPr>
                <w:sz w:val="24"/>
                <w:szCs w:val="24"/>
              </w:rPr>
              <w:t>光伏组件的拆除</w:t>
            </w:r>
          </w:p>
          <w:p w14:paraId="1B9F0ED4">
            <w:pPr>
              <w:pStyle w:val="16"/>
              <w:spacing w:after="0" w:line="360" w:lineRule="auto"/>
              <w:ind w:left="0" w:leftChars="0" w:firstLine="480" w:firstLineChars="200"/>
              <w:rPr>
                <w:sz w:val="24"/>
                <w:szCs w:val="24"/>
              </w:rPr>
            </w:pPr>
            <w:r>
              <w:rPr>
                <w:sz w:val="24"/>
                <w:szCs w:val="24"/>
              </w:rPr>
              <w:t>拆除光伏组件之间的电气连接，注意拆除前要进行放电→拆除光伏组件→拆除组件支撑架→拆除组件电气设备→拆除组件支撑架→清理平整场地。</w:t>
            </w:r>
          </w:p>
          <w:p w14:paraId="46AC890E">
            <w:pPr>
              <w:pStyle w:val="16"/>
              <w:spacing w:after="0" w:line="360" w:lineRule="auto"/>
              <w:ind w:left="0" w:leftChars="0" w:firstLine="480" w:firstLineChars="200"/>
              <w:rPr>
                <w:sz w:val="24"/>
                <w:szCs w:val="24"/>
              </w:rPr>
            </w:pPr>
            <w:r>
              <w:rPr>
                <w:sz w:val="24"/>
                <w:szCs w:val="24"/>
              </w:rPr>
              <w:t>2</w:t>
            </w:r>
            <w:r>
              <w:rPr>
                <w:rFonts w:hint="eastAsia"/>
                <w:sz w:val="24"/>
                <w:szCs w:val="24"/>
              </w:rPr>
              <w:t>）</w:t>
            </w:r>
            <w:r>
              <w:rPr>
                <w:sz w:val="24"/>
                <w:szCs w:val="24"/>
              </w:rPr>
              <w:t>直埋电力电缆的拆除</w:t>
            </w:r>
          </w:p>
          <w:p w14:paraId="245CD871">
            <w:pPr>
              <w:pStyle w:val="16"/>
              <w:spacing w:after="0" w:line="360" w:lineRule="auto"/>
              <w:ind w:left="0" w:leftChars="0" w:firstLine="480" w:firstLineChars="200"/>
              <w:rPr>
                <w:sz w:val="24"/>
                <w:szCs w:val="24"/>
              </w:rPr>
            </w:pPr>
            <w:r>
              <w:rPr>
                <w:sz w:val="24"/>
                <w:szCs w:val="24"/>
              </w:rPr>
              <w:t>断开电力电缆与电站地面控制柜、箱式变、接地的连接→采用人工或机械将电缆挖出→做电缆沟地面处理。</w:t>
            </w:r>
          </w:p>
          <w:p w14:paraId="7C76CE40">
            <w:pPr>
              <w:pStyle w:val="16"/>
              <w:spacing w:after="0" w:line="360" w:lineRule="auto"/>
              <w:ind w:left="0" w:leftChars="0" w:firstLine="480" w:firstLineChars="200"/>
              <w:rPr>
                <w:sz w:val="24"/>
                <w:szCs w:val="24"/>
              </w:rPr>
            </w:pPr>
            <w:r>
              <w:rPr>
                <w:sz w:val="24"/>
                <w:szCs w:val="24"/>
              </w:rPr>
              <w:t>3</w:t>
            </w:r>
            <w:r>
              <w:rPr>
                <w:rFonts w:hint="eastAsia"/>
                <w:sz w:val="24"/>
                <w:szCs w:val="24"/>
              </w:rPr>
              <w:t>）</w:t>
            </w:r>
            <w:r>
              <w:rPr>
                <w:sz w:val="24"/>
                <w:szCs w:val="24"/>
              </w:rPr>
              <w:t>箱变逆变设备的拆除</w:t>
            </w:r>
          </w:p>
          <w:p w14:paraId="172A3DDF">
            <w:pPr>
              <w:pStyle w:val="16"/>
              <w:spacing w:after="0" w:line="360" w:lineRule="auto"/>
              <w:ind w:left="0" w:leftChars="0" w:firstLine="480" w:firstLineChars="200"/>
              <w:rPr>
                <w:sz w:val="24"/>
                <w:szCs w:val="24"/>
              </w:rPr>
            </w:pPr>
            <w:r>
              <w:rPr>
                <w:sz w:val="24"/>
                <w:szCs w:val="24"/>
              </w:rPr>
              <w:t>拆除箱变、逆变等设备；拆除基础等构筑物。局部平整区场地至规定要求。</w:t>
            </w:r>
          </w:p>
          <w:p w14:paraId="32413D04">
            <w:pPr>
              <w:topLinePunct/>
              <w:spacing w:line="360" w:lineRule="auto"/>
              <w:ind w:firstLine="482" w:firstLineChars="200"/>
              <w:rPr>
                <w:b/>
                <w:bCs/>
                <w:sz w:val="24"/>
                <w:szCs w:val="24"/>
              </w:rPr>
            </w:pPr>
            <w:r>
              <w:rPr>
                <w:b/>
                <w:bCs/>
                <w:sz w:val="24"/>
                <w:szCs w:val="24"/>
              </w:rPr>
              <w:t>（5）环保要求</w:t>
            </w:r>
          </w:p>
          <w:p w14:paraId="5AE9C717">
            <w:pPr>
              <w:pStyle w:val="16"/>
              <w:spacing w:after="0" w:line="360" w:lineRule="auto"/>
              <w:ind w:left="0" w:leftChars="0" w:firstLine="480" w:firstLineChars="200"/>
              <w:rPr>
                <w:sz w:val="24"/>
                <w:szCs w:val="24"/>
              </w:rPr>
            </w:pPr>
            <w:r>
              <w:rPr>
                <w:sz w:val="24"/>
                <w:szCs w:val="24"/>
              </w:rPr>
              <w:t>针对拆除工程施工可能产生的各种不利因素和施工区内环境特征、环境影响范围和程度，提出以下环境影响控制措施：</w:t>
            </w:r>
          </w:p>
          <w:p w14:paraId="3E80C5ED">
            <w:pPr>
              <w:pStyle w:val="16"/>
              <w:spacing w:after="0" w:line="360" w:lineRule="auto"/>
              <w:ind w:left="0" w:leftChars="0" w:firstLine="480" w:firstLineChars="200"/>
              <w:rPr>
                <w:sz w:val="24"/>
                <w:szCs w:val="24"/>
              </w:rPr>
            </w:pPr>
            <w:r>
              <w:rPr>
                <w:sz w:val="24"/>
                <w:szCs w:val="24"/>
              </w:rPr>
              <w:t>1</w:t>
            </w:r>
            <w:r>
              <w:rPr>
                <w:rFonts w:hint="eastAsia"/>
                <w:sz w:val="24"/>
                <w:szCs w:val="24"/>
              </w:rPr>
              <w:t>）</w:t>
            </w:r>
            <w:r>
              <w:rPr>
                <w:sz w:val="24"/>
                <w:szCs w:val="24"/>
              </w:rPr>
              <w:t>拆除过程中，应科学设计，严格管理。按照国家各项施工规范和条例进行施工，并教育施工人员明确施工注意事项，文明施工，保证拆除施工质量，按期竣工验收。</w:t>
            </w:r>
          </w:p>
          <w:p w14:paraId="6B507088">
            <w:pPr>
              <w:pStyle w:val="16"/>
              <w:spacing w:after="0" w:line="360" w:lineRule="auto"/>
              <w:ind w:left="0" w:leftChars="0" w:firstLine="480" w:firstLineChars="200"/>
              <w:rPr>
                <w:sz w:val="24"/>
                <w:szCs w:val="24"/>
              </w:rPr>
            </w:pPr>
            <w:r>
              <w:rPr>
                <w:sz w:val="24"/>
                <w:szCs w:val="24"/>
              </w:rPr>
              <w:t>2</w:t>
            </w:r>
            <w:r>
              <w:rPr>
                <w:rFonts w:hint="eastAsia"/>
                <w:sz w:val="24"/>
                <w:szCs w:val="24"/>
              </w:rPr>
              <w:t>）</w:t>
            </w:r>
            <w:r>
              <w:rPr>
                <w:sz w:val="24"/>
                <w:szCs w:val="24"/>
              </w:rPr>
              <w:t>拆除施工时，应尽量做到土石方平衡，粉状材料运输及堆存须加盖防尘布和选择不易流失的地点堆存，或设置简易堆棚，定点存放。</w:t>
            </w:r>
          </w:p>
          <w:p w14:paraId="12025452">
            <w:pPr>
              <w:pStyle w:val="16"/>
              <w:spacing w:after="0" w:line="360" w:lineRule="auto"/>
              <w:ind w:left="0" w:leftChars="0" w:firstLine="480" w:firstLineChars="200"/>
              <w:rPr>
                <w:sz w:val="24"/>
                <w:szCs w:val="24"/>
              </w:rPr>
            </w:pPr>
            <w:r>
              <w:rPr>
                <w:sz w:val="24"/>
                <w:szCs w:val="24"/>
              </w:rPr>
              <w:t>3</w:t>
            </w:r>
            <w:r>
              <w:rPr>
                <w:rFonts w:hint="eastAsia"/>
                <w:sz w:val="24"/>
                <w:szCs w:val="24"/>
              </w:rPr>
              <w:t>）</w:t>
            </w:r>
            <w:r>
              <w:rPr>
                <w:sz w:val="24"/>
                <w:szCs w:val="24"/>
              </w:rPr>
              <w:t>施工中应分区合理施工，快速开挖，及时填埋夯实，并恢复地表。生活垃圾、粪便、弃土渣必须及时清运至当地环保部门指定场地处置，避免由此而产生的区域生态及区域卫生问题。</w:t>
            </w:r>
          </w:p>
          <w:p w14:paraId="104FBCEB">
            <w:pPr>
              <w:pStyle w:val="16"/>
              <w:spacing w:after="0" w:line="360" w:lineRule="auto"/>
              <w:ind w:left="0" w:leftChars="0" w:firstLine="480" w:firstLineChars="200"/>
              <w:rPr>
                <w:sz w:val="24"/>
                <w:szCs w:val="24"/>
              </w:rPr>
            </w:pPr>
            <w:r>
              <w:rPr>
                <w:sz w:val="24"/>
                <w:szCs w:val="24"/>
              </w:rPr>
              <w:t>4</w:t>
            </w:r>
            <w:r>
              <w:rPr>
                <w:rFonts w:hint="eastAsia"/>
                <w:sz w:val="24"/>
                <w:szCs w:val="24"/>
              </w:rPr>
              <w:t>）</w:t>
            </w:r>
            <w:r>
              <w:rPr>
                <w:sz w:val="24"/>
                <w:szCs w:val="24"/>
              </w:rPr>
              <w:t>施工噪声是一种短期行为，应合理安排施工时间，尽量缩短夜间施工，并禁止车辆及施工机械高音喇叭鸣叫，尽可能降低声环境影响。</w:t>
            </w:r>
          </w:p>
          <w:p w14:paraId="51156F26">
            <w:pPr>
              <w:pStyle w:val="16"/>
              <w:spacing w:after="0" w:line="360" w:lineRule="auto"/>
              <w:ind w:left="0" w:leftChars="0" w:firstLine="480" w:firstLineChars="200"/>
              <w:rPr>
                <w:sz w:val="24"/>
                <w:szCs w:val="24"/>
              </w:rPr>
            </w:pPr>
            <w:r>
              <w:rPr>
                <w:sz w:val="24"/>
                <w:szCs w:val="24"/>
              </w:rPr>
              <w:t>5</w:t>
            </w:r>
            <w:r>
              <w:rPr>
                <w:rFonts w:hint="eastAsia"/>
                <w:sz w:val="24"/>
                <w:szCs w:val="24"/>
              </w:rPr>
              <w:t>）</w:t>
            </w:r>
            <w:r>
              <w:rPr>
                <w:sz w:val="24"/>
                <w:szCs w:val="24"/>
              </w:rPr>
              <w:t>施工时，由于当地天气干燥多风，且风速大，对施工作业面应适时洒水，增加湿度，抑制扬尘飘移。另外，施工时要避开大风、尘暴等不利气象条件，尽量降低或避免对局地的扬尘污染。</w:t>
            </w:r>
          </w:p>
          <w:p w14:paraId="6BBD93C3">
            <w:pPr>
              <w:pStyle w:val="16"/>
              <w:spacing w:after="0" w:line="360" w:lineRule="auto"/>
              <w:ind w:left="0" w:leftChars="0" w:firstLine="480" w:firstLineChars="200"/>
              <w:rPr>
                <w:sz w:val="24"/>
                <w:szCs w:val="24"/>
              </w:rPr>
            </w:pPr>
            <w:r>
              <w:rPr>
                <w:sz w:val="24"/>
                <w:szCs w:val="24"/>
              </w:rPr>
              <w:t>拆除施工期虽可能对环境空气、声环境及社会环境造成不同程度的影响，但由于其拆除过程为一短期行为，不具有累积效应，所以工程建设对环境的影响呈现为暂时和局部的影响，在施工中加强管理，提高施工作业队伍的环境保护意识和作业水平，认真落实各项环保措施，严格拆除施工方案进行施工，确保工程进度，按期竣工，则不会对项目区域造成大的影响。</w:t>
            </w:r>
          </w:p>
          <w:p w14:paraId="62562AFC">
            <w:pPr>
              <w:topLinePunct/>
              <w:spacing w:line="360" w:lineRule="auto"/>
              <w:ind w:firstLine="482" w:firstLineChars="200"/>
              <w:rPr>
                <w:b/>
                <w:bCs/>
                <w:sz w:val="24"/>
                <w:szCs w:val="24"/>
              </w:rPr>
            </w:pPr>
            <w:r>
              <w:rPr>
                <w:b/>
                <w:bCs/>
                <w:sz w:val="24"/>
                <w:szCs w:val="24"/>
              </w:rPr>
              <w:t>（6）生态恢复</w:t>
            </w:r>
          </w:p>
          <w:p w14:paraId="63061B39">
            <w:pPr>
              <w:pStyle w:val="16"/>
              <w:spacing w:after="0" w:line="360" w:lineRule="auto"/>
              <w:ind w:left="0" w:leftChars="0" w:firstLine="480" w:firstLineChars="200"/>
              <w:rPr>
                <w:sz w:val="24"/>
                <w:szCs w:val="24"/>
              </w:rPr>
            </w:pPr>
            <w:r>
              <w:rPr>
                <w:sz w:val="24"/>
                <w:szCs w:val="24"/>
              </w:rPr>
              <w:t>为全面消除光伏设施对场地生态的长期影响，促进土地资源可持续利用，特制定本生态恢复方案，旨在系统性地将项目区域恢复至与周边自然生态系统相协调的状态。</w:t>
            </w:r>
          </w:p>
          <w:p w14:paraId="3AEA84AD">
            <w:pPr>
              <w:pStyle w:val="16"/>
              <w:spacing w:after="0" w:line="360" w:lineRule="auto"/>
              <w:ind w:left="0" w:leftChars="0" w:firstLine="480" w:firstLineChars="200"/>
              <w:rPr>
                <w:sz w:val="24"/>
                <w:szCs w:val="24"/>
              </w:rPr>
            </w:pPr>
            <w:r>
              <w:rPr>
                <w:sz w:val="24"/>
                <w:szCs w:val="24"/>
              </w:rPr>
              <w:t>1）拆除与场地清理阶段</w:t>
            </w:r>
          </w:p>
          <w:p w14:paraId="58281449">
            <w:pPr>
              <w:pStyle w:val="16"/>
              <w:spacing w:after="0" w:line="360" w:lineRule="auto"/>
              <w:ind w:left="0" w:leftChars="0" w:firstLine="480" w:firstLineChars="200"/>
              <w:rPr>
                <w:sz w:val="24"/>
                <w:szCs w:val="24"/>
              </w:rPr>
            </w:pPr>
            <w:r>
              <w:rPr>
                <w:sz w:val="24"/>
                <w:szCs w:val="24"/>
              </w:rPr>
              <w:t>①设施拆除与清运：有序拆除光伏组件、支架、电缆、变压器等所有地上设施，并对废弃物进行分类（可回收、一般固废、危废），依法合规清运处置，确保无残留污染。</w:t>
            </w:r>
          </w:p>
          <w:p w14:paraId="61AB6183">
            <w:pPr>
              <w:pStyle w:val="16"/>
              <w:spacing w:after="0" w:line="360" w:lineRule="auto"/>
              <w:ind w:left="0" w:leftChars="0" w:firstLine="480" w:firstLineChars="200"/>
              <w:rPr>
                <w:sz w:val="24"/>
                <w:szCs w:val="24"/>
              </w:rPr>
            </w:pPr>
            <w:r>
              <w:rPr>
                <w:sz w:val="24"/>
                <w:szCs w:val="24"/>
              </w:rPr>
              <w:t>②基础处理：对混凝土桩基、基础进行破碎、挖除，建筑垃圾外运至指定消纳场。对于埋深较浅的独立基础，可考虑破碎后就地掩埋于非耕作层下方，但需进行评估。</w:t>
            </w:r>
          </w:p>
          <w:p w14:paraId="28AA1A10">
            <w:pPr>
              <w:pStyle w:val="16"/>
              <w:spacing w:after="0" w:line="360" w:lineRule="auto"/>
              <w:ind w:left="0" w:leftChars="0" w:firstLine="480" w:firstLineChars="200"/>
              <w:rPr>
                <w:sz w:val="24"/>
                <w:szCs w:val="24"/>
              </w:rPr>
            </w:pPr>
            <w:r>
              <w:rPr>
                <w:sz w:val="24"/>
                <w:szCs w:val="24"/>
              </w:rPr>
              <w:t>③场地平整：清理地表碎石杂物，对因施工和基础拆除造成的坑洼、沟壑进行平整，消除安全隐患，为复绿创造条件。</w:t>
            </w:r>
          </w:p>
          <w:p w14:paraId="6A681823">
            <w:pPr>
              <w:pStyle w:val="16"/>
              <w:spacing w:after="0" w:line="360" w:lineRule="auto"/>
              <w:ind w:left="0" w:leftChars="0" w:firstLine="480" w:firstLineChars="200"/>
              <w:rPr>
                <w:sz w:val="24"/>
                <w:szCs w:val="24"/>
              </w:rPr>
            </w:pPr>
            <w:r>
              <w:rPr>
                <w:sz w:val="24"/>
                <w:szCs w:val="24"/>
              </w:rPr>
              <w:t>2）土壤改良与植被重建阶段</w:t>
            </w:r>
          </w:p>
          <w:p w14:paraId="554DB15B">
            <w:pPr>
              <w:pStyle w:val="16"/>
              <w:spacing w:after="0" w:line="360" w:lineRule="auto"/>
              <w:ind w:left="0" w:leftChars="0" w:firstLine="480" w:firstLineChars="200"/>
              <w:rPr>
                <w:sz w:val="24"/>
                <w:szCs w:val="24"/>
              </w:rPr>
            </w:pPr>
            <w:r>
              <w:rPr>
                <w:sz w:val="24"/>
                <w:szCs w:val="24"/>
              </w:rPr>
              <w:t>①土壤检测与改良：对场地土壤进行取样检测，分析其肥力、压实度、pH值及可能的污染物。根据结果，通过深翻松土、施加有机肥或客土等方式改善土壤结构，恢复地力。</w:t>
            </w:r>
          </w:p>
          <w:p w14:paraId="7DAC2072">
            <w:pPr>
              <w:pStyle w:val="16"/>
              <w:spacing w:after="0" w:line="360" w:lineRule="auto"/>
              <w:ind w:left="0" w:leftChars="0" w:firstLine="480" w:firstLineChars="200"/>
              <w:rPr>
                <w:sz w:val="24"/>
                <w:szCs w:val="24"/>
              </w:rPr>
            </w:pPr>
            <w:r>
              <w:rPr>
                <w:sz w:val="24"/>
                <w:szCs w:val="24"/>
              </w:rPr>
              <w:t>②植被物种选择：遵循</w:t>
            </w:r>
            <w:r>
              <w:rPr>
                <w:rFonts w:hint="eastAsia"/>
                <w:sz w:val="24"/>
                <w:szCs w:val="24"/>
              </w:rPr>
              <w:t>“</w:t>
            </w:r>
            <w:r>
              <w:rPr>
                <w:sz w:val="24"/>
                <w:szCs w:val="24"/>
              </w:rPr>
              <w:t>乡土化、多样化、适应性</w:t>
            </w:r>
            <w:r>
              <w:rPr>
                <w:rFonts w:hint="eastAsia"/>
                <w:sz w:val="24"/>
                <w:szCs w:val="24"/>
              </w:rPr>
              <w:t>”</w:t>
            </w:r>
            <w:r>
              <w:rPr>
                <w:sz w:val="24"/>
                <w:szCs w:val="24"/>
              </w:rPr>
              <w:t>原则，优先选择本地原生、耐贫瘠、抗逆性强、根系发达的草本及灌丛植物进行混合配置，以加速生态演替，避免物种入侵。</w:t>
            </w:r>
          </w:p>
          <w:p w14:paraId="042E05D9">
            <w:pPr>
              <w:pStyle w:val="16"/>
              <w:spacing w:after="0" w:line="360" w:lineRule="auto"/>
              <w:ind w:left="0" w:leftChars="0" w:firstLine="480" w:firstLineChars="200"/>
              <w:rPr>
                <w:sz w:val="24"/>
                <w:szCs w:val="24"/>
              </w:rPr>
            </w:pPr>
            <w:r>
              <w:rPr>
                <w:sz w:val="24"/>
                <w:szCs w:val="24"/>
              </w:rPr>
              <w:t>③植被恢复实施：根据立地条件，采用播种、植草、栽植灌木幼苗或铺设植生毯等多种方式进行植被重建。在坡度较大或水土易流失区域，可增设生态挡墙、植生格栅等水土保持措施。</w:t>
            </w:r>
          </w:p>
          <w:p w14:paraId="0B407C6E">
            <w:pPr>
              <w:pStyle w:val="16"/>
              <w:spacing w:after="0" w:line="360" w:lineRule="auto"/>
              <w:ind w:left="0" w:leftChars="0" w:firstLine="480" w:firstLineChars="200"/>
              <w:rPr>
                <w:sz w:val="24"/>
                <w:szCs w:val="24"/>
              </w:rPr>
            </w:pPr>
            <w:r>
              <w:rPr>
                <w:sz w:val="24"/>
                <w:szCs w:val="24"/>
              </w:rPr>
              <w:t>3）后期管护与监测阶段</w:t>
            </w:r>
          </w:p>
          <w:p w14:paraId="73E76446">
            <w:pPr>
              <w:pStyle w:val="16"/>
              <w:spacing w:after="0" w:line="360" w:lineRule="auto"/>
              <w:ind w:left="0" w:leftChars="0" w:firstLine="480" w:firstLineChars="200"/>
              <w:rPr>
                <w:sz w:val="24"/>
                <w:szCs w:val="24"/>
              </w:rPr>
            </w:pPr>
            <w:r>
              <w:rPr>
                <w:sz w:val="24"/>
                <w:szCs w:val="24"/>
              </w:rPr>
              <w:t>①初期管护：恢复后1</w:t>
            </w:r>
            <w:r>
              <w:rPr>
                <w:rFonts w:hint="eastAsia"/>
                <w:sz w:val="24"/>
                <w:szCs w:val="24"/>
              </w:rPr>
              <w:t>-</w:t>
            </w:r>
            <w:r>
              <w:rPr>
                <w:sz w:val="24"/>
                <w:szCs w:val="24"/>
              </w:rPr>
              <w:t>3年为关键管护期，需进行定期灌溉、补播补种、防治病虫害及清除恶性杂草，确保植被成活与稳定生长。</w:t>
            </w:r>
          </w:p>
          <w:p w14:paraId="13C845A2">
            <w:pPr>
              <w:pStyle w:val="16"/>
              <w:spacing w:after="0" w:line="360" w:lineRule="auto"/>
              <w:ind w:left="0" w:leftChars="0" w:firstLine="480" w:firstLineChars="200"/>
              <w:rPr>
                <w:sz w:val="24"/>
                <w:szCs w:val="24"/>
              </w:rPr>
            </w:pPr>
            <w:r>
              <w:rPr>
                <w:rFonts w:hint="eastAsia"/>
                <w:sz w:val="24"/>
                <w:szCs w:val="24"/>
              </w:rPr>
              <w:t>②</w:t>
            </w:r>
            <w:r>
              <w:rPr>
                <w:sz w:val="24"/>
                <w:szCs w:val="24"/>
              </w:rPr>
              <w:t>目标与移交：生态恢复的长期目标是形成稳定、自我维持、与周边景观融合的植物群落，有效防止水土流失。达到预定恢复目标并稳定后，可将场地移交相关方进行可持续管理。</w:t>
            </w:r>
          </w:p>
          <w:p w14:paraId="5739B68A">
            <w:pPr>
              <w:topLinePunct/>
              <w:spacing w:line="360" w:lineRule="auto"/>
              <w:ind w:firstLine="480" w:firstLineChars="200"/>
            </w:pPr>
            <w:r>
              <w:rPr>
                <w:sz w:val="24"/>
                <w:szCs w:val="24"/>
              </w:rPr>
              <w:t>本方案将严格遵循国家及地方生态环境保护法规，确保光伏电站拆除后的土地生态功能得到有效恢复与提升。</w:t>
            </w:r>
          </w:p>
        </w:tc>
      </w:tr>
    </w:tbl>
    <w:p w14:paraId="343DFA75">
      <w:pPr>
        <w:pStyle w:val="26"/>
        <w:spacing w:line="360" w:lineRule="auto"/>
        <w:jc w:val="center"/>
        <w:outlineLvl w:val="0"/>
        <w:rPr>
          <w:rFonts w:eastAsia="仿宋_GB2312"/>
          <w:b/>
          <w:bCs/>
        </w:rPr>
        <w:sectPr>
          <w:pgSz w:w="11905" w:h="16838"/>
          <w:pgMar w:top="1531" w:right="1417" w:bottom="1531" w:left="1417" w:header="851" w:footer="1077" w:gutter="0"/>
          <w:pgBorders>
            <w:top w:val="none" w:sz="0" w:space="0"/>
            <w:left w:val="none" w:sz="0" w:space="0"/>
            <w:bottom w:val="none" w:sz="0" w:space="0"/>
            <w:right w:val="none" w:sz="0" w:space="0"/>
          </w:pgBorders>
          <w:cols w:space="720" w:num="1"/>
          <w:docGrid w:linePitch="312" w:charSpace="0"/>
        </w:sectPr>
      </w:pPr>
    </w:p>
    <w:p w14:paraId="7D551035">
      <w:pPr>
        <w:pStyle w:val="26"/>
        <w:spacing w:before="0" w:beforeAutospacing="0" w:after="0" w:afterAutospacing="0" w:line="360" w:lineRule="auto"/>
        <w:jc w:val="center"/>
        <w:outlineLvl w:val="0"/>
        <w:rPr>
          <w:rFonts w:hint="eastAsia" w:ascii="黑体" w:hAnsi="黑体" w:eastAsia="黑体"/>
          <w:snapToGrid w:val="0"/>
          <w:sz w:val="30"/>
          <w:szCs w:val="30"/>
        </w:rPr>
      </w:pPr>
      <w:bookmarkStart w:id="99" w:name="_Toc30098"/>
      <w:bookmarkStart w:id="100" w:name="_Toc27644"/>
      <w:bookmarkStart w:id="101" w:name="_Toc231571697"/>
      <w:bookmarkStart w:id="102" w:name="_Toc122040713"/>
      <w:bookmarkStart w:id="103" w:name="_Toc116995611"/>
      <w:bookmarkStart w:id="104" w:name="_Toc233036177"/>
      <w:bookmarkStart w:id="105" w:name="_Toc26165"/>
      <w:r>
        <w:rPr>
          <w:rFonts w:hint="eastAsia" w:ascii="黑体" w:hAnsi="黑体" w:eastAsia="黑体"/>
          <w:snapToGrid w:val="0"/>
          <w:sz w:val="30"/>
          <w:szCs w:val="30"/>
        </w:rPr>
        <w:t>三、生态环境现状、保护目标及评价标准</w:t>
      </w:r>
      <w:bookmarkEnd w:id="99"/>
      <w:bookmarkEnd w:id="100"/>
      <w:bookmarkEnd w:id="101"/>
      <w:bookmarkEnd w:id="102"/>
      <w:bookmarkEnd w:id="103"/>
      <w:bookmarkEnd w:id="104"/>
      <w:bookmarkEnd w:id="105"/>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14"/>
        <w:gridCol w:w="8773"/>
      </w:tblGrid>
      <w:tr w14:paraId="5A1571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277" w:type="pct"/>
            <w:noWrap/>
            <w:vAlign w:val="center"/>
          </w:tcPr>
          <w:p w14:paraId="462E8104">
            <w:pPr>
              <w:adjustRightInd w:val="0"/>
              <w:snapToGrid w:val="0"/>
              <w:jc w:val="center"/>
              <w:rPr>
                <w:rFonts w:ascii="宋体" w:hAnsi="宋体" w:cs="宋体"/>
                <w:kern w:val="0"/>
                <w:sz w:val="24"/>
              </w:rPr>
            </w:pPr>
            <w:r>
              <w:rPr>
                <w:rFonts w:hint="eastAsia" w:ascii="宋体" w:hAnsi="宋体" w:cs="宋体"/>
                <w:kern w:val="0"/>
                <w:sz w:val="24"/>
              </w:rPr>
              <w:t>生态环境现状</w:t>
            </w:r>
          </w:p>
        </w:tc>
        <w:tc>
          <w:tcPr>
            <w:tcW w:w="4722" w:type="pct"/>
            <w:noWrap/>
          </w:tcPr>
          <w:p w14:paraId="3D6D2704">
            <w:pPr>
              <w:spacing w:line="360" w:lineRule="auto"/>
              <w:jc w:val="left"/>
              <w:rPr>
                <w:b/>
                <w:bCs/>
                <w:kern w:val="0"/>
                <w:sz w:val="24"/>
              </w:rPr>
            </w:pPr>
            <w:r>
              <w:rPr>
                <w:b/>
                <w:bCs/>
                <w:kern w:val="0"/>
                <w:sz w:val="24"/>
              </w:rPr>
              <w:t>3.1 生态环境现状</w:t>
            </w:r>
          </w:p>
          <w:p w14:paraId="1A088E4B">
            <w:pPr>
              <w:spacing w:line="360" w:lineRule="auto"/>
              <w:jc w:val="left"/>
              <w:rPr>
                <w:b/>
                <w:bCs/>
                <w:kern w:val="0"/>
                <w:sz w:val="24"/>
              </w:rPr>
            </w:pPr>
            <w:r>
              <w:rPr>
                <w:rFonts w:hint="eastAsia"/>
                <w:b/>
                <w:bCs/>
                <w:kern w:val="0"/>
                <w:sz w:val="24"/>
              </w:rPr>
              <w:t>3.1.1 自然环境</w:t>
            </w:r>
          </w:p>
          <w:p w14:paraId="5D0D9986">
            <w:pPr>
              <w:spacing w:line="360" w:lineRule="auto"/>
              <w:ind w:firstLine="482" w:firstLineChars="200"/>
              <w:rPr>
                <w:b/>
                <w:bCs/>
                <w:kern w:val="0"/>
                <w:sz w:val="24"/>
              </w:rPr>
            </w:pPr>
            <w:r>
              <w:rPr>
                <w:rFonts w:hint="eastAsia"/>
                <w:b/>
                <w:bCs/>
                <w:kern w:val="0"/>
                <w:sz w:val="24"/>
              </w:rPr>
              <w:t>（1）地形地貌</w:t>
            </w:r>
          </w:p>
          <w:p w14:paraId="246C982A">
            <w:pPr>
              <w:spacing w:line="360" w:lineRule="auto"/>
              <w:ind w:firstLine="480" w:firstLineChars="200"/>
              <w:rPr>
                <w:kern w:val="0"/>
                <w:sz w:val="24"/>
              </w:rPr>
            </w:pPr>
            <w:r>
              <w:rPr>
                <w:rFonts w:hint="eastAsia"/>
                <w:kern w:val="0"/>
                <w:sz w:val="24"/>
              </w:rPr>
              <w:t>工程区位于曲靖市会泽县，地势西高东低，南起北伏，由西向东呈阶梯状递减境内山高坡徒，峰峦重叠，沟壑纵横，河流深切。总体属侵蚀、剥蚀高中山地貌</w:t>
            </w:r>
            <w:r>
              <w:rPr>
                <w:kern w:val="0"/>
                <w:sz w:val="24"/>
              </w:rPr>
              <w:t>。</w:t>
            </w:r>
          </w:p>
          <w:p w14:paraId="65C68D88">
            <w:pPr>
              <w:spacing w:line="360" w:lineRule="auto"/>
              <w:ind w:firstLine="482" w:firstLineChars="200"/>
              <w:rPr>
                <w:rFonts w:hint="eastAsia"/>
                <w:b/>
                <w:bCs/>
                <w:kern w:val="0"/>
                <w:sz w:val="24"/>
              </w:rPr>
            </w:pPr>
            <w:r>
              <w:rPr>
                <w:rFonts w:hint="eastAsia"/>
                <w:b/>
                <w:bCs/>
                <w:kern w:val="0"/>
                <w:sz w:val="24"/>
              </w:rPr>
              <w:t>（2）区域地质</w:t>
            </w:r>
          </w:p>
          <w:p w14:paraId="0459AEC9">
            <w:pPr>
              <w:pStyle w:val="112"/>
              <w:adjustRightInd/>
              <w:snapToGrid/>
              <w:spacing w:line="360" w:lineRule="auto"/>
              <w:ind w:firstLine="480" w:firstLineChars="200"/>
              <w:rPr>
                <w:rFonts w:hint="eastAsia" w:ascii="Times New Roman"/>
                <w:snapToGrid/>
                <w:spacing w:val="0"/>
                <w:kern w:val="0"/>
                <w:sz w:val="24"/>
                <w:szCs w:val="21"/>
              </w:rPr>
            </w:pPr>
            <w:r>
              <w:rPr>
                <w:rFonts w:hint="eastAsia" w:ascii="Times New Roman"/>
                <w:snapToGrid/>
                <w:spacing w:val="0"/>
                <w:kern w:val="0"/>
                <w:sz w:val="24"/>
                <w:szCs w:val="21"/>
              </w:rPr>
              <w:t>场址区分布的地层</w:t>
            </w:r>
            <w:bookmarkStart w:id="106" w:name="OLE_LINK28"/>
            <w:r>
              <w:rPr>
                <w:rFonts w:hint="eastAsia" w:ascii="Times New Roman"/>
                <w:snapToGrid/>
                <w:spacing w:val="0"/>
                <w:kern w:val="0"/>
                <w:sz w:val="24"/>
                <w:szCs w:val="21"/>
              </w:rPr>
              <w:t>主要为新生界第四系</w:t>
            </w:r>
            <w:bookmarkEnd w:id="106"/>
            <w:r>
              <w:rPr>
                <w:rFonts w:hint="eastAsia" w:ascii="Times New Roman"/>
                <w:snapToGrid/>
                <w:spacing w:val="0"/>
                <w:kern w:val="0"/>
                <w:sz w:val="24"/>
                <w:szCs w:val="21"/>
              </w:rPr>
              <w:t>（Q）、二叠系（P），山顶部位局部基岩出露，山坡多被第四系坡残积层覆盖。</w:t>
            </w:r>
          </w:p>
          <w:p w14:paraId="3A68C7AA">
            <w:pPr>
              <w:pStyle w:val="112"/>
              <w:adjustRightInd/>
              <w:snapToGrid/>
              <w:spacing w:line="360" w:lineRule="auto"/>
              <w:ind w:firstLine="480" w:firstLineChars="200"/>
              <w:rPr>
                <w:rFonts w:hint="eastAsia" w:ascii="Times New Roman"/>
                <w:snapToGrid/>
                <w:spacing w:val="0"/>
                <w:kern w:val="0"/>
                <w:sz w:val="24"/>
                <w:szCs w:val="21"/>
              </w:rPr>
            </w:pPr>
            <w:bookmarkStart w:id="107" w:name="OLE_LINK27"/>
            <w:r>
              <w:rPr>
                <w:rFonts w:hint="eastAsia" w:ascii="Times New Roman"/>
                <w:snapToGrid/>
                <w:spacing w:val="0"/>
                <w:kern w:val="0"/>
                <w:sz w:val="24"/>
                <w:szCs w:val="21"/>
              </w:rPr>
              <w:t>场址内未见较大规模的断层通过</w:t>
            </w:r>
            <w:bookmarkEnd w:id="107"/>
            <w:r>
              <w:rPr>
                <w:rFonts w:hint="eastAsia" w:ascii="Times New Roman"/>
                <w:snapToGrid/>
                <w:spacing w:val="0"/>
                <w:kern w:val="0"/>
                <w:sz w:val="24"/>
                <w:szCs w:val="21"/>
              </w:rPr>
              <w:t>，岩层走向为北东，倾向南东，倾角中等，岩层产状与自然山坡斜交，倾向山里，有利于山坡稳定。岩体中结构面主要为层面及风化裂隙，近地表风化裂隙较发育，风化裂隙多垂直于地表或岩层层面发育，深度大部分不足2m，裂隙中多有充填物，少部分裂隙闭合、无充填，延伸长度一般1～5m不等。</w:t>
            </w:r>
          </w:p>
          <w:p w14:paraId="578A07BA">
            <w:pPr>
              <w:pStyle w:val="112"/>
              <w:adjustRightInd/>
              <w:snapToGrid/>
              <w:spacing w:line="360" w:lineRule="auto"/>
              <w:ind w:firstLine="480" w:firstLineChars="200"/>
              <w:rPr>
                <w:rFonts w:hint="eastAsia" w:ascii="Times New Roman"/>
                <w:snapToGrid/>
                <w:spacing w:val="0"/>
                <w:kern w:val="0"/>
                <w:sz w:val="24"/>
                <w:szCs w:val="21"/>
              </w:rPr>
            </w:pPr>
            <w:r>
              <w:rPr>
                <w:rFonts w:hint="eastAsia" w:ascii="Times New Roman"/>
                <w:snapToGrid/>
                <w:spacing w:val="0"/>
                <w:kern w:val="0"/>
                <w:sz w:val="24"/>
                <w:szCs w:val="21"/>
              </w:rPr>
              <w:t>场址区内地下水主要受大气降水和地表水补给，多以孔隙水、基岩裂隙水的形式赋存，地下水径流短，受降雨影响明显，地下水和地表水的联系极为密切。</w:t>
            </w:r>
          </w:p>
          <w:p w14:paraId="18F42EB5">
            <w:pPr>
              <w:spacing w:line="360" w:lineRule="auto"/>
              <w:ind w:firstLine="482" w:firstLineChars="200"/>
              <w:rPr>
                <w:b/>
                <w:bCs/>
                <w:kern w:val="0"/>
                <w:sz w:val="24"/>
              </w:rPr>
            </w:pPr>
            <w:r>
              <w:rPr>
                <w:rFonts w:hint="eastAsia"/>
                <w:b/>
                <w:bCs/>
                <w:kern w:val="0"/>
                <w:sz w:val="24"/>
              </w:rPr>
              <w:t>（3）气象</w:t>
            </w:r>
          </w:p>
          <w:p w14:paraId="5E981B90">
            <w:pPr>
              <w:pStyle w:val="29"/>
              <w:spacing w:after="0" w:line="360" w:lineRule="auto"/>
              <w:ind w:left="0" w:leftChars="0" w:firstLine="480"/>
              <w:rPr>
                <w:kern w:val="0"/>
                <w:sz w:val="24"/>
                <w:szCs w:val="21"/>
              </w:rPr>
            </w:pPr>
            <w:r>
              <w:rPr>
                <w:kern w:val="0"/>
                <w:sz w:val="24"/>
                <w:szCs w:val="21"/>
              </w:rPr>
              <w:t>会泽县属南温带高原季风气候。受地形海拔影响，气候垂直分异显著，呈现</w:t>
            </w:r>
            <w:r>
              <w:rPr>
                <w:rFonts w:hint="eastAsia"/>
                <w:kern w:val="0"/>
                <w:sz w:val="24"/>
                <w:szCs w:val="21"/>
              </w:rPr>
              <w:t>“</w:t>
            </w:r>
            <w:r>
              <w:rPr>
                <w:kern w:val="0"/>
                <w:sz w:val="24"/>
                <w:szCs w:val="21"/>
              </w:rPr>
              <w:t>一山分四季，十里不同天</w:t>
            </w:r>
            <w:r>
              <w:rPr>
                <w:rFonts w:hint="eastAsia"/>
                <w:kern w:val="0"/>
                <w:sz w:val="24"/>
                <w:szCs w:val="21"/>
              </w:rPr>
              <w:t>”</w:t>
            </w:r>
            <w:r>
              <w:rPr>
                <w:kern w:val="0"/>
                <w:sz w:val="24"/>
                <w:szCs w:val="21"/>
              </w:rPr>
              <w:t>的立体气候特征。根据会泽县气象站实测资料统计，会泽县多年平均气温12.7℃，极端最高温度31.2</w:t>
            </w:r>
            <w:bookmarkStart w:id="108" w:name="OLE_LINK29"/>
            <w:r>
              <w:rPr>
                <w:kern w:val="0"/>
                <w:sz w:val="24"/>
                <w:szCs w:val="21"/>
              </w:rPr>
              <w:t>℃</w:t>
            </w:r>
            <w:bookmarkEnd w:id="108"/>
            <w:r>
              <w:rPr>
                <w:kern w:val="0"/>
                <w:sz w:val="24"/>
                <w:szCs w:val="21"/>
              </w:rPr>
              <w:t>，最低温度-17.0℃，≥10℃年活动积温3200℃~4500℃，多年平均日照时数2129</w:t>
            </w:r>
            <w:r>
              <w:rPr>
                <w:rFonts w:hint="eastAsia"/>
                <w:kern w:val="0"/>
                <w:sz w:val="24"/>
                <w:szCs w:val="21"/>
              </w:rPr>
              <w:t>h</w:t>
            </w:r>
            <w:r>
              <w:rPr>
                <w:kern w:val="0"/>
                <w:sz w:val="24"/>
                <w:szCs w:val="21"/>
              </w:rPr>
              <w:t>，多年平均日照百分率47%，无霜期210~240天，多年平均蒸发量为1914.7mm，多年平均相对湿度为67.6%，全年主导风向为西南风，多年平均风速2.8m/s，多年平均降雨量784.5mm，雨季为5~10月，降雨量占全年的85%以上。根据《云南省暴雨径流查算图表》，项目区20年一遇1h、6h、24h小时最大降雨量分别为48.43mm、62.76mm、84.54mm。项目区5年一遇10min降雨强度为1.65。</w:t>
            </w:r>
          </w:p>
          <w:p w14:paraId="6883E352">
            <w:pPr>
              <w:spacing w:line="360" w:lineRule="auto"/>
              <w:ind w:firstLine="482" w:firstLineChars="200"/>
              <w:rPr>
                <w:rFonts w:hint="eastAsia"/>
                <w:b/>
                <w:bCs/>
                <w:kern w:val="0"/>
                <w:sz w:val="24"/>
              </w:rPr>
            </w:pPr>
            <w:r>
              <w:rPr>
                <w:b/>
                <w:bCs/>
                <w:kern w:val="0"/>
                <w:sz w:val="24"/>
              </w:rPr>
              <w:t>（4）</w:t>
            </w:r>
            <w:r>
              <w:rPr>
                <w:rFonts w:hint="eastAsia"/>
                <w:b/>
                <w:bCs/>
                <w:kern w:val="0"/>
                <w:sz w:val="24"/>
              </w:rPr>
              <w:t>水文</w:t>
            </w:r>
          </w:p>
          <w:p w14:paraId="1C57105A">
            <w:pPr>
              <w:pStyle w:val="112"/>
              <w:spacing w:line="360" w:lineRule="auto"/>
              <w:ind w:firstLine="480" w:firstLineChars="200"/>
              <w:rPr>
                <w:rFonts w:ascii="Times New Roman"/>
                <w:snapToGrid/>
                <w:spacing w:val="0"/>
                <w:kern w:val="0"/>
                <w:sz w:val="24"/>
                <w:szCs w:val="21"/>
              </w:rPr>
            </w:pPr>
            <w:bookmarkStart w:id="109" w:name="_Hlk190243675"/>
            <w:r>
              <w:rPr>
                <w:rFonts w:ascii="Times New Roman"/>
                <w:snapToGrid/>
                <w:spacing w:val="0"/>
                <w:kern w:val="0"/>
                <w:sz w:val="24"/>
                <w:szCs w:val="21"/>
              </w:rPr>
              <w:t>根据现场勘查，项目周边水系主要为</w:t>
            </w:r>
            <w:bookmarkStart w:id="110" w:name="OLE_LINK30"/>
            <w:r>
              <w:rPr>
                <w:rFonts w:ascii="Times New Roman"/>
                <w:snapToGrid/>
                <w:spacing w:val="0"/>
                <w:kern w:val="0"/>
                <w:sz w:val="24"/>
                <w:szCs w:val="21"/>
              </w:rPr>
              <w:t>小江</w:t>
            </w:r>
            <w:bookmarkEnd w:id="110"/>
            <w:r>
              <w:rPr>
                <w:rFonts w:hint="eastAsia" w:ascii="Times New Roman"/>
                <w:snapToGrid/>
                <w:spacing w:val="0"/>
                <w:kern w:val="0"/>
                <w:sz w:val="24"/>
                <w:szCs w:val="21"/>
              </w:rPr>
              <w:t>（流向自南向北）</w:t>
            </w:r>
            <w:r>
              <w:rPr>
                <w:rFonts w:ascii="Times New Roman"/>
                <w:snapToGrid/>
                <w:spacing w:val="0"/>
                <w:kern w:val="0"/>
                <w:sz w:val="24"/>
                <w:szCs w:val="21"/>
              </w:rPr>
              <w:t>、盐水沟</w:t>
            </w:r>
            <w:r>
              <w:rPr>
                <w:rFonts w:hint="eastAsia" w:ascii="Times New Roman"/>
                <w:snapToGrid/>
                <w:spacing w:val="0"/>
                <w:kern w:val="0"/>
                <w:sz w:val="24"/>
                <w:szCs w:val="21"/>
              </w:rPr>
              <w:t>（流向自南向北）</w:t>
            </w:r>
            <w:r>
              <w:rPr>
                <w:rFonts w:ascii="Times New Roman"/>
                <w:snapToGrid/>
                <w:spacing w:val="0"/>
                <w:kern w:val="0"/>
                <w:sz w:val="24"/>
                <w:szCs w:val="21"/>
              </w:rPr>
              <w:t>等。项目区属于长江流域小江水系，小江是金沙江右岸的一级支流，发源于云南省寻甸县，会泽县境内主河长约35.11km，流域影响面积约580km</w:t>
            </w:r>
            <w:r>
              <w:rPr>
                <w:rFonts w:hint="eastAsia" w:ascii="Times New Roman"/>
                <w:snapToGrid/>
                <w:spacing w:val="0"/>
                <w:kern w:val="0"/>
                <w:sz w:val="24"/>
                <w:szCs w:val="21"/>
                <w:vertAlign w:val="superscript"/>
              </w:rPr>
              <w:t>2</w:t>
            </w:r>
            <w:r>
              <w:rPr>
                <w:rFonts w:ascii="Times New Roman"/>
                <w:snapToGrid/>
                <w:spacing w:val="0"/>
                <w:kern w:val="0"/>
                <w:sz w:val="24"/>
                <w:szCs w:val="21"/>
              </w:rPr>
              <w:t>，占整个小江流域总面积的20%。</w:t>
            </w:r>
            <w:r>
              <w:rPr>
                <w:rFonts w:hint="eastAsia" w:ascii="Times New Roman"/>
                <w:snapToGrid/>
                <w:spacing w:val="0"/>
                <w:kern w:val="0"/>
                <w:sz w:val="24"/>
                <w:szCs w:val="21"/>
              </w:rPr>
              <w:t>盐水沟是金沙江小江水系的一条河谷溪流，河谷海拔约</w:t>
            </w:r>
            <w:r>
              <w:rPr>
                <w:rFonts w:ascii="Times New Roman"/>
                <w:snapToGrid/>
                <w:spacing w:val="0"/>
                <w:kern w:val="0"/>
                <w:sz w:val="24"/>
                <w:szCs w:val="21"/>
              </w:rPr>
              <w:t>1450</w:t>
            </w:r>
            <w:r>
              <w:rPr>
                <w:rFonts w:hint="eastAsia" w:ascii="Times New Roman"/>
                <w:snapToGrid/>
                <w:spacing w:val="0"/>
                <w:kern w:val="0"/>
                <w:sz w:val="24"/>
                <w:szCs w:val="21"/>
              </w:rPr>
              <w:t>m</w:t>
            </w:r>
            <w:r>
              <w:rPr>
                <w:rFonts w:ascii="Times New Roman"/>
                <w:snapToGrid/>
                <w:spacing w:val="0"/>
                <w:kern w:val="0"/>
                <w:sz w:val="24"/>
                <w:szCs w:val="21"/>
              </w:rPr>
              <w:t>‑1600m</w:t>
            </w:r>
            <w:r>
              <w:rPr>
                <w:rFonts w:hint="eastAsia" w:ascii="Times New Roman"/>
                <w:snapToGrid/>
                <w:spacing w:val="0"/>
                <w:kern w:val="0"/>
                <w:sz w:val="24"/>
                <w:szCs w:val="21"/>
              </w:rPr>
              <w:t>，汇入小江后流入金沙江</w:t>
            </w:r>
            <w:r>
              <w:rPr>
                <w:rFonts w:ascii="Times New Roman"/>
                <w:snapToGrid/>
                <w:spacing w:val="0"/>
                <w:kern w:val="0"/>
                <w:sz w:val="24"/>
                <w:szCs w:val="21"/>
              </w:rPr>
              <w:t>。</w:t>
            </w:r>
          </w:p>
          <w:p w14:paraId="1449BF32">
            <w:pPr>
              <w:pStyle w:val="112"/>
              <w:spacing w:line="360" w:lineRule="auto"/>
              <w:ind w:firstLine="480" w:firstLineChars="200"/>
              <w:rPr>
                <w:rFonts w:ascii="Times New Roman"/>
                <w:snapToGrid/>
                <w:spacing w:val="0"/>
                <w:kern w:val="0"/>
                <w:sz w:val="24"/>
                <w:szCs w:val="21"/>
              </w:rPr>
            </w:pPr>
            <w:r>
              <w:rPr>
                <w:rFonts w:ascii="Times New Roman"/>
                <w:snapToGrid/>
                <w:spacing w:val="0"/>
                <w:kern w:val="0"/>
                <w:sz w:val="24"/>
                <w:szCs w:val="21"/>
              </w:rPr>
              <w:t>根据现场勘查，项目区在小江东侧的山顶及山坡另一侧，场区距离小江最近直线距离约1km。盐水沟在项目区北侧</w:t>
            </w:r>
            <w:r>
              <w:rPr>
                <w:rFonts w:hint="eastAsia" w:ascii="Times New Roman"/>
                <w:snapToGrid/>
                <w:spacing w:val="0"/>
                <w:kern w:val="0"/>
                <w:sz w:val="24"/>
                <w:szCs w:val="21"/>
              </w:rPr>
              <w:t>，距离</w:t>
            </w:r>
            <w:r>
              <w:rPr>
                <w:rFonts w:ascii="Times New Roman"/>
                <w:snapToGrid/>
                <w:spacing w:val="0"/>
                <w:kern w:val="0"/>
                <w:sz w:val="24"/>
                <w:szCs w:val="21"/>
              </w:rPr>
              <w:t>光伏方阵最短直线距离约1m。</w:t>
            </w:r>
          </w:p>
          <w:bookmarkEnd w:id="109"/>
          <w:p w14:paraId="40667A44">
            <w:pPr>
              <w:spacing w:line="360" w:lineRule="auto"/>
              <w:ind w:firstLine="482" w:firstLineChars="200"/>
              <w:rPr>
                <w:b/>
                <w:bCs/>
                <w:kern w:val="0"/>
                <w:sz w:val="24"/>
              </w:rPr>
            </w:pPr>
            <w:r>
              <w:rPr>
                <w:rFonts w:hint="eastAsia"/>
                <w:b/>
                <w:bCs/>
                <w:kern w:val="0"/>
                <w:sz w:val="24"/>
              </w:rPr>
              <w:t>（</w:t>
            </w:r>
            <w:r>
              <w:rPr>
                <w:b/>
                <w:bCs/>
                <w:kern w:val="0"/>
                <w:sz w:val="24"/>
              </w:rPr>
              <w:t>5</w:t>
            </w:r>
            <w:r>
              <w:rPr>
                <w:rFonts w:hint="eastAsia"/>
                <w:b/>
                <w:bCs/>
                <w:kern w:val="0"/>
                <w:sz w:val="24"/>
              </w:rPr>
              <w:t>）土壤</w:t>
            </w:r>
          </w:p>
          <w:p w14:paraId="00D7AA88">
            <w:pPr>
              <w:pStyle w:val="112"/>
              <w:adjustRightInd/>
              <w:snapToGrid/>
              <w:spacing w:line="360" w:lineRule="auto"/>
              <w:ind w:firstLine="480" w:firstLineChars="200"/>
              <w:rPr>
                <w:rFonts w:hint="eastAsia" w:ascii="Times New Roman"/>
                <w:snapToGrid/>
                <w:spacing w:val="0"/>
                <w:kern w:val="0"/>
                <w:sz w:val="24"/>
                <w:szCs w:val="21"/>
              </w:rPr>
            </w:pPr>
            <w:r>
              <w:rPr>
                <w:rFonts w:hint="eastAsia" w:ascii="Times New Roman"/>
                <w:snapToGrid/>
                <w:spacing w:val="0"/>
                <w:kern w:val="0"/>
                <w:sz w:val="24"/>
                <w:szCs w:val="21"/>
              </w:rPr>
              <w:t>受地形、地质、气候和生物的影响，会泽县土属种发育有棕色针叶林土、暗棕壤、红壤、燥红土、水稻土、冲积土等6类土壤。根据现场勘查，本工程建设区域内土壤主要为红壤。表层土壤可剥离表土厚度10cm~30cm。土壤质地一般，有机质含量低。</w:t>
            </w:r>
          </w:p>
          <w:p w14:paraId="15379F89">
            <w:pPr>
              <w:spacing w:line="360" w:lineRule="auto"/>
              <w:jc w:val="left"/>
              <w:rPr>
                <w:b/>
                <w:bCs/>
                <w:kern w:val="0"/>
                <w:sz w:val="24"/>
              </w:rPr>
            </w:pPr>
            <w:r>
              <w:rPr>
                <w:rFonts w:hint="eastAsia"/>
                <w:b/>
                <w:bCs/>
                <w:kern w:val="0"/>
                <w:sz w:val="24"/>
              </w:rPr>
              <w:t>3.1.2 生态环境</w:t>
            </w:r>
          </w:p>
          <w:p w14:paraId="4FA36882">
            <w:pPr>
              <w:spacing w:line="360" w:lineRule="auto"/>
              <w:ind w:firstLine="482" w:firstLineChars="200"/>
              <w:jc w:val="left"/>
              <w:rPr>
                <w:b/>
                <w:bCs/>
                <w:kern w:val="0"/>
                <w:sz w:val="24"/>
              </w:rPr>
            </w:pPr>
            <w:r>
              <w:rPr>
                <w:b/>
                <w:bCs/>
                <w:kern w:val="0"/>
                <w:sz w:val="24"/>
              </w:rPr>
              <w:t>（1）功能区划</w:t>
            </w:r>
          </w:p>
          <w:p w14:paraId="4B9A78A0">
            <w:pPr>
              <w:spacing w:line="360" w:lineRule="auto"/>
              <w:ind w:firstLine="480" w:firstLineChars="200"/>
              <w:jc w:val="left"/>
              <w:rPr>
                <w:kern w:val="0"/>
                <w:sz w:val="24"/>
              </w:rPr>
            </w:pPr>
            <w:r>
              <w:rPr>
                <w:kern w:val="0"/>
                <w:sz w:val="24"/>
              </w:rPr>
              <w:t>1）云南省主体功能区规划</w:t>
            </w:r>
          </w:p>
          <w:p w14:paraId="2EC7D668">
            <w:pPr>
              <w:spacing w:line="360" w:lineRule="auto"/>
              <w:ind w:firstLine="480" w:firstLineChars="200"/>
              <w:jc w:val="left"/>
              <w:rPr>
                <w:kern w:val="0"/>
                <w:sz w:val="24"/>
              </w:rPr>
            </w:pPr>
            <w:r>
              <w:rPr>
                <w:rFonts w:hint="eastAsia"/>
                <w:kern w:val="0"/>
                <w:sz w:val="24"/>
              </w:rPr>
              <w:t>本项目</w:t>
            </w:r>
            <w:r>
              <w:rPr>
                <w:kern w:val="0"/>
                <w:sz w:val="24"/>
              </w:rPr>
              <w:t>与云南省主体功能区规划情况详见章节（一、建设项目基本情况 其他符合性分析）内容。</w:t>
            </w:r>
          </w:p>
          <w:p w14:paraId="3566A8B8">
            <w:pPr>
              <w:spacing w:line="360" w:lineRule="auto"/>
              <w:ind w:firstLine="480" w:firstLineChars="200"/>
              <w:jc w:val="left"/>
              <w:rPr>
                <w:kern w:val="0"/>
                <w:sz w:val="24"/>
              </w:rPr>
            </w:pPr>
            <w:r>
              <w:rPr>
                <w:kern w:val="0"/>
                <w:sz w:val="24"/>
              </w:rPr>
              <w:t>2）云南省生态功能区划</w:t>
            </w:r>
          </w:p>
          <w:p w14:paraId="2F1D372D">
            <w:pPr>
              <w:spacing w:line="360" w:lineRule="auto"/>
              <w:ind w:firstLine="480" w:firstLineChars="200"/>
              <w:jc w:val="left"/>
              <w:rPr>
                <w:kern w:val="0"/>
                <w:sz w:val="24"/>
              </w:rPr>
            </w:pPr>
            <w:r>
              <w:rPr>
                <w:rFonts w:hint="eastAsia"/>
                <w:kern w:val="0"/>
                <w:sz w:val="24"/>
              </w:rPr>
              <w:t>本项目</w:t>
            </w:r>
            <w:r>
              <w:rPr>
                <w:kern w:val="0"/>
                <w:sz w:val="24"/>
              </w:rPr>
              <w:t>与</w:t>
            </w:r>
            <w:r>
              <w:rPr>
                <w:rFonts w:hint="eastAsia"/>
                <w:kern w:val="0"/>
                <w:sz w:val="24"/>
              </w:rPr>
              <w:t>云南省生态功能区划</w:t>
            </w:r>
            <w:r>
              <w:rPr>
                <w:kern w:val="0"/>
                <w:sz w:val="24"/>
              </w:rPr>
              <w:t>情况详见章节（一、建设项目基本情况 其他符合性分析）内容。</w:t>
            </w:r>
          </w:p>
          <w:p w14:paraId="60D4D346">
            <w:pPr>
              <w:spacing w:line="360" w:lineRule="auto"/>
              <w:ind w:firstLine="482" w:firstLineChars="200"/>
              <w:jc w:val="left"/>
              <w:rPr>
                <w:rFonts w:hint="eastAsia"/>
                <w:b/>
                <w:bCs/>
                <w:kern w:val="0"/>
                <w:sz w:val="24"/>
              </w:rPr>
            </w:pPr>
            <w:r>
              <w:rPr>
                <w:rFonts w:hint="eastAsia"/>
                <w:b/>
                <w:bCs/>
                <w:kern w:val="0"/>
                <w:sz w:val="24"/>
              </w:rPr>
              <w:t>（2）土地利用类型</w:t>
            </w:r>
          </w:p>
          <w:p w14:paraId="50CA2574">
            <w:pPr>
              <w:pStyle w:val="112"/>
              <w:spacing w:line="360" w:lineRule="auto"/>
              <w:ind w:firstLine="480" w:firstLineChars="200"/>
              <w:rPr>
                <w:rFonts w:ascii="Times New Roman"/>
                <w:spacing w:val="0"/>
                <w:sz w:val="24"/>
              </w:rPr>
            </w:pPr>
            <w:r>
              <w:rPr>
                <w:rFonts w:hint="eastAsia" w:ascii="Times New Roman"/>
                <w:spacing w:val="0"/>
                <w:sz w:val="24"/>
              </w:rPr>
              <w:t>本项目</w:t>
            </w:r>
            <w:r>
              <w:rPr>
                <w:rFonts w:ascii="Times New Roman"/>
                <w:spacing w:val="0"/>
                <w:sz w:val="24"/>
              </w:rPr>
              <w:t>总征占地面积</w:t>
            </w:r>
            <w:r>
              <w:rPr>
                <w:rFonts w:hint="eastAsia" w:ascii="Times New Roman"/>
                <w:spacing w:val="0"/>
                <w:sz w:val="24"/>
              </w:rPr>
              <w:t>86.97</w:t>
            </w:r>
            <w:r>
              <w:rPr>
                <w:rFonts w:ascii="Times New Roman"/>
                <w:spacing w:val="0"/>
                <w:sz w:val="24"/>
              </w:rPr>
              <w:t>hm</w:t>
            </w:r>
            <w:r>
              <w:rPr>
                <w:rFonts w:ascii="Times New Roman"/>
                <w:spacing w:val="0"/>
                <w:sz w:val="24"/>
                <w:vertAlign w:val="superscript"/>
              </w:rPr>
              <w:t>2</w:t>
            </w:r>
            <w:r>
              <w:rPr>
                <w:rFonts w:ascii="Times New Roman"/>
                <w:spacing w:val="0"/>
                <w:sz w:val="24"/>
              </w:rPr>
              <w:t>，其中</w:t>
            </w:r>
            <w:r>
              <w:rPr>
                <w:rFonts w:hint="eastAsia" w:ascii="Times New Roman"/>
                <w:spacing w:val="0"/>
                <w:sz w:val="24"/>
              </w:rPr>
              <w:t>永久占地面积0.92</w:t>
            </w:r>
            <w:r>
              <w:rPr>
                <w:rFonts w:ascii="Times New Roman"/>
                <w:spacing w:val="0"/>
                <w:sz w:val="24"/>
              </w:rPr>
              <w:t>hm</w:t>
            </w:r>
            <w:r>
              <w:rPr>
                <w:rFonts w:ascii="Times New Roman"/>
                <w:spacing w:val="0"/>
                <w:sz w:val="24"/>
                <w:vertAlign w:val="superscript"/>
              </w:rPr>
              <w:t>2</w:t>
            </w:r>
            <w:r>
              <w:rPr>
                <w:rFonts w:hint="eastAsia" w:ascii="Times New Roman"/>
                <w:spacing w:val="0"/>
                <w:sz w:val="24"/>
              </w:rPr>
              <w:t>，长期租地</w:t>
            </w:r>
            <w:r>
              <w:rPr>
                <w:rFonts w:ascii="Times New Roman"/>
                <w:spacing w:val="0"/>
                <w:sz w:val="24"/>
              </w:rPr>
              <w:t>面积</w:t>
            </w:r>
            <w:r>
              <w:rPr>
                <w:rFonts w:hint="eastAsia" w:ascii="Times New Roman"/>
                <w:spacing w:val="0"/>
                <w:sz w:val="24"/>
              </w:rPr>
              <w:t>84.93</w:t>
            </w:r>
            <w:r>
              <w:rPr>
                <w:rFonts w:ascii="Times New Roman"/>
                <w:spacing w:val="0"/>
                <w:sz w:val="24"/>
              </w:rPr>
              <w:t>hm</w:t>
            </w:r>
            <w:r>
              <w:rPr>
                <w:rFonts w:ascii="Times New Roman"/>
                <w:spacing w:val="0"/>
                <w:sz w:val="24"/>
                <w:vertAlign w:val="superscript"/>
              </w:rPr>
              <w:t>2</w:t>
            </w:r>
            <w:r>
              <w:rPr>
                <w:rFonts w:ascii="Times New Roman"/>
                <w:spacing w:val="0"/>
                <w:sz w:val="24"/>
              </w:rPr>
              <w:t>，</w:t>
            </w:r>
            <w:r>
              <w:rPr>
                <w:rFonts w:hint="eastAsia" w:ascii="Times New Roman"/>
                <w:spacing w:val="0"/>
                <w:sz w:val="24"/>
              </w:rPr>
              <w:t>临时租地</w:t>
            </w:r>
            <w:r>
              <w:rPr>
                <w:rFonts w:ascii="Times New Roman"/>
                <w:spacing w:val="0"/>
                <w:sz w:val="24"/>
              </w:rPr>
              <w:t>面积</w:t>
            </w:r>
            <w:r>
              <w:rPr>
                <w:rFonts w:hint="eastAsia" w:ascii="Times New Roman"/>
                <w:spacing w:val="0"/>
                <w:sz w:val="24"/>
              </w:rPr>
              <w:t>1.13</w:t>
            </w:r>
            <w:r>
              <w:rPr>
                <w:rFonts w:ascii="Times New Roman"/>
                <w:spacing w:val="0"/>
                <w:sz w:val="24"/>
              </w:rPr>
              <w:t>hm</w:t>
            </w:r>
            <w:r>
              <w:rPr>
                <w:rFonts w:ascii="Times New Roman"/>
                <w:spacing w:val="0"/>
                <w:sz w:val="24"/>
                <w:vertAlign w:val="superscript"/>
              </w:rPr>
              <w:t>2</w:t>
            </w:r>
            <w:r>
              <w:rPr>
                <w:rFonts w:ascii="Times New Roman"/>
                <w:spacing w:val="0"/>
                <w:sz w:val="24"/>
              </w:rPr>
              <w:t>。项目占地类型</w:t>
            </w:r>
            <w:r>
              <w:rPr>
                <w:rFonts w:hint="eastAsia" w:ascii="Times New Roman"/>
                <w:spacing w:val="0"/>
                <w:sz w:val="24"/>
              </w:rPr>
              <w:t>主要为其他</w:t>
            </w:r>
            <w:r>
              <w:rPr>
                <w:rFonts w:ascii="Times New Roman"/>
                <w:spacing w:val="0"/>
                <w:sz w:val="24"/>
              </w:rPr>
              <w:t>草地</w:t>
            </w:r>
            <w:r>
              <w:rPr>
                <w:rFonts w:hint="eastAsia" w:ascii="Times New Roman"/>
                <w:spacing w:val="0"/>
                <w:sz w:val="24"/>
              </w:rPr>
              <w:t>和园地，占用其他草地面积为74.75</w:t>
            </w:r>
            <w:r>
              <w:rPr>
                <w:rFonts w:ascii="Times New Roman"/>
                <w:spacing w:val="0"/>
                <w:sz w:val="24"/>
              </w:rPr>
              <w:t>hm</w:t>
            </w:r>
            <w:r>
              <w:rPr>
                <w:rFonts w:ascii="Times New Roman"/>
                <w:spacing w:val="0"/>
                <w:sz w:val="24"/>
                <w:vertAlign w:val="superscript"/>
              </w:rPr>
              <w:t>2</w:t>
            </w:r>
            <w:r>
              <w:rPr>
                <w:rFonts w:ascii="Times New Roman"/>
                <w:spacing w:val="0"/>
                <w:sz w:val="24"/>
              </w:rPr>
              <w:t>，</w:t>
            </w:r>
            <w:r>
              <w:rPr>
                <w:rFonts w:hint="eastAsia" w:ascii="Times New Roman"/>
                <w:spacing w:val="0"/>
                <w:sz w:val="24"/>
              </w:rPr>
              <w:t>占用园地面积为12.22h</w:t>
            </w:r>
            <w:r>
              <w:rPr>
                <w:rFonts w:ascii="Times New Roman"/>
                <w:spacing w:val="0"/>
                <w:sz w:val="24"/>
              </w:rPr>
              <w:t>m</w:t>
            </w:r>
            <w:r>
              <w:rPr>
                <w:rFonts w:ascii="Times New Roman"/>
                <w:spacing w:val="0"/>
                <w:sz w:val="24"/>
                <w:vertAlign w:val="superscript"/>
              </w:rPr>
              <w:t>2</w:t>
            </w:r>
            <w:r>
              <w:rPr>
                <w:rFonts w:ascii="Times New Roman"/>
                <w:spacing w:val="0"/>
                <w:sz w:val="24"/>
              </w:rPr>
              <w:t>。</w:t>
            </w:r>
          </w:p>
          <w:p w14:paraId="61611C9A">
            <w:pPr>
              <w:pStyle w:val="112"/>
              <w:ind w:firstLine="442"/>
              <w:jc w:val="center"/>
              <w:rPr>
                <w:rFonts w:ascii="Times New Roman"/>
                <w:b/>
                <w:bCs/>
                <w:snapToGrid/>
                <w:spacing w:val="5"/>
                <w:szCs w:val="21"/>
              </w:rPr>
            </w:pPr>
            <w:r>
              <w:rPr>
                <w:rFonts w:ascii="Times New Roman"/>
                <w:b/>
                <w:bCs/>
                <w:snapToGrid/>
                <w:spacing w:val="5"/>
                <w:szCs w:val="21"/>
              </w:rPr>
              <w:t>表3.1.2-1  项目用地类型一览表</w:t>
            </w:r>
            <w:r>
              <w:rPr>
                <w:rFonts w:hint="eastAsia" w:ascii="Times New Roman"/>
                <w:b/>
                <w:bCs/>
                <w:snapToGrid/>
                <w:spacing w:val="5"/>
                <w:szCs w:val="21"/>
              </w:rPr>
              <w:t>（单位：公顷）</w:t>
            </w:r>
          </w:p>
          <w:tbl>
            <w:tblPr>
              <w:tblStyle w:val="30"/>
              <w:tblW w:w="4899"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56"/>
              <w:gridCol w:w="2351"/>
              <w:gridCol w:w="1956"/>
              <w:gridCol w:w="1355"/>
              <w:gridCol w:w="1355"/>
            </w:tblGrid>
            <w:tr w14:paraId="09DDB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A2D84">
                  <w:pPr>
                    <w:widowControl/>
                    <w:jc w:val="center"/>
                    <w:textAlignment w:val="center"/>
                    <w:rPr>
                      <w:color w:val="000000"/>
                    </w:rPr>
                  </w:pPr>
                  <w:r>
                    <w:rPr>
                      <w:color w:val="000000"/>
                      <w:kern w:val="0"/>
                      <w:lang w:bidi="ar"/>
                    </w:rPr>
                    <w:t>土地性质</w:t>
                  </w:r>
                </w:p>
              </w:tc>
              <w:tc>
                <w:tcPr>
                  <w:tcW w:w="23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42004">
                  <w:pPr>
                    <w:widowControl/>
                    <w:jc w:val="center"/>
                    <w:textAlignment w:val="center"/>
                    <w:rPr>
                      <w:color w:val="000000"/>
                    </w:rPr>
                  </w:pPr>
                  <w:r>
                    <w:rPr>
                      <w:color w:val="000000"/>
                      <w:kern w:val="0"/>
                      <w:lang w:bidi="ar"/>
                    </w:rPr>
                    <w:t>占地项目</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36008">
                  <w:pPr>
                    <w:widowControl/>
                    <w:jc w:val="center"/>
                    <w:textAlignment w:val="center"/>
                    <w:rPr>
                      <w:color w:val="000000"/>
                    </w:rPr>
                  </w:pPr>
                  <w:r>
                    <w:rPr>
                      <w:color w:val="000000"/>
                      <w:kern w:val="0"/>
                      <w:lang w:bidi="ar"/>
                    </w:rPr>
                    <w:t>园地</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BB6A1">
                  <w:pPr>
                    <w:widowControl/>
                    <w:jc w:val="center"/>
                    <w:textAlignment w:val="center"/>
                    <w:rPr>
                      <w:color w:val="000000"/>
                    </w:rPr>
                  </w:pPr>
                  <w:r>
                    <w:rPr>
                      <w:color w:val="000000"/>
                      <w:kern w:val="0"/>
                      <w:lang w:bidi="ar"/>
                    </w:rPr>
                    <w:t>其他草地</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2F857">
                  <w:pPr>
                    <w:widowControl/>
                    <w:jc w:val="center"/>
                    <w:textAlignment w:val="center"/>
                    <w:rPr>
                      <w:color w:val="000000"/>
                    </w:rPr>
                  </w:pPr>
                  <w:r>
                    <w:rPr>
                      <w:color w:val="000000"/>
                      <w:kern w:val="0"/>
                      <w:lang w:bidi="ar"/>
                    </w:rPr>
                    <w:t>合计</w:t>
                  </w:r>
                </w:p>
              </w:tc>
            </w:tr>
            <w:tr w14:paraId="4887EF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C6E8B3">
                  <w:pPr>
                    <w:widowControl/>
                    <w:jc w:val="center"/>
                    <w:textAlignment w:val="center"/>
                    <w:rPr>
                      <w:color w:val="000000"/>
                    </w:rPr>
                  </w:pPr>
                  <w:r>
                    <w:rPr>
                      <w:color w:val="000000"/>
                      <w:kern w:val="0"/>
                      <w:lang w:bidi="ar"/>
                    </w:rPr>
                    <w:t>永久征地</w:t>
                  </w:r>
                </w:p>
              </w:tc>
              <w:tc>
                <w:tcPr>
                  <w:tcW w:w="23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EF3A6">
                  <w:pPr>
                    <w:widowControl/>
                    <w:jc w:val="center"/>
                    <w:textAlignment w:val="center"/>
                    <w:rPr>
                      <w:color w:val="000000"/>
                    </w:rPr>
                  </w:pPr>
                  <w:r>
                    <w:rPr>
                      <w:color w:val="000000"/>
                      <w:kern w:val="0"/>
                      <w:lang w:bidi="ar"/>
                    </w:rPr>
                    <w:t>升压站</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7D4E9">
                  <w:pPr>
                    <w:jc w:val="center"/>
                    <w:rPr>
                      <w:rFonts w:hint="eastAsia"/>
                      <w:color w:val="000000"/>
                    </w:rPr>
                  </w:pPr>
                  <w:r>
                    <w:rPr>
                      <w:rFonts w:hint="eastAsia"/>
                      <w:color w:val="000000"/>
                    </w:rPr>
                    <w:t>/</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C54E2">
                  <w:pPr>
                    <w:widowControl/>
                    <w:jc w:val="center"/>
                    <w:textAlignment w:val="center"/>
                    <w:rPr>
                      <w:color w:val="000000"/>
                    </w:rPr>
                  </w:pPr>
                  <w:r>
                    <w:rPr>
                      <w:color w:val="000000"/>
                      <w:kern w:val="0"/>
                      <w:lang w:bidi="ar"/>
                    </w:rPr>
                    <w:t>0.32</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E7029">
                  <w:pPr>
                    <w:widowControl/>
                    <w:jc w:val="center"/>
                    <w:textAlignment w:val="center"/>
                    <w:rPr>
                      <w:color w:val="000000"/>
                    </w:rPr>
                  </w:pPr>
                  <w:r>
                    <w:rPr>
                      <w:color w:val="000000"/>
                    </w:rPr>
                    <w:t>0.32</w:t>
                  </w:r>
                </w:p>
              </w:tc>
            </w:tr>
            <w:tr w14:paraId="5F8495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CD7A3F">
                  <w:pPr>
                    <w:jc w:val="center"/>
                    <w:rPr>
                      <w:color w:val="000000"/>
                    </w:rPr>
                  </w:pPr>
                </w:p>
              </w:tc>
              <w:tc>
                <w:tcPr>
                  <w:tcW w:w="23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9911B">
                  <w:pPr>
                    <w:widowControl/>
                    <w:jc w:val="center"/>
                    <w:textAlignment w:val="center"/>
                    <w:rPr>
                      <w:color w:val="000000"/>
                    </w:rPr>
                  </w:pPr>
                  <w:r>
                    <w:rPr>
                      <w:color w:val="000000"/>
                      <w:kern w:val="0"/>
                      <w:lang w:bidi="ar"/>
                    </w:rPr>
                    <w:t>箱变基础</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40848">
                  <w:pPr>
                    <w:jc w:val="center"/>
                    <w:rPr>
                      <w:rFonts w:hint="eastAsia"/>
                      <w:color w:val="000000"/>
                    </w:rPr>
                  </w:pPr>
                  <w:r>
                    <w:rPr>
                      <w:rFonts w:hint="eastAsia"/>
                      <w:color w:val="000000"/>
                    </w:rPr>
                    <w:t>/</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3334C">
                  <w:pPr>
                    <w:widowControl/>
                    <w:jc w:val="center"/>
                    <w:textAlignment w:val="center"/>
                    <w:rPr>
                      <w:color w:val="000000"/>
                    </w:rPr>
                  </w:pPr>
                  <w:r>
                    <w:rPr>
                      <w:color w:val="000000"/>
                      <w:kern w:val="0"/>
                      <w:lang w:bidi="ar"/>
                    </w:rPr>
                    <w:t>0.06</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03132">
                  <w:pPr>
                    <w:widowControl/>
                    <w:jc w:val="center"/>
                    <w:textAlignment w:val="center"/>
                    <w:rPr>
                      <w:color w:val="000000"/>
                    </w:rPr>
                  </w:pPr>
                  <w:r>
                    <w:rPr>
                      <w:color w:val="000000"/>
                    </w:rPr>
                    <w:t>0.06</w:t>
                  </w:r>
                </w:p>
              </w:tc>
            </w:tr>
            <w:tr w14:paraId="6918AB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4BB684">
                  <w:pPr>
                    <w:jc w:val="center"/>
                    <w:rPr>
                      <w:color w:val="000000"/>
                    </w:rPr>
                  </w:pPr>
                </w:p>
              </w:tc>
              <w:tc>
                <w:tcPr>
                  <w:tcW w:w="23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21AA8">
                  <w:pPr>
                    <w:widowControl/>
                    <w:jc w:val="center"/>
                    <w:textAlignment w:val="center"/>
                    <w:rPr>
                      <w:color w:val="000000"/>
                    </w:rPr>
                  </w:pPr>
                  <w:r>
                    <w:rPr>
                      <w:color w:val="000000"/>
                      <w:kern w:val="0"/>
                      <w:lang w:bidi="ar"/>
                    </w:rPr>
                    <w:t>电缆分接箱</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A8A01">
                  <w:pPr>
                    <w:jc w:val="center"/>
                    <w:rPr>
                      <w:rFonts w:hint="eastAsia"/>
                      <w:color w:val="000000"/>
                    </w:rPr>
                  </w:pPr>
                  <w:r>
                    <w:rPr>
                      <w:rFonts w:hint="eastAsia"/>
                      <w:color w:val="000000"/>
                    </w:rPr>
                    <w:t>/</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1B92F">
                  <w:pPr>
                    <w:widowControl/>
                    <w:jc w:val="center"/>
                    <w:textAlignment w:val="center"/>
                    <w:rPr>
                      <w:color w:val="000000"/>
                    </w:rPr>
                  </w:pPr>
                  <w:r>
                    <w:rPr>
                      <w:color w:val="000000"/>
                      <w:kern w:val="0"/>
                      <w:lang w:bidi="ar"/>
                    </w:rPr>
                    <w:t>0.01</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3F1D2">
                  <w:pPr>
                    <w:widowControl/>
                    <w:jc w:val="center"/>
                    <w:textAlignment w:val="center"/>
                    <w:rPr>
                      <w:color w:val="000000"/>
                    </w:rPr>
                  </w:pPr>
                  <w:r>
                    <w:rPr>
                      <w:color w:val="000000"/>
                    </w:rPr>
                    <w:t>0.01</w:t>
                  </w:r>
                </w:p>
              </w:tc>
            </w:tr>
            <w:tr w14:paraId="611B96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680365">
                  <w:pPr>
                    <w:jc w:val="center"/>
                    <w:rPr>
                      <w:color w:val="000000"/>
                    </w:rPr>
                  </w:pPr>
                </w:p>
              </w:tc>
              <w:tc>
                <w:tcPr>
                  <w:tcW w:w="23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0B43E">
                  <w:pPr>
                    <w:widowControl/>
                    <w:jc w:val="center"/>
                    <w:textAlignment w:val="center"/>
                    <w:rPr>
                      <w:color w:val="000000"/>
                    </w:rPr>
                  </w:pPr>
                  <w:r>
                    <w:rPr>
                      <w:color w:val="000000"/>
                      <w:kern w:val="0"/>
                      <w:lang w:bidi="ar"/>
                    </w:rPr>
                    <w:t>电缆井</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7DB47">
                  <w:pPr>
                    <w:jc w:val="center"/>
                    <w:rPr>
                      <w:rFonts w:hint="eastAsia"/>
                      <w:color w:val="000000"/>
                    </w:rPr>
                  </w:pPr>
                  <w:r>
                    <w:rPr>
                      <w:rFonts w:hint="eastAsia"/>
                      <w:color w:val="000000"/>
                    </w:rPr>
                    <w:t>/</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4BAE2">
                  <w:pPr>
                    <w:widowControl/>
                    <w:jc w:val="center"/>
                    <w:textAlignment w:val="center"/>
                    <w:rPr>
                      <w:color w:val="000000"/>
                    </w:rPr>
                  </w:pPr>
                  <w:r>
                    <w:rPr>
                      <w:color w:val="000000"/>
                      <w:kern w:val="0"/>
                      <w:lang w:bidi="ar"/>
                    </w:rPr>
                    <w:t>0.01</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DB53B">
                  <w:pPr>
                    <w:widowControl/>
                    <w:jc w:val="center"/>
                    <w:textAlignment w:val="center"/>
                    <w:rPr>
                      <w:color w:val="000000"/>
                    </w:rPr>
                  </w:pPr>
                  <w:r>
                    <w:rPr>
                      <w:color w:val="000000"/>
                    </w:rPr>
                    <w:t>0.01</w:t>
                  </w:r>
                </w:p>
              </w:tc>
            </w:tr>
            <w:tr w14:paraId="1BE0F7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B30BDC">
                  <w:pPr>
                    <w:jc w:val="center"/>
                    <w:rPr>
                      <w:color w:val="000000"/>
                    </w:rPr>
                  </w:pPr>
                </w:p>
              </w:tc>
              <w:tc>
                <w:tcPr>
                  <w:tcW w:w="23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5CA7D9">
                  <w:pPr>
                    <w:widowControl/>
                    <w:jc w:val="center"/>
                    <w:textAlignment w:val="center"/>
                    <w:rPr>
                      <w:color w:val="000000"/>
                    </w:rPr>
                  </w:pPr>
                  <w:r>
                    <w:rPr>
                      <w:color w:val="000000"/>
                      <w:kern w:val="0"/>
                      <w:lang w:bidi="ar"/>
                    </w:rPr>
                    <w:t>集电线路杆塔</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E4FA2">
                  <w:pPr>
                    <w:widowControl/>
                    <w:jc w:val="center"/>
                    <w:textAlignment w:val="center"/>
                    <w:rPr>
                      <w:color w:val="000000"/>
                    </w:rPr>
                  </w:pPr>
                  <w:r>
                    <w:rPr>
                      <w:color w:val="000000"/>
                      <w:kern w:val="0"/>
                      <w:lang w:bidi="ar"/>
                    </w:rPr>
                    <w:t>0.06</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2D117">
                  <w:pPr>
                    <w:widowControl/>
                    <w:jc w:val="center"/>
                    <w:textAlignment w:val="center"/>
                    <w:rPr>
                      <w:color w:val="000000"/>
                    </w:rPr>
                  </w:pPr>
                  <w:r>
                    <w:rPr>
                      <w:color w:val="000000"/>
                      <w:kern w:val="0"/>
                      <w:lang w:bidi="ar"/>
                    </w:rPr>
                    <w:t>0.26</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67341C">
                  <w:pPr>
                    <w:widowControl/>
                    <w:jc w:val="center"/>
                    <w:textAlignment w:val="center"/>
                    <w:rPr>
                      <w:color w:val="000000"/>
                    </w:rPr>
                  </w:pPr>
                  <w:r>
                    <w:rPr>
                      <w:color w:val="000000"/>
                    </w:rPr>
                    <w:t>0.32</w:t>
                  </w:r>
                </w:p>
              </w:tc>
            </w:tr>
            <w:tr w14:paraId="17C73F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7EEA22">
                  <w:pPr>
                    <w:jc w:val="center"/>
                    <w:rPr>
                      <w:color w:val="000000"/>
                    </w:rPr>
                  </w:pPr>
                </w:p>
              </w:tc>
              <w:tc>
                <w:tcPr>
                  <w:tcW w:w="23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024E0">
                  <w:pPr>
                    <w:widowControl/>
                    <w:jc w:val="center"/>
                    <w:textAlignment w:val="center"/>
                    <w:rPr>
                      <w:color w:val="000000"/>
                    </w:rPr>
                  </w:pPr>
                  <w:r>
                    <w:rPr>
                      <w:color w:val="000000"/>
                      <w:kern w:val="0"/>
                      <w:lang w:bidi="ar"/>
                    </w:rPr>
                    <w:t>进站道路</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F6C2B">
                  <w:pPr>
                    <w:jc w:val="center"/>
                    <w:rPr>
                      <w:rFonts w:hint="eastAsia"/>
                      <w:color w:val="000000"/>
                    </w:rPr>
                  </w:pPr>
                  <w:r>
                    <w:rPr>
                      <w:rFonts w:hint="eastAsia"/>
                      <w:color w:val="000000"/>
                    </w:rPr>
                    <w:t>/</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365DE">
                  <w:pPr>
                    <w:widowControl/>
                    <w:jc w:val="center"/>
                    <w:textAlignment w:val="center"/>
                    <w:rPr>
                      <w:color w:val="000000"/>
                    </w:rPr>
                  </w:pPr>
                  <w:r>
                    <w:rPr>
                      <w:color w:val="000000"/>
                      <w:kern w:val="0"/>
                      <w:lang w:bidi="ar"/>
                    </w:rPr>
                    <w:t>0.2</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B982C">
                  <w:pPr>
                    <w:widowControl/>
                    <w:jc w:val="center"/>
                    <w:textAlignment w:val="center"/>
                    <w:rPr>
                      <w:color w:val="000000"/>
                    </w:rPr>
                  </w:pPr>
                  <w:r>
                    <w:rPr>
                      <w:color w:val="000000"/>
                    </w:rPr>
                    <w:t>0.20</w:t>
                  </w:r>
                </w:p>
              </w:tc>
            </w:tr>
            <w:tr w14:paraId="7B5B98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180335">
                  <w:pPr>
                    <w:jc w:val="center"/>
                    <w:rPr>
                      <w:color w:val="000000"/>
                    </w:rPr>
                  </w:pPr>
                </w:p>
              </w:tc>
              <w:tc>
                <w:tcPr>
                  <w:tcW w:w="23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FAD27">
                  <w:pPr>
                    <w:widowControl/>
                    <w:jc w:val="center"/>
                    <w:textAlignment w:val="center"/>
                    <w:rPr>
                      <w:color w:val="000000"/>
                    </w:rPr>
                  </w:pPr>
                  <w:r>
                    <w:rPr>
                      <w:color w:val="000000"/>
                      <w:kern w:val="0"/>
                      <w:lang w:bidi="ar"/>
                    </w:rPr>
                    <w:t>合计</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C77CD">
                  <w:pPr>
                    <w:widowControl/>
                    <w:jc w:val="center"/>
                    <w:textAlignment w:val="center"/>
                    <w:rPr>
                      <w:color w:val="000000"/>
                    </w:rPr>
                  </w:pPr>
                  <w:r>
                    <w:rPr>
                      <w:color w:val="000000"/>
                      <w:kern w:val="0"/>
                      <w:lang w:bidi="ar"/>
                    </w:rPr>
                    <w:t>0.06</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3454C">
                  <w:pPr>
                    <w:widowControl/>
                    <w:jc w:val="center"/>
                    <w:textAlignment w:val="center"/>
                    <w:rPr>
                      <w:color w:val="000000"/>
                    </w:rPr>
                  </w:pPr>
                  <w:r>
                    <w:rPr>
                      <w:color w:val="000000"/>
                      <w:kern w:val="0"/>
                      <w:lang w:bidi="ar"/>
                    </w:rPr>
                    <w:t>0.86</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EC0B5">
                  <w:pPr>
                    <w:widowControl/>
                    <w:jc w:val="center"/>
                    <w:textAlignment w:val="center"/>
                    <w:rPr>
                      <w:color w:val="000000"/>
                    </w:rPr>
                  </w:pPr>
                  <w:r>
                    <w:rPr>
                      <w:color w:val="000000"/>
                    </w:rPr>
                    <w:t>0.92</w:t>
                  </w:r>
                </w:p>
              </w:tc>
            </w:tr>
            <w:tr w14:paraId="64BDC0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6967F8E">
                  <w:pPr>
                    <w:widowControl/>
                    <w:jc w:val="center"/>
                    <w:textAlignment w:val="center"/>
                    <w:rPr>
                      <w:color w:val="000000"/>
                    </w:rPr>
                  </w:pPr>
                  <w:r>
                    <w:rPr>
                      <w:color w:val="000000"/>
                      <w:kern w:val="0"/>
                      <w:lang w:bidi="ar"/>
                    </w:rPr>
                    <w:t>长期租地</w:t>
                  </w:r>
                </w:p>
              </w:tc>
              <w:tc>
                <w:tcPr>
                  <w:tcW w:w="23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65DBA">
                  <w:pPr>
                    <w:widowControl/>
                    <w:jc w:val="center"/>
                    <w:textAlignment w:val="center"/>
                    <w:rPr>
                      <w:color w:val="000000"/>
                    </w:rPr>
                  </w:pPr>
                  <w:r>
                    <w:rPr>
                      <w:color w:val="000000"/>
                      <w:kern w:val="0"/>
                      <w:lang w:bidi="ar"/>
                    </w:rPr>
                    <w:t>光伏阵列区</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7F46E">
                  <w:pPr>
                    <w:widowControl/>
                    <w:jc w:val="center"/>
                    <w:textAlignment w:val="center"/>
                    <w:rPr>
                      <w:color w:val="000000"/>
                    </w:rPr>
                  </w:pPr>
                  <w:r>
                    <w:rPr>
                      <w:color w:val="000000"/>
                      <w:kern w:val="0"/>
                      <w:lang w:bidi="ar"/>
                    </w:rPr>
                    <w:t>10.61</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8E51A">
                  <w:pPr>
                    <w:widowControl/>
                    <w:jc w:val="center"/>
                    <w:textAlignment w:val="center"/>
                    <w:rPr>
                      <w:color w:val="000000"/>
                    </w:rPr>
                  </w:pPr>
                  <w:r>
                    <w:rPr>
                      <w:color w:val="000000"/>
                      <w:kern w:val="0"/>
                      <w:lang w:bidi="ar"/>
                    </w:rPr>
                    <w:t>58.93</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2FDF3">
                  <w:pPr>
                    <w:widowControl/>
                    <w:jc w:val="center"/>
                    <w:textAlignment w:val="center"/>
                    <w:rPr>
                      <w:color w:val="000000"/>
                    </w:rPr>
                  </w:pPr>
                  <w:r>
                    <w:rPr>
                      <w:color w:val="000000"/>
                    </w:rPr>
                    <w:t>69.54</w:t>
                  </w:r>
                </w:p>
              </w:tc>
            </w:tr>
            <w:tr w14:paraId="6093C6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FF88A7">
                  <w:pPr>
                    <w:jc w:val="center"/>
                    <w:rPr>
                      <w:color w:val="000000"/>
                    </w:rPr>
                  </w:pPr>
                </w:p>
              </w:tc>
              <w:tc>
                <w:tcPr>
                  <w:tcW w:w="23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51661">
                  <w:pPr>
                    <w:widowControl/>
                    <w:jc w:val="center"/>
                    <w:textAlignment w:val="center"/>
                    <w:rPr>
                      <w:color w:val="000000"/>
                    </w:rPr>
                  </w:pPr>
                  <w:r>
                    <w:rPr>
                      <w:color w:val="000000"/>
                      <w:kern w:val="0"/>
                      <w:lang w:bidi="ar"/>
                    </w:rPr>
                    <w:t>围栏内直埋电缆沟</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5692C">
                  <w:pPr>
                    <w:jc w:val="center"/>
                    <w:rPr>
                      <w:rFonts w:hint="eastAsia"/>
                      <w:color w:val="000000"/>
                    </w:rPr>
                  </w:pPr>
                  <w:r>
                    <w:rPr>
                      <w:rFonts w:hint="eastAsia"/>
                      <w:color w:val="000000"/>
                    </w:rPr>
                    <w:t>/</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A7DE3">
                  <w:pPr>
                    <w:widowControl/>
                    <w:jc w:val="center"/>
                    <w:textAlignment w:val="center"/>
                    <w:rPr>
                      <w:color w:val="000000"/>
                    </w:rPr>
                  </w:pPr>
                  <w:r>
                    <w:rPr>
                      <w:color w:val="000000"/>
                      <w:kern w:val="0"/>
                      <w:lang w:bidi="ar"/>
                    </w:rPr>
                    <w:t>1.68</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32D02">
                  <w:pPr>
                    <w:widowControl/>
                    <w:jc w:val="center"/>
                    <w:textAlignment w:val="center"/>
                    <w:rPr>
                      <w:color w:val="000000"/>
                    </w:rPr>
                  </w:pPr>
                  <w:r>
                    <w:rPr>
                      <w:color w:val="000000"/>
                    </w:rPr>
                    <w:t>1.68</w:t>
                  </w:r>
                </w:p>
              </w:tc>
            </w:tr>
            <w:tr w14:paraId="197CF5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C5FDCC">
                  <w:pPr>
                    <w:jc w:val="center"/>
                    <w:rPr>
                      <w:color w:val="000000"/>
                    </w:rPr>
                  </w:pPr>
                </w:p>
              </w:tc>
              <w:tc>
                <w:tcPr>
                  <w:tcW w:w="23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1CF91">
                  <w:pPr>
                    <w:widowControl/>
                    <w:jc w:val="center"/>
                    <w:textAlignment w:val="center"/>
                    <w:rPr>
                      <w:color w:val="000000"/>
                    </w:rPr>
                  </w:pPr>
                  <w:r>
                    <w:rPr>
                      <w:color w:val="000000"/>
                      <w:kern w:val="0"/>
                      <w:lang w:bidi="ar"/>
                    </w:rPr>
                    <w:t>场内施工道路</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645D5">
                  <w:pPr>
                    <w:widowControl/>
                    <w:jc w:val="center"/>
                    <w:textAlignment w:val="center"/>
                    <w:rPr>
                      <w:color w:val="000000"/>
                    </w:rPr>
                  </w:pPr>
                  <w:r>
                    <w:rPr>
                      <w:color w:val="000000"/>
                      <w:kern w:val="0"/>
                      <w:lang w:bidi="ar"/>
                    </w:rPr>
                    <w:t>1.55</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3E4F7">
                  <w:pPr>
                    <w:widowControl/>
                    <w:jc w:val="center"/>
                    <w:textAlignment w:val="center"/>
                    <w:rPr>
                      <w:color w:val="000000"/>
                    </w:rPr>
                  </w:pPr>
                  <w:r>
                    <w:rPr>
                      <w:color w:val="000000"/>
                      <w:kern w:val="0"/>
                      <w:lang w:bidi="ar"/>
                    </w:rPr>
                    <w:t>12.16</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4B8A9">
                  <w:pPr>
                    <w:widowControl/>
                    <w:jc w:val="center"/>
                    <w:textAlignment w:val="center"/>
                    <w:rPr>
                      <w:color w:val="000000"/>
                    </w:rPr>
                  </w:pPr>
                  <w:r>
                    <w:rPr>
                      <w:color w:val="000000"/>
                    </w:rPr>
                    <w:t>13.70</w:t>
                  </w:r>
                </w:p>
              </w:tc>
            </w:tr>
            <w:tr w14:paraId="466231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B91CD0">
                  <w:pPr>
                    <w:jc w:val="center"/>
                    <w:rPr>
                      <w:color w:val="000000"/>
                    </w:rPr>
                  </w:pPr>
                </w:p>
              </w:tc>
              <w:tc>
                <w:tcPr>
                  <w:tcW w:w="23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5F8B5">
                  <w:pPr>
                    <w:widowControl/>
                    <w:jc w:val="center"/>
                    <w:textAlignment w:val="center"/>
                    <w:rPr>
                      <w:color w:val="000000"/>
                    </w:rPr>
                  </w:pPr>
                  <w:r>
                    <w:rPr>
                      <w:color w:val="000000"/>
                      <w:kern w:val="0"/>
                      <w:lang w:bidi="ar"/>
                    </w:rPr>
                    <w:t>合计</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ABF3C">
                  <w:pPr>
                    <w:widowControl/>
                    <w:jc w:val="center"/>
                    <w:textAlignment w:val="center"/>
                    <w:rPr>
                      <w:color w:val="000000"/>
                    </w:rPr>
                  </w:pPr>
                  <w:r>
                    <w:rPr>
                      <w:color w:val="000000"/>
                      <w:kern w:val="0"/>
                      <w:lang w:bidi="ar"/>
                    </w:rPr>
                    <w:t>12.16</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3AD34">
                  <w:pPr>
                    <w:widowControl/>
                    <w:jc w:val="center"/>
                    <w:textAlignment w:val="center"/>
                    <w:rPr>
                      <w:color w:val="000000"/>
                    </w:rPr>
                  </w:pPr>
                  <w:r>
                    <w:rPr>
                      <w:color w:val="000000"/>
                      <w:kern w:val="0"/>
                      <w:lang w:bidi="ar"/>
                    </w:rPr>
                    <w:t>72.77</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48F3B">
                  <w:pPr>
                    <w:widowControl/>
                    <w:jc w:val="center"/>
                    <w:textAlignment w:val="center"/>
                    <w:rPr>
                      <w:color w:val="000000"/>
                    </w:rPr>
                  </w:pPr>
                  <w:r>
                    <w:rPr>
                      <w:color w:val="000000"/>
                    </w:rPr>
                    <w:t>84.93</w:t>
                  </w:r>
                </w:p>
              </w:tc>
            </w:tr>
            <w:tr w14:paraId="301F98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3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CB763B">
                  <w:pPr>
                    <w:widowControl/>
                    <w:jc w:val="center"/>
                    <w:textAlignment w:val="center"/>
                    <w:rPr>
                      <w:color w:val="000000"/>
                    </w:rPr>
                  </w:pPr>
                  <w:r>
                    <w:rPr>
                      <w:color w:val="000000"/>
                      <w:kern w:val="0"/>
                      <w:lang w:bidi="ar"/>
                    </w:rPr>
                    <w:t>临时租地</w:t>
                  </w:r>
                </w:p>
              </w:tc>
              <w:tc>
                <w:tcPr>
                  <w:tcW w:w="23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6EF8A">
                  <w:pPr>
                    <w:widowControl/>
                    <w:jc w:val="center"/>
                    <w:textAlignment w:val="center"/>
                    <w:rPr>
                      <w:color w:val="000000"/>
                    </w:rPr>
                  </w:pPr>
                  <w:r>
                    <w:rPr>
                      <w:color w:val="000000"/>
                      <w:kern w:val="0"/>
                      <w:lang w:bidi="ar"/>
                    </w:rPr>
                    <w:t>临时生活、生产设施及仓库</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70225">
                  <w:pPr>
                    <w:jc w:val="center"/>
                    <w:rPr>
                      <w:rFonts w:hint="eastAsia"/>
                      <w:color w:val="000000"/>
                    </w:rPr>
                  </w:pPr>
                  <w:r>
                    <w:rPr>
                      <w:rFonts w:hint="eastAsia"/>
                      <w:color w:val="000000"/>
                    </w:rPr>
                    <w:t>/</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92BD5">
                  <w:pPr>
                    <w:widowControl/>
                    <w:jc w:val="center"/>
                    <w:textAlignment w:val="center"/>
                    <w:rPr>
                      <w:color w:val="000000"/>
                    </w:rPr>
                  </w:pPr>
                  <w:r>
                    <w:rPr>
                      <w:color w:val="000000"/>
                      <w:kern w:val="0"/>
                      <w:lang w:bidi="ar"/>
                    </w:rPr>
                    <w:t>0.54</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6F3C9">
                  <w:pPr>
                    <w:widowControl/>
                    <w:jc w:val="center"/>
                    <w:textAlignment w:val="center"/>
                    <w:rPr>
                      <w:color w:val="000000"/>
                    </w:rPr>
                  </w:pPr>
                  <w:r>
                    <w:rPr>
                      <w:color w:val="000000"/>
                    </w:rPr>
                    <w:t>0.54</w:t>
                  </w:r>
                </w:p>
              </w:tc>
            </w:tr>
            <w:tr w14:paraId="6E6AC7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81E162">
                  <w:pPr>
                    <w:jc w:val="center"/>
                    <w:rPr>
                      <w:color w:val="000000"/>
                    </w:rPr>
                  </w:pPr>
                </w:p>
              </w:tc>
              <w:tc>
                <w:tcPr>
                  <w:tcW w:w="23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C41F7">
                  <w:pPr>
                    <w:widowControl/>
                    <w:jc w:val="center"/>
                    <w:textAlignment w:val="center"/>
                    <w:rPr>
                      <w:color w:val="000000"/>
                    </w:rPr>
                  </w:pPr>
                  <w:r>
                    <w:rPr>
                      <w:color w:val="000000"/>
                      <w:kern w:val="0"/>
                      <w:lang w:bidi="ar"/>
                    </w:rPr>
                    <w:t>围栏外直埋电缆沟</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A4651">
                  <w:pPr>
                    <w:jc w:val="center"/>
                    <w:rPr>
                      <w:rFonts w:hint="eastAsia"/>
                      <w:color w:val="000000"/>
                    </w:rPr>
                  </w:pPr>
                  <w:r>
                    <w:rPr>
                      <w:rFonts w:hint="eastAsia"/>
                      <w:color w:val="000000"/>
                    </w:rPr>
                    <w:t>/</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9B0D4">
                  <w:pPr>
                    <w:widowControl/>
                    <w:jc w:val="center"/>
                    <w:textAlignment w:val="center"/>
                    <w:rPr>
                      <w:color w:val="000000"/>
                    </w:rPr>
                  </w:pPr>
                  <w:r>
                    <w:rPr>
                      <w:color w:val="000000"/>
                      <w:kern w:val="0"/>
                      <w:lang w:bidi="ar"/>
                    </w:rPr>
                    <w:t>0.59</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4B10A">
                  <w:pPr>
                    <w:widowControl/>
                    <w:jc w:val="center"/>
                    <w:textAlignment w:val="center"/>
                    <w:rPr>
                      <w:color w:val="000000"/>
                    </w:rPr>
                  </w:pPr>
                  <w:r>
                    <w:rPr>
                      <w:color w:val="000000"/>
                    </w:rPr>
                    <w:t>0.59</w:t>
                  </w:r>
                </w:p>
              </w:tc>
            </w:tr>
            <w:tr w14:paraId="25AD1D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79529F">
                  <w:pPr>
                    <w:jc w:val="center"/>
                    <w:rPr>
                      <w:color w:val="000000"/>
                    </w:rPr>
                  </w:pPr>
                </w:p>
              </w:tc>
              <w:tc>
                <w:tcPr>
                  <w:tcW w:w="23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ECE64">
                  <w:pPr>
                    <w:widowControl/>
                    <w:jc w:val="center"/>
                    <w:textAlignment w:val="center"/>
                    <w:rPr>
                      <w:color w:val="000000"/>
                    </w:rPr>
                  </w:pPr>
                  <w:r>
                    <w:rPr>
                      <w:color w:val="000000"/>
                      <w:kern w:val="0"/>
                      <w:lang w:bidi="ar"/>
                    </w:rPr>
                    <w:t>合计</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D81334">
                  <w:pPr>
                    <w:widowControl/>
                    <w:jc w:val="center"/>
                    <w:textAlignment w:val="center"/>
                    <w:rPr>
                      <w:color w:val="000000"/>
                    </w:rPr>
                  </w:pPr>
                  <w:r>
                    <w:rPr>
                      <w:rFonts w:hint="eastAsia"/>
                      <w:color w:val="000000"/>
                      <w:kern w:val="0"/>
                      <w:lang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5BC13">
                  <w:pPr>
                    <w:widowControl/>
                    <w:jc w:val="center"/>
                    <w:textAlignment w:val="center"/>
                    <w:rPr>
                      <w:color w:val="000000"/>
                    </w:rPr>
                  </w:pPr>
                  <w:r>
                    <w:rPr>
                      <w:color w:val="000000"/>
                      <w:kern w:val="0"/>
                      <w:lang w:bidi="ar"/>
                    </w:rPr>
                    <w:t>1.13</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621F8">
                  <w:pPr>
                    <w:widowControl/>
                    <w:jc w:val="center"/>
                    <w:textAlignment w:val="center"/>
                    <w:rPr>
                      <w:color w:val="000000"/>
                    </w:rPr>
                  </w:pPr>
                  <w:r>
                    <w:rPr>
                      <w:color w:val="000000"/>
                    </w:rPr>
                    <w:t>1.13</w:t>
                  </w:r>
                </w:p>
              </w:tc>
            </w:tr>
            <w:tr w14:paraId="33D4D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64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47C81C">
                  <w:pPr>
                    <w:jc w:val="center"/>
                    <w:rPr>
                      <w:color w:val="000000"/>
                    </w:rPr>
                  </w:pPr>
                  <w:r>
                    <w:rPr>
                      <w:color w:val="000000"/>
                      <w:kern w:val="0"/>
                      <w:lang w:bidi="ar"/>
                    </w:rPr>
                    <w:t>总计</w:t>
                  </w:r>
                </w:p>
              </w:tc>
              <w:tc>
                <w:tcPr>
                  <w:tcW w:w="1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A77E0">
                  <w:pPr>
                    <w:widowControl/>
                    <w:jc w:val="center"/>
                    <w:textAlignment w:val="center"/>
                    <w:rPr>
                      <w:color w:val="000000"/>
                    </w:rPr>
                  </w:pPr>
                  <w:r>
                    <w:rPr>
                      <w:color w:val="000000"/>
                      <w:kern w:val="0"/>
                      <w:lang w:bidi="ar"/>
                    </w:rPr>
                    <w:t>12.22</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0A926">
                  <w:pPr>
                    <w:widowControl/>
                    <w:jc w:val="center"/>
                    <w:textAlignment w:val="center"/>
                    <w:rPr>
                      <w:color w:val="000000"/>
                    </w:rPr>
                  </w:pPr>
                  <w:r>
                    <w:rPr>
                      <w:color w:val="000000"/>
                      <w:kern w:val="0"/>
                      <w:lang w:bidi="ar"/>
                    </w:rPr>
                    <w:t>74.75</w:t>
                  </w:r>
                </w:p>
              </w:tc>
              <w:tc>
                <w:tcPr>
                  <w:tcW w:w="1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80CCA">
                  <w:pPr>
                    <w:widowControl/>
                    <w:jc w:val="center"/>
                    <w:textAlignment w:val="center"/>
                    <w:rPr>
                      <w:color w:val="000000"/>
                    </w:rPr>
                  </w:pPr>
                  <w:r>
                    <w:rPr>
                      <w:color w:val="000000"/>
                    </w:rPr>
                    <w:t>86.97</w:t>
                  </w:r>
                </w:p>
              </w:tc>
            </w:tr>
          </w:tbl>
          <w:p w14:paraId="6E128A73">
            <w:pPr>
              <w:widowControl/>
              <w:spacing w:line="360" w:lineRule="auto"/>
              <w:ind w:firstLine="464" w:firstLineChars="200"/>
              <w:rPr>
                <w:rFonts w:hint="eastAsia"/>
                <w:spacing w:val="-4"/>
                <w:sz w:val="24"/>
                <w:szCs w:val="24"/>
              </w:rPr>
            </w:pPr>
            <w:r>
              <w:rPr>
                <w:rFonts w:hint="eastAsia"/>
                <w:spacing w:val="-4"/>
                <w:sz w:val="24"/>
                <w:szCs w:val="24"/>
              </w:rPr>
              <w:t>本项目调查范围面积为2815.57hm</w:t>
            </w:r>
            <w:r>
              <w:rPr>
                <w:rFonts w:hint="eastAsia"/>
                <w:spacing w:val="-4"/>
                <w:sz w:val="24"/>
                <w:szCs w:val="24"/>
                <w:vertAlign w:val="superscript"/>
              </w:rPr>
              <w:t>2</w:t>
            </w:r>
            <w:r>
              <w:rPr>
                <w:rFonts w:hint="eastAsia"/>
                <w:spacing w:val="-4"/>
                <w:sz w:val="24"/>
                <w:szCs w:val="24"/>
              </w:rPr>
              <w:t>，其中旱地面积最大，为935.62hm</w:t>
            </w:r>
            <w:r>
              <w:rPr>
                <w:rFonts w:hint="eastAsia"/>
                <w:spacing w:val="-4"/>
                <w:sz w:val="24"/>
                <w:szCs w:val="24"/>
                <w:vertAlign w:val="superscript"/>
              </w:rPr>
              <w:t>2</w:t>
            </w:r>
            <w:r>
              <w:rPr>
                <w:rFonts w:hint="eastAsia"/>
                <w:spacing w:val="-4"/>
                <w:sz w:val="24"/>
                <w:szCs w:val="24"/>
              </w:rPr>
              <w:t>，占调查区总面积的33.23%，其次是其他草地（624.95hm</w:t>
            </w:r>
            <w:r>
              <w:rPr>
                <w:rFonts w:hint="eastAsia"/>
                <w:spacing w:val="-4"/>
                <w:sz w:val="24"/>
                <w:szCs w:val="24"/>
                <w:vertAlign w:val="superscript"/>
              </w:rPr>
              <w:t>2</w:t>
            </w:r>
            <w:r>
              <w:rPr>
                <w:rFonts w:hint="eastAsia"/>
                <w:spacing w:val="-4"/>
                <w:sz w:val="24"/>
                <w:szCs w:val="24"/>
              </w:rPr>
              <w:t>）和乔木林地（432.46hm</w:t>
            </w:r>
            <w:r>
              <w:rPr>
                <w:rFonts w:hint="eastAsia"/>
                <w:spacing w:val="-4"/>
                <w:sz w:val="24"/>
                <w:szCs w:val="24"/>
                <w:vertAlign w:val="superscript"/>
              </w:rPr>
              <w:t>2</w:t>
            </w:r>
            <w:r>
              <w:rPr>
                <w:rFonts w:hint="eastAsia"/>
                <w:spacing w:val="-4"/>
                <w:sz w:val="24"/>
                <w:szCs w:val="24"/>
              </w:rPr>
              <w:t>），分别占调查区总面积的22.20%和15.36%，</w:t>
            </w:r>
            <w:r>
              <w:rPr>
                <w:rFonts w:hint="eastAsia"/>
                <w:kern w:val="0"/>
                <w:sz w:val="24"/>
                <w:szCs w:val="24"/>
                <w:lang w:bidi="ar"/>
              </w:rPr>
              <w:t>调查</w:t>
            </w:r>
            <w:r>
              <w:rPr>
                <w:rFonts w:hint="eastAsia"/>
                <w:spacing w:val="-4"/>
                <w:sz w:val="24"/>
                <w:szCs w:val="24"/>
              </w:rPr>
              <w:t>区土地利用现状详见表3.1.2-</w:t>
            </w:r>
            <w:r>
              <w:rPr>
                <w:spacing w:val="-4"/>
                <w:sz w:val="24"/>
                <w:szCs w:val="24"/>
              </w:rPr>
              <w:t>2</w:t>
            </w:r>
            <w:r>
              <w:rPr>
                <w:rFonts w:hint="eastAsia"/>
                <w:spacing w:val="-4"/>
                <w:sz w:val="24"/>
                <w:szCs w:val="24"/>
              </w:rPr>
              <w:t>。</w:t>
            </w:r>
          </w:p>
          <w:p w14:paraId="4B46891F">
            <w:pPr>
              <w:jc w:val="center"/>
            </w:pPr>
            <w:r>
              <w:rPr>
                <w:b/>
                <w:bCs/>
                <w:spacing w:val="5"/>
              </w:rPr>
              <w:t>表</w:t>
            </w:r>
            <w:r>
              <w:rPr>
                <w:rFonts w:hint="eastAsia"/>
                <w:b/>
                <w:bCs/>
                <w:spacing w:val="5"/>
              </w:rPr>
              <w:t>3</w:t>
            </w:r>
            <w:r>
              <w:rPr>
                <w:b/>
                <w:bCs/>
                <w:spacing w:val="5"/>
              </w:rPr>
              <w:t xml:space="preserve">.1.2-2  </w:t>
            </w:r>
            <w:r>
              <w:rPr>
                <w:rFonts w:hint="eastAsia"/>
                <w:b/>
                <w:bCs/>
                <w:spacing w:val="5"/>
              </w:rPr>
              <w:t>调查区土地利用现状一览表</w:t>
            </w:r>
          </w:p>
          <w:tbl>
            <w:tblPr>
              <w:tblStyle w:val="30"/>
              <w:tblW w:w="4885" w:type="pct"/>
              <w:jc w:val="center"/>
              <w:tblLayout w:type="fixed"/>
              <w:tblCellMar>
                <w:top w:w="0" w:type="dxa"/>
                <w:left w:w="108" w:type="dxa"/>
                <w:bottom w:w="0" w:type="dxa"/>
                <w:right w:w="108" w:type="dxa"/>
              </w:tblCellMar>
            </w:tblPr>
            <w:tblGrid>
              <w:gridCol w:w="3503"/>
              <w:gridCol w:w="2225"/>
              <w:gridCol w:w="2631"/>
            </w:tblGrid>
            <w:tr w14:paraId="188D9004">
              <w:tblPrEx>
                <w:tblCellMar>
                  <w:top w:w="0" w:type="dxa"/>
                  <w:left w:w="108" w:type="dxa"/>
                  <w:bottom w:w="0" w:type="dxa"/>
                  <w:right w:w="108" w:type="dxa"/>
                </w:tblCellMar>
              </w:tblPrEx>
              <w:trPr>
                <w:trHeight w:val="272" w:hRule="atLeast"/>
                <w:jc w:val="center"/>
              </w:trPr>
              <w:tc>
                <w:tcPr>
                  <w:tcW w:w="20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9E8F4">
                  <w:pPr>
                    <w:widowControl/>
                    <w:jc w:val="center"/>
                    <w:textAlignment w:val="center"/>
                    <w:rPr>
                      <w:color w:val="000000"/>
                      <w:kern w:val="0"/>
                      <w:sz w:val="22"/>
                      <w:szCs w:val="22"/>
                      <w:lang w:bidi="ar"/>
                    </w:rPr>
                  </w:pPr>
                  <w:r>
                    <w:rPr>
                      <w:color w:val="000000"/>
                      <w:kern w:val="0"/>
                      <w:sz w:val="22"/>
                      <w:szCs w:val="22"/>
                      <w:lang w:bidi="ar"/>
                    </w:rPr>
                    <w:t>土地利用现状类型</w:t>
                  </w:r>
                </w:p>
              </w:tc>
              <w:tc>
                <w:tcPr>
                  <w:tcW w:w="13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2E10A">
                  <w:pPr>
                    <w:widowControl/>
                    <w:jc w:val="center"/>
                    <w:textAlignment w:val="center"/>
                    <w:rPr>
                      <w:color w:val="000000"/>
                      <w:kern w:val="0"/>
                      <w:sz w:val="22"/>
                      <w:szCs w:val="22"/>
                      <w:lang w:bidi="ar"/>
                    </w:rPr>
                  </w:pPr>
                  <w:r>
                    <w:rPr>
                      <w:color w:val="000000"/>
                      <w:kern w:val="0"/>
                      <w:sz w:val="22"/>
                      <w:szCs w:val="22"/>
                      <w:lang w:bidi="ar"/>
                    </w:rPr>
                    <w:t>面积</w:t>
                  </w:r>
                  <w:r>
                    <w:rPr>
                      <w:rFonts w:hint="eastAsia"/>
                      <w:color w:val="000000"/>
                      <w:kern w:val="0"/>
                      <w:sz w:val="22"/>
                      <w:szCs w:val="22"/>
                      <w:lang w:bidi="ar"/>
                    </w:rPr>
                    <w:t>/hm</w:t>
                  </w:r>
                  <w:r>
                    <w:rPr>
                      <w:rFonts w:hint="eastAsia"/>
                      <w:color w:val="000000"/>
                      <w:kern w:val="0"/>
                      <w:sz w:val="22"/>
                      <w:szCs w:val="22"/>
                      <w:vertAlign w:val="superscript"/>
                      <w:lang w:bidi="ar"/>
                    </w:rPr>
                    <w:t>2</w:t>
                  </w:r>
                </w:p>
              </w:tc>
              <w:tc>
                <w:tcPr>
                  <w:tcW w:w="15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DB9F5">
                  <w:pPr>
                    <w:widowControl/>
                    <w:jc w:val="center"/>
                    <w:textAlignment w:val="center"/>
                    <w:rPr>
                      <w:color w:val="000000"/>
                      <w:kern w:val="0"/>
                      <w:sz w:val="22"/>
                      <w:szCs w:val="22"/>
                      <w:lang w:bidi="ar"/>
                    </w:rPr>
                  </w:pPr>
                  <w:r>
                    <w:rPr>
                      <w:color w:val="000000"/>
                      <w:kern w:val="0"/>
                      <w:sz w:val="22"/>
                      <w:szCs w:val="22"/>
                      <w:lang w:bidi="ar"/>
                    </w:rPr>
                    <w:t>占比</w:t>
                  </w:r>
                  <w:r>
                    <w:rPr>
                      <w:rFonts w:hint="eastAsia"/>
                      <w:color w:val="000000"/>
                      <w:kern w:val="0"/>
                      <w:sz w:val="22"/>
                      <w:szCs w:val="22"/>
                      <w:lang w:bidi="ar"/>
                    </w:rPr>
                    <w:t>/%</w:t>
                  </w:r>
                </w:p>
              </w:tc>
            </w:tr>
            <w:tr w14:paraId="282E35AB">
              <w:tblPrEx>
                <w:tblCellMar>
                  <w:top w:w="0" w:type="dxa"/>
                  <w:left w:w="108" w:type="dxa"/>
                  <w:bottom w:w="0" w:type="dxa"/>
                  <w:right w:w="108" w:type="dxa"/>
                </w:tblCellMar>
              </w:tblPrEx>
              <w:trPr>
                <w:trHeight w:val="272" w:hRule="atLeast"/>
                <w:jc w:val="center"/>
              </w:trPr>
              <w:tc>
                <w:tcPr>
                  <w:tcW w:w="20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AA03B">
                  <w:pPr>
                    <w:widowControl/>
                    <w:jc w:val="center"/>
                    <w:textAlignment w:val="center"/>
                    <w:rPr>
                      <w:color w:val="000000"/>
                      <w:sz w:val="22"/>
                      <w:szCs w:val="22"/>
                    </w:rPr>
                  </w:pPr>
                  <w:r>
                    <w:rPr>
                      <w:color w:val="000000"/>
                      <w:kern w:val="0"/>
                      <w:sz w:val="22"/>
                      <w:szCs w:val="22"/>
                      <w:lang w:bidi="ar"/>
                    </w:rPr>
                    <w:t>乔木林地</w:t>
                  </w:r>
                </w:p>
              </w:tc>
              <w:tc>
                <w:tcPr>
                  <w:tcW w:w="13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C51E3">
                  <w:pPr>
                    <w:widowControl/>
                    <w:jc w:val="center"/>
                    <w:textAlignment w:val="center"/>
                    <w:rPr>
                      <w:color w:val="000000"/>
                      <w:sz w:val="22"/>
                      <w:szCs w:val="22"/>
                    </w:rPr>
                  </w:pPr>
                  <w:r>
                    <w:rPr>
                      <w:color w:val="000000"/>
                      <w:kern w:val="0"/>
                      <w:sz w:val="22"/>
                      <w:szCs w:val="22"/>
                      <w:lang w:bidi="ar"/>
                    </w:rPr>
                    <w:t>432.46</w:t>
                  </w:r>
                </w:p>
              </w:tc>
              <w:tc>
                <w:tcPr>
                  <w:tcW w:w="15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F27FB">
                  <w:pPr>
                    <w:widowControl/>
                    <w:jc w:val="center"/>
                    <w:textAlignment w:val="center"/>
                    <w:rPr>
                      <w:color w:val="000000"/>
                      <w:sz w:val="22"/>
                      <w:szCs w:val="22"/>
                    </w:rPr>
                  </w:pPr>
                  <w:r>
                    <w:rPr>
                      <w:color w:val="000000"/>
                      <w:kern w:val="0"/>
                      <w:sz w:val="22"/>
                      <w:szCs w:val="22"/>
                      <w:lang w:bidi="ar"/>
                    </w:rPr>
                    <w:t>15.36</w:t>
                  </w:r>
                </w:p>
              </w:tc>
            </w:tr>
            <w:tr w14:paraId="20399891">
              <w:tblPrEx>
                <w:tblCellMar>
                  <w:top w:w="0" w:type="dxa"/>
                  <w:left w:w="108" w:type="dxa"/>
                  <w:bottom w:w="0" w:type="dxa"/>
                  <w:right w:w="108" w:type="dxa"/>
                </w:tblCellMar>
              </w:tblPrEx>
              <w:trPr>
                <w:trHeight w:val="272" w:hRule="atLeast"/>
                <w:jc w:val="center"/>
              </w:trPr>
              <w:tc>
                <w:tcPr>
                  <w:tcW w:w="20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E5A9E">
                  <w:pPr>
                    <w:widowControl/>
                    <w:jc w:val="center"/>
                    <w:textAlignment w:val="center"/>
                    <w:rPr>
                      <w:color w:val="000000"/>
                      <w:sz w:val="22"/>
                      <w:szCs w:val="22"/>
                    </w:rPr>
                  </w:pPr>
                  <w:r>
                    <w:rPr>
                      <w:color w:val="000000"/>
                      <w:kern w:val="0"/>
                      <w:sz w:val="22"/>
                      <w:szCs w:val="22"/>
                      <w:lang w:bidi="ar"/>
                    </w:rPr>
                    <w:t>竹林地</w:t>
                  </w:r>
                </w:p>
              </w:tc>
              <w:tc>
                <w:tcPr>
                  <w:tcW w:w="13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4F0DB">
                  <w:pPr>
                    <w:widowControl/>
                    <w:jc w:val="center"/>
                    <w:textAlignment w:val="center"/>
                    <w:rPr>
                      <w:color w:val="000000"/>
                      <w:sz w:val="22"/>
                      <w:szCs w:val="22"/>
                    </w:rPr>
                  </w:pPr>
                  <w:r>
                    <w:rPr>
                      <w:color w:val="000000"/>
                      <w:kern w:val="0"/>
                      <w:sz w:val="22"/>
                      <w:szCs w:val="22"/>
                      <w:lang w:bidi="ar"/>
                    </w:rPr>
                    <w:t>9.37</w:t>
                  </w:r>
                </w:p>
              </w:tc>
              <w:tc>
                <w:tcPr>
                  <w:tcW w:w="15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92E4B">
                  <w:pPr>
                    <w:widowControl/>
                    <w:jc w:val="center"/>
                    <w:textAlignment w:val="center"/>
                    <w:rPr>
                      <w:color w:val="000000"/>
                      <w:sz w:val="22"/>
                      <w:szCs w:val="22"/>
                    </w:rPr>
                  </w:pPr>
                  <w:r>
                    <w:rPr>
                      <w:color w:val="000000"/>
                      <w:kern w:val="0"/>
                      <w:sz w:val="22"/>
                      <w:szCs w:val="22"/>
                      <w:lang w:bidi="ar"/>
                    </w:rPr>
                    <w:t>0.33</w:t>
                  </w:r>
                </w:p>
              </w:tc>
            </w:tr>
            <w:tr w14:paraId="5161327E">
              <w:tblPrEx>
                <w:tblCellMar>
                  <w:top w:w="0" w:type="dxa"/>
                  <w:left w:w="108" w:type="dxa"/>
                  <w:bottom w:w="0" w:type="dxa"/>
                  <w:right w:w="108" w:type="dxa"/>
                </w:tblCellMar>
              </w:tblPrEx>
              <w:trPr>
                <w:trHeight w:val="272" w:hRule="atLeast"/>
                <w:jc w:val="center"/>
              </w:trPr>
              <w:tc>
                <w:tcPr>
                  <w:tcW w:w="20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FEDA7">
                  <w:pPr>
                    <w:widowControl/>
                    <w:jc w:val="center"/>
                    <w:textAlignment w:val="center"/>
                    <w:rPr>
                      <w:color w:val="000000"/>
                      <w:sz w:val="22"/>
                      <w:szCs w:val="22"/>
                    </w:rPr>
                  </w:pPr>
                  <w:r>
                    <w:rPr>
                      <w:color w:val="000000"/>
                      <w:kern w:val="0"/>
                      <w:sz w:val="22"/>
                      <w:szCs w:val="22"/>
                      <w:lang w:bidi="ar"/>
                    </w:rPr>
                    <w:t>灌木林地</w:t>
                  </w:r>
                </w:p>
              </w:tc>
              <w:tc>
                <w:tcPr>
                  <w:tcW w:w="13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435D9">
                  <w:pPr>
                    <w:widowControl/>
                    <w:jc w:val="center"/>
                    <w:textAlignment w:val="center"/>
                    <w:rPr>
                      <w:color w:val="000000"/>
                      <w:sz w:val="22"/>
                      <w:szCs w:val="22"/>
                    </w:rPr>
                  </w:pPr>
                  <w:r>
                    <w:rPr>
                      <w:color w:val="000000"/>
                      <w:kern w:val="0"/>
                      <w:sz w:val="22"/>
                      <w:szCs w:val="22"/>
                      <w:lang w:bidi="ar"/>
                    </w:rPr>
                    <w:t>300.29</w:t>
                  </w:r>
                </w:p>
              </w:tc>
              <w:tc>
                <w:tcPr>
                  <w:tcW w:w="15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0062D">
                  <w:pPr>
                    <w:widowControl/>
                    <w:jc w:val="center"/>
                    <w:textAlignment w:val="center"/>
                    <w:rPr>
                      <w:color w:val="000000"/>
                      <w:sz w:val="22"/>
                      <w:szCs w:val="22"/>
                    </w:rPr>
                  </w:pPr>
                  <w:r>
                    <w:rPr>
                      <w:color w:val="000000"/>
                      <w:kern w:val="0"/>
                      <w:sz w:val="22"/>
                      <w:szCs w:val="22"/>
                      <w:lang w:bidi="ar"/>
                    </w:rPr>
                    <w:t>10.67</w:t>
                  </w:r>
                </w:p>
              </w:tc>
            </w:tr>
            <w:tr w14:paraId="01AD32A7">
              <w:tblPrEx>
                <w:tblCellMar>
                  <w:top w:w="0" w:type="dxa"/>
                  <w:left w:w="108" w:type="dxa"/>
                  <w:bottom w:w="0" w:type="dxa"/>
                  <w:right w:w="108" w:type="dxa"/>
                </w:tblCellMar>
              </w:tblPrEx>
              <w:trPr>
                <w:trHeight w:val="272" w:hRule="atLeast"/>
                <w:jc w:val="center"/>
              </w:trPr>
              <w:tc>
                <w:tcPr>
                  <w:tcW w:w="20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64119">
                  <w:pPr>
                    <w:widowControl/>
                    <w:jc w:val="center"/>
                    <w:textAlignment w:val="center"/>
                    <w:rPr>
                      <w:color w:val="000000"/>
                      <w:sz w:val="22"/>
                      <w:szCs w:val="22"/>
                    </w:rPr>
                  </w:pPr>
                  <w:r>
                    <w:rPr>
                      <w:color w:val="000000"/>
                      <w:kern w:val="0"/>
                      <w:sz w:val="22"/>
                      <w:szCs w:val="22"/>
                      <w:lang w:bidi="ar"/>
                    </w:rPr>
                    <w:t>其他林地</w:t>
                  </w:r>
                </w:p>
              </w:tc>
              <w:tc>
                <w:tcPr>
                  <w:tcW w:w="13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319E3">
                  <w:pPr>
                    <w:widowControl/>
                    <w:jc w:val="center"/>
                    <w:textAlignment w:val="center"/>
                    <w:rPr>
                      <w:color w:val="000000"/>
                      <w:sz w:val="22"/>
                      <w:szCs w:val="22"/>
                    </w:rPr>
                  </w:pPr>
                  <w:r>
                    <w:rPr>
                      <w:color w:val="000000"/>
                      <w:kern w:val="0"/>
                      <w:sz w:val="22"/>
                      <w:szCs w:val="22"/>
                      <w:lang w:bidi="ar"/>
                    </w:rPr>
                    <w:t>33.66</w:t>
                  </w:r>
                </w:p>
              </w:tc>
              <w:tc>
                <w:tcPr>
                  <w:tcW w:w="15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63574">
                  <w:pPr>
                    <w:widowControl/>
                    <w:jc w:val="center"/>
                    <w:textAlignment w:val="center"/>
                    <w:rPr>
                      <w:color w:val="000000"/>
                      <w:sz w:val="22"/>
                      <w:szCs w:val="22"/>
                    </w:rPr>
                  </w:pPr>
                  <w:r>
                    <w:rPr>
                      <w:color w:val="000000"/>
                      <w:kern w:val="0"/>
                      <w:sz w:val="22"/>
                      <w:szCs w:val="22"/>
                      <w:lang w:bidi="ar"/>
                    </w:rPr>
                    <w:t>1.20</w:t>
                  </w:r>
                </w:p>
              </w:tc>
            </w:tr>
            <w:tr w14:paraId="29A10E8C">
              <w:tblPrEx>
                <w:tblCellMar>
                  <w:top w:w="0" w:type="dxa"/>
                  <w:left w:w="108" w:type="dxa"/>
                  <w:bottom w:w="0" w:type="dxa"/>
                  <w:right w:w="108" w:type="dxa"/>
                </w:tblCellMar>
              </w:tblPrEx>
              <w:trPr>
                <w:trHeight w:val="272" w:hRule="atLeast"/>
                <w:jc w:val="center"/>
              </w:trPr>
              <w:tc>
                <w:tcPr>
                  <w:tcW w:w="20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5F985">
                  <w:pPr>
                    <w:widowControl/>
                    <w:jc w:val="center"/>
                    <w:textAlignment w:val="center"/>
                    <w:rPr>
                      <w:color w:val="000000"/>
                      <w:sz w:val="22"/>
                      <w:szCs w:val="22"/>
                    </w:rPr>
                  </w:pPr>
                  <w:r>
                    <w:rPr>
                      <w:color w:val="000000"/>
                      <w:kern w:val="0"/>
                      <w:sz w:val="22"/>
                      <w:szCs w:val="22"/>
                      <w:lang w:bidi="ar"/>
                    </w:rPr>
                    <w:t>其他草地</w:t>
                  </w:r>
                </w:p>
              </w:tc>
              <w:tc>
                <w:tcPr>
                  <w:tcW w:w="13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0D86E">
                  <w:pPr>
                    <w:widowControl/>
                    <w:jc w:val="center"/>
                    <w:textAlignment w:val="center"/>
                    <w:rPr>
                      <w:color w:val="000000"/>
                      <w:sz w:val="22"/>
                      <w:szCs w:val="22"/>
                    </w:rPr>
                  </w:pPr>
                  <w:r>
                    <w:rPr>
                      <w:color w:val="000000"/>
                      <w:kern w:val="0"/>
                      <w:sz w:val="22"/>
                      <w:szCs w:val="22"/>
                      <w:lang w:bidi="ar"/>
                    </w:rPr>
                    <w:t>624.95</w:t>
                  </w:r>
                </w:p>
              </w:tc>
              <w:tc>
                <w:tcPr>
                  <w:tcW w:w="15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B2B16">
                  <w:pPr>
                    <w:widowControl/>
                    <w:jc w:val="center"/>
                    <w:textAlignment w:val="center"/>
                    <w:rPr>
                      <w:color w:val="000000"/>
                      <w:sz w:val="22"/>
                      <w:szCs w:val="22"/>
                    </w:rPr>
                  </w:pPr>
                  <w:r>
                    <w:rPr>
                      <w:color w:val="000000"/>
                      <w:kern w:val="0"/>
                      <w:sz w:val="22"/>
                      <w:szCs w:val="22"/>
                      <w:lang w:bidi="ar"/>
                    </w:rPr>
                    <w:t>22.20</w:t>
                  </w:r>
                </w:p>
              </w:tc>
            </w:tr>
            <w:tr w14:paraId="18E8B7C9">
              <w:tblPrEx>
                <w:tblCellMar>
                  <w:top w:w="0" w:type="dxa"/>
                  <w:left w:w="108" w:type="dxa"/>
                  <w:bottom w:w="0" w:type="dxa"/>
                  <w:right w:w="108" w:type="dxa"/>
                </w:tblCellMar>
              </w:tblPrEx>
              <w:trPr>
                <w:trHeight w:val="272" w:hRule="atLeast"/>
                <w:jc w:val="center"/>
              </w:trPr>
              <w:tc>
                <w:tcPr>
                  <w:tcW w:w="20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DE0E1">
                  <w:pPr>
                    <w:widowControl/>
                    <w:jc w:val="center"/>
                    <w:textAlignment w:val="center"/>
                    <w:rPr>
                      <w:color w:val="000000"/>
                      <w:sz w:val="22"/>
                      <w:szCs w:val="22"/>
                    </w:rPr>
                  </w:pPr>
                  <w:r>
                    <w:rPr>
                      <w:color w:val="000000"/>
                      <w:kern w:val="0"/>
                      <w:sz w:val="22"/>
                      <w:szCs w:val="22"/>
                      <w:lang w:bidi="ar"/>
                    </w:rPr>
                    <w:t>旱地</w:t>
                  </w:r>
                </w:p>
              </w:tc>
              <w:tc>
                <w:tcPr>
                  <w:tcW w:w="13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F9261">
                  <w:pPr>
                    <w:widowControl/>
                    <w:jc w:val="center"/>
                    <w:textAlignment w:val="center"/>
                    <w:rPr>
                      <w:color w:val="000000"/>
                      <w:sz w:val="22"/>
                      <w:szCs w:val="22"/>
                    </w:rPr>
                  </w:pPr>
                  <w:r>
                    <w:rPr>
                      <w:color w:val="000000"/>
                      <w:kern w:val="0"/>
                      <w:sz w:val="22"/>
                      <w:szCs w:val="22"/>
                      <w:lang w:bidi="ar"/>
                    </w:rPr>
                    <w:t>935.62</w:t>
                  </w:r>
                </w:p>
              </w:tc>
              <w:tc>
                <w:tcPr>
                  <w:tcW w:w="15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D892F">
                  <w:pPr>
                    <w:widowControl/>
                    <w:jc w:val="center"/>
                    <w:textAlignment w:val="center"/>
                    <w:rPr>
                      <w:color w:val="000000"/>
                      <w:sz w:val="22"/>
                      <w:szCs w:val="22"/>
                    </w:rPr>
                  </w:pPr>
                  <w:r>
                    <w:rPr>
                      <w:color w:val="000000"/>
                      <w:kern w:val="0"/>
                      <w:sz w:val="22"/>
                      <w:szCs w:val="22"/>
                      <w:lang w:bidi="ar"/>
                    </w:rPr>
                    <w:t>33.23</w:t>
                  </w:r>
                </w:p>
              </w:tc>
            </w:tr>
            <w:tr w14:paraId="6530CDE9">
              <w:tblPrEx>
                <w:tblCellMar>
                  <w:top w:w="0" w:type="dxa"/>
                  <w:left w:w="108" w:type="dxa"/>
                  <w:bottom w:w="0" w:type="dxa"/>
                  <w:right w:w="108" w:type="dxa"/>
                </w:tblCellMar>
              </w:tblPrEx>
              <w:trPr>
                <w:trHeight w:val="272" w:hRule="atLeast"/>
                <w:jc w:val="center"/>
              </w:trPr>
              <w:tc>
                <w:tcPr>
                  <w:tcW w:w="20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7519C">
                  <w:pPr>
                    <w:widowControl/>
                    <w:jc w:val="center"/>
                    <w:textAlignment w:val="center"/>
                    <w:rPr>
                      <w:color w:val="000000"/>
                      <w:sz w:val="22"/>
                      <w:szCs w:val="22"/>
                    </w:rPr>
                  </w:pPr>
                  <w:r>
                    <w:rPr>
                      <w:color w:val="000000"/>
                      <w:kern w:val="0"/>
                      <w:sz w:val="22"/>
                      <w:szCs w:val="22"/>
                      <w:lang w:bidi="ar"/>
                    </w:rPr>
                    <w:t>园地</w:t>
                  </w:r>
                </w:p>
              </w:tc>
              <w:tc>
                <w:tcPr>
                  <w:tcW w:w="13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AD540">
                  <w:pPr>
                    <w:widowControl/>
                    <w:jc w:val="center"/>
                    <w:textAlignment w:val="center"/>
                    <w:rPr>
                      <w:color w:val="000000"/>
                      <w:sz w:val="22"/>
                      <w:szCs w:val="22"/>
                    </w:rPr>
                  </w:pPr>
                  <w:r>
                    <w:rPr>
                      <w:color w:val="000000"/>
                      <w:kern w:val="0"/>
                      <w:sz w:val="22"/>
                      <w:szCs w:val="22"/>
                      <w:lang w:bidi="ar"/>
                    </w:rPr>
                    <w:t>366.07</w:t>
                  </w:r>
                </w:p>
              </w:tc>
              <w:tc>
                <w:tcPr>
                  <w:tcW w:w="15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CAE7B">
                  <w:pPr>
                    <w:widowControl/>
                    <w:jc w:val="center"/>
                    <w:textAlignment w:val="center"/>
                    <w:rPr>
                      <w:color w:val="000000"/>
                      <w:sz w:val="22"/>
                      <w:szCs w:val="22"/>
                    </w:rPr>
                  </w:pPr>
                  <w:r>
                    <w:rPr>
                      <w:color w:val="000000"/>
                      <w:kern w:val="0"/>
                      <w:sz w:val="22"/>
                      <w:szCs w:val="22"/>
                      <w:lang w:bidi="ar"/>
                    </w:rPr>
                    <w:t>13.00</w:t>
                  </w:r>
                </w:p>
              </w:tc>
            </w:tr>
            <w:tr w14:paraId="4E1E070C">
              <w:tblPrEx>
                <w:tblCellMar>
                  <w:top w:w="0" w:type="dxa"/>
                  <w:left w:w="108" w:type="dxa"/>
                  <w:bottom w:w="0" w:type="dxa"/>
                  <w:right w:w="108" w:type="dxa"/>
                </w:tblCellMar>
              </w:tblPrEx>
              <w:trPr>
                <w:trHeight w:val="272" w:hRule="atLeast"/>
                <w:jc w:val="center"/>
              </w:trPr>
              <w:tc>
                <w:tcPr>
                  <w:tcW w:w="20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F7FD1">
                  <w:pPr>
                    <w:widowControl/>
                    <w:jc w:val="center"/>
                    <w:textAlignment w:val="center"/>
                    <w:rPr>
                      <w:color w:val="000000"/>
                      <w:sz w:val="22"/>
                      <w:szCs w:val="22"/>
                    </w:rPr>
                  </w:pPr>
                  <w:r>
                    <w:rPr>
                      <w:color w:val="000000"/>
                      <w:kern w:val="0"/>
                      <w:sz w:val="22"/>
                      <w:szCs w:val="22"/>
                      <w:lang w:bidi="ar"/>
                    </w:rPr>
                    <w:t>住宅用地</w:t>
                  </w:r>
                </w:p>
              </w:tc>
              <w:tc>
                <w:tcPr>
                  <w:tcW w:w="13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865A1">
                  <w:pPr>
                    <w:widowControl/>
                    <w:jc w:val="center"/>
                    <w:textAlignment w:val="center"/>
                    <w:rPr>
                      <w:color w:val="000000"/>
                      <w:sz w:val="22"/>
                      <w:szCs w:val="22"/>
                    </w:rPr>
                  </w:pPr>
                  <w:r>
                    <w:rPr>
                      <w:color w:val="000000"/>
                      <w:kern w:val="0"/>
                      <w:sz w:val="22"/>
                      <w:szCs w:val="22"/>
                      <w:lang w:bidi="ar"/>
                    </w:rPr>
                    <w:t>54.16</w:t>
                  </w:r>
                </w:p>
              </w:tc>
              <w:tc>
                <w:tcPr>
                  <w:tcW w:w="15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D3D0D">
                  <w:pPr>
                    <w:widowControl/>
                    <w:jc w:val="center"/>
                    <w:textAlignment w:val="center"/>
                    <w:rPr>
                      <w:color w:val="000000"/>
                      <w:sz w:val="22"/>
                      <w:szCs w:val="22"/>
                    </w:rPr>
                  </w:pPr>
                  <w:r>
                    <w:rPr>
                      <w:color w:val="000000"/>
                      <w:kern w:val="0"/>
                      <w:sz w:val="22"/>
                      <w:szCs w:val="22"/>
                      <w:lang w:bidi="ar"/>
                    </w:rPr>
                    <w:t>1.92</w:t>
                  </w:r>
                </w:p>
              </w:tc>
            </w:tr>
            <w:tr w14:paraId="2008248F">
              <w:tblPrEx>
                <w:tblCellMar>
                  <w:top w:w="0" w:type="dxa"/>
                  <w:left w:w="108" w:type="dxa"/>
                  <w:bottom w:w="0" w:type="dxa"/>
                  <w:right w:w="108" w:type="dxa"/>
                </w:tblCellMar>
              </w:tblPrEx>
              <w:trPr>
                <w:trHeight w:val="272" w:hRule="atLeast"/>
                <w:jc w:val="center"/>
              </w:trPr>
              <w:tc>
                <w:tcPr>
                  <w:tcW w:w="20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4CCC8">
                  <w:pPr>
                    <w:widowControl/>
                    <w:jc w:val="center"/>
                    <w:textAlignment w:val="center"/>
                    <w:rPr>
                      <w:color w:val="000000"/>
                      <w:sz w:val="22"/>
                      <w:szCs w:val="22"/>
                    </w:rPr>
                  </w:pPr>
                  <w:r>
                    <w:rPr>
                      <w:color w:val="000000"/>
                      <w:kern w:val="0"/>
                      <w:sz w:val="22"/>
                      <w:szCs w:val="22"/>
                      <w:lang w:bidi="ar"/>
                    </w:rPr>
                    <w:t>农村道路</w:t>
                  </w:r>
                </w:p>
              </w:tc>
              <w:tc>
                <w:tcPr>
                  <w:tcW w:w="13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2BA84">
                  <w:pPr>
                    <w:widowControl/>
                    <w:jc w:val="center"/>
                    <w:textAlignment w:val="center"/>
                    <w:rPr>
                      <w:color w:val="000000"/>
                      <w:sz w:val="22"/>
                      <w:szCs w:val="22"/>
                    </w:rPr>
                  </w:pPr>
                  <w:r>
                    <w:rPr>
                      <w:color w:val="000000"/>
                      <w:kern w:val="0"/>
                      <w:sz w:val="22"/>
                      <w:szCs w:val="22"/>
                      <w:lang w:bidi="ar"/>
                    </w:rPr>
                    <w:t>41.09</w:t>
                  </w:r>
                </w:p>
              </w:tc>
              <w:tc>
                <w:tcPr>
                  <w:tcW w:w="15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B4F6C">
                  <w:pPr>
                    <w:widowControl/>
                    <w:jc w:val="center"/>
                    <w:textAlignment w:val="center"/>
                    <w:rPr>
                      <w:color w:val="000000"/>
                      <w:sz w:val="22"/>
                      <w:szCs w:val="22"/>
                    </w:rPr>
                  </w:pPr>
                  <w:r>
                    <w:rPr>
                      <w:color w:val="000000"/>
                      <w:kern w:val="0"/>
                      <w:sz w:val="22"/>
                      <w:szCs w:val="22"/>
                      <w:lang w:bidi="ar"/>
                    </w:rPr>
                    <w:t>1.46</w:t>
                  </w:r>
                </w:p>
              </w:tc>
            </w:tr>
            <w:tr w14:paraId="4048B2E3">
              <w:tblPrEx>
                <w:tblCellMar>
                  <w:top w:w="0" w:type="dxa"/>
                  <w:left w:w="108" w:type="dxa"/>
                  <w:bottom w:w="0" w:type="dxa"/>
                  <w:right w:w="108" w:type="dxa"/>
                </w:tblCellMar>
              </w:tblPrEx>
              <w:trPr>
                <w:trHeight w:val="272" w:hRule="atLeast"/>
                <w:jc w:val="center"/>
              </w:trPr>
              <w:tc>
                <w:tcPr>
                  <w:tcW w:w="20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97F79">
                  <w:pPr>
                    <w:widowControl/>
                    <w:jc w:val="center"/>
                    <w:textAlignment w:val="center"/>
                    <w:rPr>
                      <w:color w:val="000000"/>
                      <w:sz w:val="22"/>
                      <w:szCs w:val="22"/>
                    </w:rPr>
                  </w:pPr>
                  <w:r>
                    <w:rPr>
                      <w:color w:val="000000"/>
                      <w:kern w:val="0"/>
                      <w:sz w:val="22"/>
                      <w:szCs w:val="22"/>
                      <w:lang w:bidi="ar"/>
                    </w:rPr>
                    <w:t>水域</w:t>
                  </w:r>
                </w:p>
              </w:tc>
              <w:tc>
                <w:tcPr>
                  <w:tcW w:w="13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43DED">
                  <w:pPr>
                    <w:widowControl/>
                    <w:jc w:val="center"/>
                    <w:textAlignment w:val="center"/>
                    <w:rPr>
                      <w:color w:val="000000"/>
                      <w:sz w:val="22"/>
                      <w:szCs w:val="22"/>
                    </w:rPr>
                  </w:pPr>
                  <w:r>
                    <w:rPr>
                      <w:color w:val="000000"/>
                      <w:kern w:val="0"/>
                      <w:sz w:val="22"/>
                      <w:szCs w:val="22"/>
                      <w:lang w:bidi="ar"/>
                    </w:rPr>
                    <w:t>12.47</w:t>
                  </w:r>
                </w:p>
              </w:tc>
              <w:tc>
                <w:tcPr>
                  <w:tcW w:w="15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E6F2C">
                  <w:pPr>
                    <w:widowControl/>
                    <w:jc w:val="center"/>
                    <w:textAlignment w:val="center"/>
                    <w:rPr>
                      <w:color w:val="000000"/>
                      <w:sz w:val="22"/>
                      <w:szCs w:val="22"/>
                    </w:rPr>
                  </w:pPr>
                  <w:r>
                    <w:rPr>
                      <w:color w:val="000000"/>
                      <w:kern w:val="0"/>
                      <w:sz w:val="22"/>
                      <w:szCs w:val="22"/>
                      <w:lang w:bidi="ar"/>
                    </w:rPr>
                    <w:t>0.44</w:t>
                  </w:r>
                </w:p>
              </w:tc>
            </w:tr>
            <w:tr w14:paraId="08C2C9ED">
              <w:tblPrEx>
                <w:tblCellMar>
                  <w:top w:w="0" w:type="dxa"/>
                  <w:left w:w="108" w:type="dxa"/>
                  <w:bottom w:w="0" w:type="dxa"/>
                  <w:right w:w="108" w:type="dxa"/>
                </w:tblCellMar>
              </w:tblPrEx>
              <w:trPr>
                <w:trHeight w:val="272" w:hRule="atLeast"/>
                <w:jc w:val="center"/>
              </w:trPr>
              <w:tc>
                <w:tcPr>
                  <w:tcW w:w="20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8A131">
                  <w:pPr>
                    <w:widowControl/>
                    <w:jc w:val="center"/>
                    <w:textAlignment w:val="center"/>
                    <w:rPr>
                      <w:color w:val="000000"/>
                      <w:sz w:val="22"/>
                      <w:szCs w:val="22"/>
                    </w:rPr>
                  </w:pPr>
                  <w:r>
                    <w:rPr>
                      <w:color w:val="000000"/>
                      <w:kern w:val="0"/>
                      <w:sz w:val="22"/>
                      <w:szCs w:val="22"/>
                      <w:lang w:bidi="ar"/>
                    </w:rPr>
                    <w:t>其他土地</w:t>
                  </w:r>
                </w:p>
              </w:tc>
              <w:tc>
                <w:tcPr>
                  <w:tcW w:w="13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6D0C5">
                  <w:pPr>
                    <w:widowControl/>
                    <w:jc w:val="center"/>
                    <w:textAlignment w:val="center"/>
                    <w:rPr>
                      <w:color w:val="000000"/>
                      <w:sz w:val="22"/>
                      <w:szCs w:val="22"/>
                    </w:rPr>
                  </w:pPr>
                  <w:r>
                    <w:rPr>
                      <w:color w:val="000000"/>
                      <w:kern w:val="0"/>
                      <w:sz w:val="22"/>
                      <w:szCs w:val="22"/>
                      <w:lang w:bidi="ar"/>
                    </w:rPr>
                    <w:t>5.43</w:t>
                  </w:r>
                </w:p>
              </w:tc>
              <w:tc>
                <w:tcPr>
                  <w:tcW w:w="15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C99B0">
                  <w:pPr>
                    <w:widowControl/>
                    <w:jc w:val="center"/>
                    <w:textAlignment w:val="center"/>
                    <w:rPr>
                      <w:color w:val="000000"/>
                      <w:sz w:val="22"/>
                      <w:szCs w:val="22"/>
                    </w:rPr>
                  </w:pPr>
                  <w:r>
                    <w:rPr>
                      <w:color w:val="000000"/>
                      <w:kern w:val="0"/>
                      <w:sz w:val="22"/>
                      <w:szCs w:val="22"/>
                      <w:lang w:bidi="ar"/>
                    </w:rPr>
                    <w:t>0.19</w:t>
                  </w:r>
                </w:p>
              </w:tc>
            </w:tr>
            <w:tr w14:paraId="2165C428">
              <w:tblPrEx>
                <w:tblCellMar>
                  <w:top w:w="0" w:type="dxa"/>
                  <w:left w:w="108" w:type="dxa"/>
                  <w:bottom w:w="0" w:type="dxa"/>
                  <w:right w:w="108" w:type="dxa"/>
                </w:tblCellMar>
              </w:tblPrEx>
              <w:trPr>
                <w:trHeight w:val="272" w:hRule="atLeast"/>
                <w:jc w:val="center"/>
              </w:trPr>
              <w:tc>
                <w:tcPr>
                  <w:tcW w:w="20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E6D79">
                  <w:pPr>
                    <w:widowControl/>
                    <w:jc w:val="center"/>
                    <w:textAlignment w:val="center"/>
                    <w:rPr>
                      <w:color w:val="000000"/>
                      <w:sz w:val="22"/>
                      <w:szCs w:val="22"/>
                    </w:rPr>
                  </w:pPr>
                  <w:r>
                    <w:rPr>
                      <w:color w:val="000000"/>
                      <w:kern w:val="0"/>
                      <w:sz w:val="22"/>
                      <w:szCs w:val="22"/>
                      <w:lang w:bidi="ar"/>
                    </w:rPr>
                    <w:t>合计</w:t>
                  </w:r>
                </w:p>
              </w:tc>
              <w:tc>
                <w:tcPr>
                  <w:tcW w:w="13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3014A">
                  <w:pPr>
                    <w:widowControl/>
                    <w:jc w:val="center"/>
                    <w:textAlignment w:val="center"/>
                    <w:rPr>
                      <w:color w:val="000000"/>
                      <w:sz w:val="22"/>
                      <w:szCs w:val="22"/>
                    </w:rPr>
                  </w:pPr>
                  <w:r>
                    <w:rPr>
                      <w:color w:val="000000"/>
                      <w:kern w:val="0"/>
                      <w:sz w:val="22"/>
                      <w:szCs w:val="22"/>
                      <w:lang w:bidi="ar"/>
                    </w:rPr>
                    <w:t>2815.57</w:t>
                  </w:r>
                </w:p>
              </w:tc>
              <w:tc>
                <w:tcPr>
                  <w:tcW w:w="15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CBBD0">
                  <w:pPr>
                    <w:widowControl/>
                    <w:jc w:val="center"/>
                    <w:textAlignment w:val="center"/>
                    <w:rPr>
                      <w:color w:val="000000"/>
                      <w:sz w:val="22"/>
                      <w:szCs w:val="22"/>
                    </w:rPr>
                  </w:pPr>
                  <w:r>
                    <w:rPr>
                      <w:color w:val="000000"/>
                      <w:kern w:val="0"/>
                      <w:sz w:val="22"/>
                      <w:szCs w:val="22"/>
                      <w:lang w:bidi="ar"/>
                    </w:rPr>
                    <w:t>100.00</w:t>
                  </w:r>
                </w:p>
              </w:tc>
            </w:tr>
          </w:tbl>
          <w:p w14:paraId="0D0073C0">
            <w:pPr>
              <w:spacing w:line="360" w:lineRule="auto"/>
              <w:ind w:firstLine="482" w:firstLineChars="200"/>
              <w:jc w:val="left"/>
              <w:rPr>
                <w:b/>
                <w:bCs/>
                <w:kern w:val="0"/>
                <w:sz w:val="24"/>
              </w:rPr>
            </w:pPr>
            <w:r>
              <w:rPr>
                <w:rFonts w:hint="eastAsia"/>
                <w:b/>
                <w:bCs/>
                <w:kern w:val="0"/>
                <w:sz w:val="24"/>
              </w:rPr>
              <w:t>（</w:t>
            </w:r>
            <w:r>
              <w:rPr>
                <w:b/>
                <w:bCs/>
                <w:kern w:val="0"/>
                <w:sz w:val="24"/>
              </w:rPr>
              <w:t>3</w:t>
            </w:r>
            <w:r>
              <w:rPr>
                <w:rFonts w:hint="eastAsia"/>
                <w:b/>
                <w:bCs/>
                <w:kern w:val="0"/>
                <w:sz w:val="24"/>
              </w:rPr>
              <w:t>）陆生生态－植物植被及植物现状</w:t>
            </w:r>
          </w:p>
          <w:p w14:paraId="04E4C314">
            <w:pPr>
              <w:spacing w:line="360" w:lineRule="auto"/>
              <w:ind w:firstLine="480" w:firstLineChars="200"/>
              <w:rPr>
                <w:rFonts w:hint="eastAsia"/>
                <w:sz w:val="24"/>
              </w:rPr>
            </w:pPr>
            <w:r>
              <w:rPr>
                <w:rFonts w:hint="eastAsia"/>
                <w:sz w:val="24"/>
              </w:rPr>
              <w:t>1）调查范围和方法</w:t>
            </w:r>
          </w:p>
          <w:p w14:paraId="458AA173">
            <w:pPr>
              <w:spacing w:line="360" w:lineRule="auto"/>
              <w:ind w:firstLine="480" w:firstLineChars="200"/>
              <w:rPr>
                <w:rFonts w:hint="eastAsia"/>
                <w:sz w:val="24"/>
              </w:rPr>
            </w:pPr>
            <w:r>
              <w:rPr>
                <w:rFonts w:hint="eastAsia"/>
                <w:sz w:val="24"/>
              </w:rPr>
              <w:t>①调查范围</w:t>
            </w:r>
          </w:p>
          <w:p w14:paraId="12821C77">
            <w:pPr>
              <w:spacing w:line="360" w:lineRule="auto"/>
              <w:ind w:firstLine="480" w:firstLineChars="200"/>
              <w:rPr>
                <w:sz w:val="24"/>
              </w:rPr>
            </w:pPr>
            <w:r>
              <w:rPr>
                <w:rFonts w:hint="eastAsia"/>
                <w:sz w:val="24"/>
              </w:rPr>
              <w:t>本项目陆生植物植被调查范围为工程占地范围及其外延300m区域，以礼河三级电站项目升压站厂界及其外延500m区域，调查区域海拔约为1450m~2400m。2026年6月1日-3日，项目组对本项目陆生生态环境现状展开调查，调查人员主要有刘忠安（生态学、工程师）、汪青辽（环境工程，正高级工程师）、罗景城（环境工程、工程师），均长期从事环境影响评价及生物多样性调查和监测工作。</w:t>
            </w:r>
          </w:p>
          <w:p w14:paraId="4D153D46">
            <w:pPr>
              <w:spacing w:line="360" w:lineRule="auto"/>
              <w:ind w:firstLine="480" w:firstLineChars="200"/>
              <w:rPr>
                <w:rFonts w:hint="eastAsia"/>
                <w:sz w:val="24"/>
              </w:rPr>
            </w:pPr>
            <w:r>
              <w:rPr>
                <w:rFonts w:hint="eastAsia"/>
                <w:sz w:val="24"/>
              </w:rPr>
              <w:t>②调查方法</w:t>
            </w:r>
          </w:p>
          <w:p w14:paraId="22FD037A">
            <w:pPr>
              <w:spacing w:line="360" w:lineRule="auto"/>
              <w:ind w:firstLine="480" w:firstLineChars="200"/>
              <w:rPr>
                <w:sz w:val="24"/>
              </w:rPr>
            </w:pPr>
            <w:r>
              <w:rPr>
                <w:rFonts w:hint="eastAsia"/>
                <w:sz w:val="24"/>
              </w:rPr>
              <w:t>收集整理项目区及邻近区域现有的植被资料，在综合分析现有资料的基础上，确定实地调查的重点区域及调查路线。</w:t>
            </w:r>
          </w:p>
          <w:p w14:paraId="44FF8CD9">
            <w:pPr>
              <w:spacing w:line="360" w:lineRule="auto"/>
              <w:ind w:firstLine="480" w:firstLineChars="200"/>
              <w:rPr>
                <w:sz w:val="24"/>
              </w:rPr>
            </w:pPr>
            <w:r>
              <w:rPr>
                <w:rFonts w:hint="eastAsia"/>
                <w:sz w:val="24"/>
              </w:rPr>
              <w:t>陆生植物和植被采用生态路线调查的办法，对项目区内的典型植被进行调查，同时记下植物的种类，植被的组成等，确定植物种类、植物群落，重点调查项目区珍稀濒危保护植物分布情况。另外，通过访问林草局的专业人员，了解当地的林业资源情况、野生植物的种类组成和资源变动情况；走访群众，了解野生植物的种类和变动情况，收集相关文献资料等。</w:t>
            </w:r>
          </w:p>
          <w:p w14:paraId="4AF95C8D">
            <w:pPr>
              <w:spacing w:line="360" w:lineRule="auto"/>
              <w:ind w:firstLine="480" w:firstLineChars="200"/>
              <w:rPr>
                <w:rFonts w:hint="eastAsia"/>
                <w:sz w:val="24"/>
              </w:rPr>
            </w:pPr>
            <w:r>
              <w:rPr>
                <w:rFonts w:hint="eastAsia"/>
                <w:sz w:val="24"/>
              </w:rPr>
              <w:t>采用GPS、RS和GIS相结合的空间信息技术（Spatial Information Technology），进行地貌类型的数字化判读，完成数字化的植被图和土地利用类型图，从遥感信息获取的地面覆盖类型，必须在地面调查和历史植被基础上进行综合判读，采用监督分类的方法才能最终赋予生态学的含义。选用LandSat7的TM数据，地面精度为30m，以反映地面植被特征的3、4、5波段合成卫星遥感影像，其中植被影像主要反映为绿色。植被类型不同，色彩和色调发生相应变化，因此可区分出植被亚型以上的植被类型以及农田、居民地等地面类型。</w:t>
            </w:r>
          </w:p>
          <w:p w14:paraId="79B3AD0A">
            <w:pPr>
              <w:spacing w:line="360" w:lineRule="auto"/>
              <w:ind w:firstLine="480" w:firstLineChars="200"/>
              <w:rPr>
                <w:sz w:val="24"/>
              </w:rPr>
            </w:pPr>
            <w:r>
              <w:rPr>
                <w:rFonts w:hint="eastAsia"/>
                <w:sz w:val="24"/>
              </w:rPr>
              <w:t>2）调查结果</w:t>
            </w:r>
          </w:p>
          <w:p w14:paraId="606E127F">
            <w:pPr>
              <w:spacing w:line="360" w:lineRule="auto"/>
              <w:ind w:firstLine="480" w:firstLineChars="200"/>
              <w:rPr>
                <w:sz w:val="24"/>
              </w:rPr>
            </w:pPr>
            <w:r>
              <w:rPr>
                <w:sz w:val="24"/>
              </w:rPr>
              <w:t>项目位于云南省曲靖市会泽县</w:t>
            </w:r>
            <w:r>
              <w:rPr>
                <w:rFonts w:hint="eastAsia"/>
                <w:sz w:val="24"/>
              </w:rPr>
              <w:t>，参照《中国植被》</w:t>
            </w:r>
            <w:r>
              <w:rPr>
                <w:sz w:val="24"/>
              </w:rPr>
              <w:t>《云南植被》（1987）区划，本</w:t>
            </w:r>
            <w:r>
              <w:rPr>
                <w:rFonts w:hint="eastAsia"/>
                <w:sz w:val="24"/>
              </w:rPr>
              <w:t>项目调查区域</w:t>
            </w:r>
            <w:r>
              <w:rPr>
                <w:sz w:val="24"/>
              </w:rPr>
              <w:t>植被属于：Ⅱ亚热带常绿阔叶林区域，ⅡA西部（半湿润）常绿阔叶林亚区域，IIAii高原亚热带北部常绿阔叶林地带，IIAii-1滇中、滇东高原半湿润常绿阔叶林、云南松林区，IIAii-1d滇东北高原山地云南松林、羊茅草甸亚区。</w:t>
            </w:r>
          </w:p>
          <w:p w14:paraId="6A21915C">
            <w:pPr>
              <w:spacing w:line="360" w:lineRule="auto"/>
              <w:ind w:firstLine="480" w:firstLineChars="200"/>
              <w:rPr>
                <w:rFonts w:hint="eastAsia"/>
                <w:sz w:val="24"/>
              </w:rPr>
            </w:pPr>
            <w:r>
              <w:rPr>
                <w:rFonts w:hint="eastAsia"/>
                <w:sz w:val="24"/>
              </w:rPr>
              <w:t>根据现场调查，结合遥感卫星影象图判读，依据</w:t>
            </w:r>
            <w:r>
              <w:rPr>
                <w:sz w:val="24"/>
              </w:rPr>
              <w:t>《中国植被》《云南植被》</w:t>
            </w:r>
            <w:r>
              <w:rPr>
                <w:rFonts w:hint="eastAsia"/>
                <w:sz w:val="24"/>
              </w:rPr>
              <w:t>等专著中确定的植被分类系统，遵循群落学－生态学的分类原则，调查区的自然植被类型包括3个植被型、3个植被亚型、3个群落类型（群系）。包括了本区主要的植被类型，具有一定的代表性。</w:t>
            </w:r>
          </w:p>
          <w:p w14:paraId="1698F258">
            <w:pPr>
              <w:jc w:val="center"/>
              <w:rPr>
                <w:b/>
                <w:bCs/>
                <w:spacing w:val="5"/>
              </w:rPr>
            </w:pPr>
            <w:r>
              <w:rPr>
                <w:b/>
                <w:bCs/>
                <w:spacing w:val="5"/>
              </w:rPr>
              <w:t>表</w:t>
            </w:r>
            <w:r>
              <w:rPr>
                <w:rFonts w:hint="eastAsia"/>
                <w:b/>
                <w:bCs/>
                <w:spacing w:val="5"/>
              </w:rPr>
              <w:t>3</w:t>
            </w:r>
            <w:r>
              <w:rPr>
                <w:b/>
                <w:bCs/>
                <w:spacing w:val="5"/>
              </w:rPr>
              <w:t xml:space="preserve">.1.2-3  </w:t>
            </w:r>
            <w:r>
              <w:rPr>
                <w:rFonts w:hint="eastAsia"/>
                <w:b/>
                <w:bCs/>
                <w:spacing w:val="5"/>
              </w:rPr>
              <w:t>调查</w:t>
            </w:r>
            <w:r>
              <w:rPr>
                <w:b/>
                <w:bCs/>
                <w:spacing w:val="5"/>
              </w:rPr>
              <w:t>区植被类型一览表</w:t>
            </w:r>
          </w:p>
          <w:tbl>
            <w:tblPr>
              <w:tblStyle w:val="30"/>
              <w:tblW w:w="4898" w:type="pct"/>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8"/>
              <w:gridCol w:w="1286"/>
              <w:gridCol w:w="1358"/>
              <w:gridCol w:w="2411"/>
              <w:gridCol w:w="2411"/>
            </w:tblGrid>
            <w:tr w14:paraId="1B79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908" w:type="dxa"/>
                  <w:vAlign w:val="center"/>
                </w:tcPr>
                <w:p w14:paraId="18A26D34">
                  <w:pPr>
                    <w:autoSpaceDE w:val="0"/>
                    <w:autoSpaceDN w:val="0"/>
                    <w:jc w:val="center"/>
                    <w:rPr>
                      <w:rFonts w:ascii="宋体" w:hAnsi="宋体" w:cs="宋体"/>
                    </w:rPr>
                  </w:pPr>
                  <w:r>
                    <w:rPr>
                      <w:rFonts w:ascii="宋体" w:hAnsi="宋体" w:cs="宋体"/>
                      <w:b/>
                      <w:bCs/>
                      <w:spacing w:val="3"/>
                    </w:rPr>
                    <w:t>植被</w:t>
                  </w:r>
                </w:p>
              </w:tc>
              <w:tc>
                <w:tcPr>
                  <w:tcW w:w="1286" w:type="dxa"/>
                  <w:vAlign w:val="center"/>
                </w:tcPr>
                <w:p w14:paraId="40E24E35">
                  <w:pPr>
                    <w:autoSpaceDE w:val="0"/>
                    <w:autoSpaceDN w:val="0"/>
                    <w:jc w:val="center"/>
                    <w:rPr>
                      <w:rFonts w:ascii="宋体" w:hAnsi="宋体" w:cs="宋体"/>
                    </w:rPr>
                  </w:pPr>
                  <w:r>
                    <w:rPr>
                      <w:rFonts w:ascii="宋体" w:hAnsi="宋体" w:cs="宋体"/>
                      <w:b/>
                      <w:bCs/>
                      <w:spacing w:val="5"/>
                    </w:rPr>
                    <w:t>植被型</w:t>
                  </w:r>
                </w:p>
              </w:tc>
              <w:tc>
                <w:tcPr>
                  <w:tcW w:w="1357" w:type="dxa"/>
                  <w:vAlign w:val="center"/>
                </w:tcPr>
                <w:p w14:paraId="410811BB">
                  <w:pPr>
                    <w:autoSpaceDE w:val="0"/>
                    <w:autoSpaceDN w:val="0"/>
                    <w:jc w:val="center"/>
                    <w:rPr>
                      <w:rFonts w:ascii="宋体" w:hAnsi="宋体" w:cs="宋体"/>
                    </w:rPr>
                  </w:pPr>
                  <w:r>
                    <w:rPr>
                      <w:rFonts w:ascii="宋体" w:hAnsi="宋体" w:cs="宋体"/>
                      <w:b/>
                      <w:bCs/>
                      <w:spacing w:val="6"/>
                    </w:rPr>
                    <w:t>植被亚型</w:t>
                  </w:r>
                </w:p>
              </w:tc>
              <w:tc>
                <w:tcPr>
                  <w:tcW w:w="2411" w:type="dxa"/>
                  <w:vAlign w:val="center"/>
                </w:tcPr>
                <w:p w14:paraId="1AB7F448">
                  <w:pPr>
                    <w:autoSpaceDE w:val="0"/>
                    <w:autoSpaceDN w:val="0"/>
                    <w:jc w:val="center"/>
                    <w:rPr>
                      <w:rFonts w:ascii="宋体" w:hAnsi="宋体" w:cs="宋体"/>
                    </w:rPr>
                  </w:pPr>
                  <w:r>
                    <w:rPr>
                      <w:rFonts w:ascii="宋体" w:hAnsi="宋体" w:cs="宋体"/>
                      <w:b/>
                      <w:bCs/>
                      <w:spacing w:val="6"/>
                    </w:rPr>
                    <w:t>群落类型</w:t>
                  </w:r>
                </w:p>
              </w:tc>
              <w:tc>
                <w:tcPr>
                  <w:tcW w:w="2411" w:type="dxa"/>
                  <w:vAlign w:val="center"/>
                </w:tcPr>
                <w:p w14:paraId="12177D98">
                  <w:pPr>
                    <w:autoSpaceDE w:val="0"/>
                    <w:autoSpaceDN w:val="0"/>
                    <w:jc w:val="center"/>
                    <w:rPr>
                      <w:rFonts w:ascii="宋体" w:hAnsi="宋体" w:cs="宋体"/>
                      <w:b/>
                      <w:bCs/>
                      <w:spacing w:val="6"/>
                    </w:rPr>
                  </w:pPr>
                  <w:r>
                    <w:rPr>
                      <w:rFonts w:hint="eastAsia" w:ascii="宋体" w:hAnsi="宋体" w:cs="宋体"/>
                      <w:b/>
                      <w:bCs/>
                      <w:spacing w:val="6"/>
                    </w:rPr>
                    <w:t>项目占用情况</w:t>
                  </w:r>
                </w:p>
              </w:tc>
            </w:tr>
            <w:tr w14:paraId="3214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908" w:type="dxa"/>
                  <w:vMerge w:val="restart"/>
                  <w:vAlign w:val="center"/>
                </w:tcPr>
                <w:p w14:paraId="51E40411">
                  <w:pPr>
                    <w:autoSpaceDE w:val="0"/>
                    <w:autoSpaceDN w:val="0"/>
                    <w:jc w:val="center"/>
                    <w:rPr>
                      <w:rFonts w:ascii="宋体" w:hAnsi="宋体" w:cs="宋体"/>
                    </w:rPr>
                  </w:pPr>
                  <w:r>
                    <w:rPr>
                      <w:rFonts w:ascii="宋体" w:hAnsi="宋体" w:cs="宋体"/>
                      <w:spacing w:val="-2"/>
                    </w:rPr>
                    <w:t>自然植被</w:t>
                  </w:r>
                </w:p>
              </w:tc>
              <w:tc>
                <w:tcPr>
                  <w:tcW w:w="1286" w:type="dxa"/>
                  <w:vAlign w:val="center"/>
                </w:tcPr>
                <w:p w14:paraId="1F3893B3">
                  <w:pPr>
                    <w:autoSpaceDE w:val="0"/>
                    <w:autoSpaceDN w:val="0"/>
                    <w:jc w:val="center"/>
                    <w:rPr>
                      <w:rFonts w:ascii="宋体" w:hAnsi="宋体" w:cs="宋体"/>
                    </w:rPr>
                  </w:pPr>
                  <w:r>
                    <w:rPr>
                      <w:rFonts w:ascii="宋体" w:hAnsi="宋体" w:cs="宋体"/>
                      <w:spacing w:val="8"/>
                    </w:rPr>
                    <w:t>暖性针叶林</w:t>
                  </w:r>
                </w:p>
              </w:tc>
              <w:tc>
                <w:tcPr>
                  <w:tcW w:w="1357" w:type="dxa"/>
                  <w:vAlign w:val="center"/>
                </w:tcPr>
                <w:p w14:paraId="46007300">
                  <w:pPr>
                    <w:autoSpaceDE w:val="0"/>
                    <w:autoSpaceDN w:val="0"/>
                    <w:jc w:val="center"/>
                    <w:rPr>
                      <w:rFonts w:ascii="宋体" w:hAnsi="宋体" w:cs="宋体"/>
                    </w:rPr>
                  </w:pPr>
                  <w:r>
                    <w:rPr>
                      <w:rFonts w:ascii="宋体" w:hAnsi="宋体" w:cs="宋体"/>
                      <w:spacing w:val="6"/>
                    </w:rPr>
                    <w:t>暖温性针叶林</w:t>
                  </w:r>
                </w:p>
              </w:tc>
              <w:tc>
                <w:tcPr>
                  <w:tcW w:w="2411" w:type="dxa"/>
                  <w:vAlign w:val="center"/>
                </w:tcPr>
                <w:p w14:paraId="4E238A25">
                  <w:pPr>
                    <w:autoSpaceDE w:val="0"/>
                    <w:autoSpaceDN w:val="0"/>
                    <w:jc w:val="center"/>
                    <w:rPr>
                      <w:rFonts w:ascii="宋体" w:hAnsi="宋体" w:cs="宋体"/>
                    </w:rPr>
                  </w:pPr>
                  <w:r>
                    <w:rPr>
                      <w:rFonts w:ascii="宋体" w:hAnsi="宋体" w:cs="宋体"/>
                      <w:spacing w:val="7"/>
                    </w:rPr>
                    <w:t>①云南</w:t>
                  </w:r>
                  <w:r>
                    <w:rPr>
                      <w:rFonts w:hint="eastAsia" w:ascii="宋体" w:hAnsi="宋体" w:cs="宋体"/>
                      <w:spacing w:val="8"/>
                    </w:rPr>
                    <w:t>松群</w:t>
                  </w:r>
                </w:p>
              </w:tc>
              <w:tc>
                <w:tcPr>
                  <w:tcW w:w="2411" w:type="dxa"/>
                  <w:vAlign w:val="center"/>
                </w:tcPr>
                <w:p w14:paraId="4853524A">
                  <w:pPr>
                    <w:autoSpaceDE w:val="0"/>
                    <w:autoSpaceDN w:val="0"/>
                    <w:jc w:val="center"/>
                    <w:rPr>
                      <w:rFonts w:hint="eastAsia" w:ascii="宋体" w:hAnsi="宋体" w:cs="宋体"/>
                      <w:spacing w:val="7"/>
                    </w:rPr>
                  </w:pPr>
                  <w:r>
                    <w:rPr>
                      <w:rFonts w:hint="eastAsia" w:ascii="宋体" w:hAnsi="宋体" w:cs="宋体"/>
                      <w:spacing w:val="7"/>
                    </w:rPr>
                    <w:t>不占用</w:t>
                  </w:r>
                </w:p>
              </w:tc>
            </w:tr>
            <w:tr w14:paraId="4272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908" w:type="dxa"/>
                  <w:vMerge w:val="continue"/>
                  <w:vAlign w:val="center"/>
                </w:tcPr>
                <w:p w14:paraId="0BF25091">
                  <w:pPr>
                    <w:pStyle w:val="208"/>
                    <w:autoSpaceDE w:val="0"/>
                    <w:autoSpaceDN w:val="0"/>
                    <w:jc w:val="center"/>
                    <w:rPr>
                      <w:sz w:val="21"/>
                      <w:szCs w:val="21"/>
                      <w:lang w:eastAsia="zh-CN"/>
                    </w:rPr>
                  </w:pPr>
                </w:p>
              </w:tc>
              <w:tc>
                <w:tcPr>
                  <w:tcW w:w="1286" w:type="dxa"/>
                  <w:vAlign w:val="center"/>
                </w:tcPr>
                <w:p w14:paraId="6F960BBE">
                  <w:pPr>
                    <w:autoSpaceDE w:val="0"/>
                    <w:autoSpaceDN w:val="0"/>
                    <w:jc w:val="center"/>
                    <w:rPr>
                      <w:rFonts w:ascii="宋体" w:hAnsi="宋体" w:cs="宋体"/>
                    </w:rPr>
                  </w:pPr>
                  <w:r>
                    <w:rPr>
                      <w:rFonts w:ascii="宋体" w:hAnsi="宋体" w:cs="宋体"/>
                      <w:spacing w:val="6"/>
                    </w:rPr>
                    <w:t>灌丛</w:t>
                  </w:r>
                </w:p>
              </w:tc>
              <w:tc>
                <w:tcPr>
                  <w:tcW w:w="1357" w:type="dxa"/>
                  <w:vAlign w:val="center"/>
                </w:tcPr>
                <w:p w14:paraId="7FFEF51D">
                  <w:pPr>
                    <w:autoSpaceDE w:val="0"/>
                    <w:autoSpaceDN w:val="0"/>
                    <w:jc w:val="center"/>
                    <w:rPr>
                      <w:rFonts w:ascii="宋体" w:hAnsi="宋体" w:cs="宋体"/>
                    </w:rPr>
                  </w:pPr>
                  <w:r>
                    <w:rPr>
                      <w:rFonts w:ascii="宋体" w:hAnsi="宋体" w:cs="宋体"/>
                      <w:spacing w:val="6"/>
                    </w:rPr>
                    <w:t>暖性</w:t>
                  </w:r>
                  <w:r>
                    <w:rPr>
                      <w:rFonts w:hint="eastAsia" w:ascii="宋体" w:hAnsi="宋体" w:cs="宋体"/>
                      <w:spacing w:val="6"/>
                    </w:rPr>
                    <w:t>石灰岩</w:t>
                  </w:r>
                  <w:r>
                    <w:rPr>
                      <w:rFonts w:ascii="宋体" w:hAnsi="宋体" w:cs="宋体"/>
                      <w:spacing w:val="6"/>
                    </w:rPr>
                    <w:t>灌丛</w:t>
                  </w:r>
                </w:p>
              </w:tc>
              <w:tc>
                <w:tcPr>
                  <w:tcW w:w="2411" w:type="dxa"/>
                  <w:vAlign w:val="center"/>
                </w:tcPr>
                <w:p w14:paraId="6C5BD270">
                  <w:pPr>
                    <w:autoSpaceDE w:val="0"/>
                    <w:autoSpaceDN w:val="0"/>
                    <w:jc w:val="center"/>
                    <w:rPr>
                      <w:rFonts w:ascii="宋体" w:hAnsi="宋体" w:cs="宋体"/>
                    </w:rPr>
                  </w:pPr>
                  <w:r>
                    <w:rPr>
                      <w:rFonts w:ascii="宋体" w:hAnsi="宋体" w:cs="宋体"/>
                      <w:spacing w:val="8"/>
                    </w:rPr>
                    <w:t>②马桑</w:t>
                  </w:r>
                  <w:r>
                    <w:rPr>
                      <w:rFonts w:hint="eastAsia" w:ascii="宋体" w:hAnsi="宋体" w:cs="宋体"/>
                      <w:spacing w:val="8"/>
                    </w:rPr>
                    <w:t>群落</w:t>
                  </w:r>
                </w:p>
              </w:tc>
              <w:tc>
                <w:tcPr>
                  <w:tcW w:w="2411" w:type="dxa"/>
                  <w:vAlign w:val="center"/>
                </w:tcPr>
                <w:p w14:paraId="6FAE4AA2">
                  <w:pPr>
                    <w:autoSpaceDE w:val="0"/>
                    <w:autoSpaceDN w:val="0"/>
                    <w:jc w:val="center"/>
                    <w:rPr>
                      <w:rFonts w:hint="eastAsia" w:ascii="宋体" w:hAnsi="宋体" w:cs="宋体"/>
                      <w:spacing w:val="8"/>
                    </w:rPr>
                  </w:pPr>
                  <w:r>
                    <w:rPr>
                      <w:rFonts w:hint="eastAsia" w:ascii="宋体" w:hAnsi="宋体" w:cs="宋体"/>
                      <w:spacing w:val="8"/>
                    </w:rPr>
                    <w:t>不占用</w:t>
                  </w:r>
                </w:p>
              </w:tc>
            </w:tr>
            <w:tr w14:paraId="6094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08" w:type="dxa"/>
                  <w:vMerge w:val="continue"/>
                  <w:vAlign w:val="center"/>
                </w:tcPr>
                <w:p w14:paraId="08D73AA7">
                  <w:pPr>
                    <w:pStyle w:val="208"/>
                    <w:autoSpaceDE w:val="0"/>
                    <w:autoSpaceDN w:val="0"/>
                    <w:jc w:val="center"/>
                    <w:rPr>
                      <w:sz w:val="21"/>
                      <w:szCs w:val="21"/>
                      <w:lang w:eastAsia="zh-CN"/>
                    </w:rPr>
                  </w:pPr>
                </w:p>
              </w:tc>
              <w:tc>
                <w:tcPr>
                  <w:tcW w:w="1286" w:type="dxa"/>
                  <w:vAlign w:val="center"/>
                </w:tcPr>
                <w:p w14:paraId="790F20C4">
                  <w:pPr>
                    <w:autoSpaceDE w:val="0"/>
                    <w:autoSpaceDN w:val="0"/>
                    <w:jc w:val="center"/>
                    <w:rPr>
                      <w:rFonts w:hint="eastAsia" w:ascii="宋体" w:hAnsi="宋体" w:cs="宋体"/>
                      <w:spacing w:val="6"/>
                    </w:rPr>
                  </w:pPr>
                  <w:r>
                    <w:rPr>
                      <w:rFonts w:hint="eastAsia" w:ascii="宋体" w:hAnsi="宋体" w:cs="宋体"/>
                      <w:spacing w:val="6"/>
                    </w:rPr>
                    <w:t>暖性稀树灌木草丛</w:t>
                  </w:r>
                </w:p>
              </w:tc>
              <w:tc>
                <w:tcPr>
                  <w:tcW w:w="1357" w:type="dxa"/>
                  <w:vAlign w:val="center"/>
                </w:tcPr>
                <w:p w14:paraId="518AC60A">
                  <w:pPr>
                    <w:autoSpaceDE w:val="0"/>
                    <w:autoSpaceDN w:val="0"/>
                    <w:jc w:val="center"/>
                    <w:rPr>
                      <w:rFonts w:ascii="宋体" w:hAnsi="宋体" w:cs="宋体"/>
                      <w:spacing w:val="6"/>
                    </w:rPr>
                  </w:pPr>
                  <w:r>
                    <w:rPr>
                      <w:rFonts w:hint="eastAsia" w:ascii="宋体" w:hAnsi="宋体" w:cs="宋体"/>
                      <w:spacing w:val="6"/>
                    </w:rPr>
                    <w:t>暖温性稀树灌木草丛</w:t>
                  </w:r>
                </w:p>
              </w:tc>
              <w:tc>
                <w:tcPr>
                  <w:tcW w:w="2411" w:type="dxa"/>
                  <w:vAlign w:val="center"/>
                </w:tcPr>
                <w:p w14:paraId="1D4D9710">
                  <w:pPr>
                    <w:autoSpaceDE w:val="0"/>
                    <w:autoSpaceDN w:val="0"/>
                    <w:jc w:val="center"/>
                    <w:rPr>
                      <w:rFonts w:ascii="宋体" w:hAnsi="宋体" w:cs="宋体"/>
                      <w:spacing w:val="8"/>
                    </w:rPr>
                  </w:pPr>
                  <w:r>
                    <w:rPr>
                      <w:rFonts w:hint="eastAsia" w:ascii="宋体" w:hAnsi="宋体" w:cs="宋体"/>
                      <w:spacing w:val="8"/>
                    </w:rPr>
                    <w:t>③暖温性杂草草丛</w:t>
                  </w:r>
                </w:p>
              </w:tc>
              <w:tc>
                <w:tcPr>
                  <w:tcW w:w="2411" w:type="dxa"/>
                  <w:vAlign w:val="center"/>
                </w:tcPr>
                <w:p w14:paraId="171AD4F4">
                  <w:pPr>
                    <w:autoSpaceDE w:val="0"/>
                    <w:autoSpaceDN w:val="0"/>
                    <w:jc w:val="center"/>
                    <w:rPr>
                      <w:rFonts w:ascii="宋体" w:hAnsi="宋体" w:cs="宋体"/>
                      <w:spacing w:val="8"/>
                    </w:rPr>
                  </w:pPr>
                  <w:r>
                    <w:rPr>
                      <w:rFonts w:hint="eastAsia" w:ascii="宋体" w:hAnsi="宋体" w:cs="宋体"/>
                      <w:spacing w:val="8"/>
                    </w:rPr>
                    <w:t>占用</w:t>
                  </w:r>
                </w:p>
              </w:tc>
            </w:tr>
            <w:tr w14:paraId="70A5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908" w:type="dxa"/>
                  <w:vAlign w:val="center"/>
                </w:tcPr>
                <w:p w14:paraId="14DCC777">
                  <w:pPr>
                    <w:pStyle w:val="208"/>
                    <w:autoSpaceDE w:val="0"/>
                    <w:autoSpaceDN w:val="0"/>
                    <w:jc w:val="center"/>
                    <w:rPr>
                      <w:rFonts w:hint="eastAsia" w:eastAsia="宋体"/>
                      <w:sz w:val="21"/>
                      <w:szCs w:val="21"/>
                      <w:lang w:eastAsia="zh-CN"/>
                    </w:rPr>
                  </w:pPr>
                  <w:r>
                    <w:rPr>
                      <w:rFonts w:hint="eastAsia" w:eastAsia="宋体"/>
                      <w:sz w:val="21"/>
                      <w:szCs w:val="21"/>
                      <w:lang w:eastAsia="zh-CN"/>
                    </w:rPr>
                    <w:t>人工植被</w:t>
                  </w:r>
                </w:p>
              </w:tc>
              <w:tc>
                <w:tcPr>
                  <w:tcW w:w="5054" w:type="dxa"/>
                  <w:gridSpan w:val="3"/>
                  <w:vAlign w:val="center"/>
                </w:tcPr>
                <w:p w14:paraId="37D1B951">
                  <w:pPr>
                    <w:autoSpaceDE w:val="0"/>
                    <w:autoSpaceDN w:val="0"/>
                    <w:jc w:val="center"/>
                    <w:rPr>
                      <w:rFonts w:ascii="宋体" w:hAnsi="宋体" w:cs="宋体"/>
                      <w:spacing w:val="8"/>
                    </w:rPr>
                  </w:pPr>
                  <w:r>
                    <w:rPr>
                      <w:rFonts w:hint="eastAsia" w:ascii="宋体" w:hAnsi="宋体" w:cs="宋体"/>
                      <w:spacing w:val="8"/>
                    </w:rPr>
                    <w:t>耕地、园地（种植石榴、柑橘等）</w:t>
                  </w:r>
                </w:p>
              </w:tc>
              <w:tc>
                <w:tcPr>
                  <w:tcW w:w="2411" w:type="dxa"/>
                  <w:vAlign w:val="center"/>
                </w:tcPr>
                <w:p w14:paraId="1E72BF1A">
                  <w:pPr>
                    <w:autoSpaceDE w:val="0"/>
                    <w:autoSpaceDN w:val="0"/>
                    <w:jc w:val="center"/>
                    <w:rPr>
                      <w:rFonts w:ascii="宋体" w:hAnsi="宋体" w:cs="宋体"/>
                      <w:spacing w:val="8"/>
                    </w:rPr>
                  </w:pPr>
                  <w:r>
                    <w:rPr>
                      <w:rFonts w:hint="eastAsia" w:ascii="宋体" w:hAnsi="宋体" w:cs="宋体"/>
                      <w:spacing w:val="8"/>
                    </w:rPr>
                    <w:t>占用部分园地</w:t>
                  </w:r>
                </w:p>
              </w:tc>
            </w:tr>
          </w:tbl>
          <w:p w14:paraId="551816A9">
            <w:pPr>
              <w:spacing w:line="360" w:lineRule="auto"/>
              <w:ind w:firstLine="442" w:firstLineChars="200"/>
              <w:jc w:val="center"/>
              <w:rPr>
                <w:sz w:val="24"/>
              </w:rPr>
            </w:pPr>
            <w:r>
              <w:rPr>
                <w:rFonts w:hint="eastAsia"/>
                <w:b/>
                <w:bCs/>
                <w:spacing w:val="5"/>
              </w:rPr>
              <w:t>表</w:t>
            </w:r>
            <w:r>
              <w:rPr>
                <w:b/>
                <w:bCs/>
                <w:spacing w:val="5"/>
              </w:rPr>
              <w:t xml:space="preserve">3.1.2-4  </w:t>
            </w:r>
            <w:r>
              <w:rPr>
                <w:rFonts w:hint="eastAsia"/>
                <w:b/>
                <w:bCs/>
                <w:spacing w:val="5"/>
              </w:rPr>
              <w:t>调查区植被类型面积一览表</w:t>
            </w:r>
          </w:p>
          <w:tbl>
            <w:tblPr>
              <w:tblStyle w:val="30"/>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2308"/>
              <w:gridCol w:w="1253"/>
              <w:gridCol w:w="3225"/>
            </w:tblGrid>
            <w:tr w14:paraId="69CC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354" w:type="pct"/>
                  <w:gridSpan w:val="2"/>
                  <w:tcBorders>
                    <w:top w:val="single" w:color="auto" w:sz="4" w:space="0"/>
                    <w:left w:val="single" w:color="auto" w:sz="4" w:space="0"/>
                    <w:bottom w:val="single" w:color="auto" w:sz="4" w:space="0"/>
                    <w:right w:val="single" w:color="auto" w:sz="4" w:space="0"/>
                  </w:tcBorders>
                  <w:vAlign w:val="center"/>
                </w:tcPr>
                <w:p w14:paraId="0567404E">
                  <w:pPr>
                    <w:widowControl/>
                    <w:jc w:val="center"/>
                    <w:rPr>
                      <w:kern w:val="0"/>
                    </w:rPr>
                  </w:pPr>
                  <w:r>
                    <w:rPr>
                      <w:rFonts w:hint="eastAsia"/>
                      <w:kern w:val="0"/>
                    </w:rPr>
                    <w:t>植被类型</w:t>
                  </w:r>
                </w:p>
              </w:tc>
              <w:tc>
                <w:tcPr>
                  <w:tcW w:w="740" w:type="pct"/>
                  <w:tcBorders>
                    <w:top w:val="single" w:color="auto" w:sz="4" w:space="0"/>
                    <w:left w:val="single" w:color="auto" w:sz="4" w:space="0"/>
                    <w:bottom w:val="single" w:color="auto" w:sz="4" w:space="0"/>
                    <w:right w:val="single" w:color="auto" w:sz="4" w:space="0"/>
                  </w:tcBorders>
                  <w:vAlign w:val="center"/>
                </w:tcPr>
                <w:p w14:paraId="62F93B02">
                  <w:pPr>
                    <w:widowControl/>
                    <w:jc w:val="center"/>
                    <w:rPr>
                      <w:kern w:val="0"/>
                    </w:rPr>
                  </w:pPr>
                  <w:r>
                    <w:rPr>
                      <w:rFonts w:hint="eastAsia"/>
                      <w:kern w:val="0"/>
                    </w:rPr>
                    <w:t>面积</w:t>
                  </w:r>
                  <w:r>
                    <w:rPr>
                      <w:kern w:val="0"/>
                    </w:rPr>
                    <w:t>(hm</w:t>
                  </w:r>
                  <w:r>
                    <w:rPr>
                      <w:kern w:val="0"/>
                      <w:vertAlign w:val="superscript"/>
                    </w:rPr>
                    <w:t>2</w:t>
                  </w:r>
                  <w:r>
                    <w:rPr>
                      <w:kern w:val="0"/>
                    </w:rPr>
                    <w:t>)</w:t>
                  </w:r>
                </w:p>
              </w:tc>
              <w:tc>
                <w:tcPr>
                  <w:tcW w:w="1906" w:type="pct"/>
                  <w:tcBorders>
                    <w:top w:val="single" w:color="auto" w:sz="4" w:space="0"/>
                    <w:left w:val="single" w:color="auto" w:sz="4" w:space="0"/>
                    <w:bottom w:val="single" w:color="auto" w:sz="4" w:space="0"/>
                    <w:right w:val="single" w:color="auto" w:sz="4" w:space="0"/>
                  </w:tcBorders>
                  <w:noWrap/>
                  <w:vAlign w:val="center"/>
                </w:tcPr>
                <w:p w14:paraId="0FCF9E8E">
                  <w:pPr>
                    <w:widowControl/>
                    <w:jc w:val="center"/>
                    <w:rPr>
                      <w:kern w:val="0"/>
                    </w:rPr>
                  </w:pPr>
                  <w:r>
                    <w:rPr>
                      <w:rFonts w:hint="eastAsia"/>
                      <w:kern w:val="0"/>
                    </w:rPr>
                    <w:t>占调查区总面积的比例</w:t>
                  </w:r>
                  <w:r>
                    <w:rPr>
                      <w:kern w:val="0"/>
                    </w:rPr>
                    <w:t>(%)</w:t>
                  </w:r>
                </w:p>
              </w:tc>
            </w:tr>
            <w:tr w14:paraId="018B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 w:type="pct"/>
                  <w:vMerge w:val="restart"/>
                  <w:tcBorders>
                    <w:top w:val="single" w:color="auto" w:sz="4" w:space="0"/>
                    <w:left w:val="single" w:color="auto" w:sz="4" w:space="0"/>
                    <w:bottom w:val="single" w:color="auto" w:sz="4" w:space="0"/>
                    <w:right w:val="single" w:color="auto" w:sz="4" w:space="0"/>
                  </w:tcBorders>
                  <w:vAlign w:val="center"/>
                </w:tcPr>
                <w:p w14:paraId="3D540863">
                  <w:pPr>
                    <w:widowControl/>
                    <w:jc w:val="center"/>
                    <w:rPr>
                      <w:kern w:val="0"/>
                    </w:rPr>
                  </w:pPr>
                  <w:r>
                    <w:rPr>
                      <w:rFonts w:hint="eastAsia"/>
                      <w:kern w:val="0"/>
                    </w:rPr>
                    <w:t>自然植被</w:t>
                  </w:r>
                </w:p>
              </w:tc>
              <w:tc>
                <w:tcPr>
                  <w:tcW w:w="1363" w:type="pct"/>
                  <w:tcBorders>
                    <w:top w:val="single" w:color="auto" w:sz="4" w:space="0"/>
                    <w:left w:val="single" w:color="auto" w:sz="4" w:space="0"/>
                    <w:bottom w:val="single" w:color="auto" w:sz="4" w:space="0"/>
                    <w:right w:val="single" w:color="auto" w:sz="4" w:space="0"/>
                  </w:tcBorders>
                  <w:vAlign w:val="center"/>
                </w:tcPr>
                <w:p w14:paraId="6C37E819">
                  <w:pPr>
                    <w:widowControl/>
                    <w:jc w:val="center"/>
                    <w:rPr>
                      <w:kern w:val="0"/>
                    </w:rPr>
                  </w:pPr>
                  <w:r>
                    <w:rPr>
                      <w:rFonts w:hint="eastAsia"/>
                      <w:kern w:val="0"/>
                    </w:rPr>
                    <w:t>暖温性针叶林</w:t>
                  </w:r>
                </w:p>
              </w:tc>
              <w:tc>
                <w:tcPr>
                  <w:tcW w:w="740" w:type="pct"/>
                  <w:tcBorders>
                    <w:top w:val="single" w:color="auto" w:sz="4" w:space="0"/>
                    <w:left w:val="single" w:color="auto" w:sz="4" w:space="0"/>
                    <w:bottom w:val="single" w:color="auto" w:sz="4" w:space="0"/>
                    <w:right w:val="single" w:color="auto" w:sz="4" w:space="0"/>
                  </w:tcBorders>
                  <w:vAlign w:val="center"/>
                </w:tcPr>
                <w:p w14:paraId="5ABE91BD">
                  <w:pPr>
                    <w:widowControl/>
                    <w:jc w:val="center"/>
                    <w:textAlignment w:val="center"/>
                    <w:rPr>
                      <w:kern w:val="0"/>
                      <w:lang w:bidi="ar"/>
                    </w:rPr>
                  </w:pPr>
                  <w:r>
                    <w:rPr>
                      <w:color w:val="000000"/>
                      <w:kern w:val="0"/>
                      <w:lang w:bidi="ar"/>
                    </w:rPr>
                    <w:t xml:space="preserve">475.49 </w:t>
                  </w:r>
                </w:p>
              </w:tc>
              <w:tc>
                <w:tcPr>
                  <w:tcW w:w="1906" w:type="pct"/>
                  <w:tcBorders>
                    <w:top w:val="single" w:color="auto" w:sz="4" w:space="0"/>
                    <w:left w:val="single" w:color="auto" w:sz="4" w:space="0"/>
                    <w:bottom w:val="single" w:color="auto" w:sz="4" w:space="0"/>
                    <w:right w:val="single" w:color="auto" w:sz="4" w:space="0"/>
                  </w:tcBorders>
                  <w:noWrap/>
                  <w:vAlign w:val="center"/>
                </w:tcPr>
                <w:p w14:paraId="74E1C41F">
                  <w:pPr>
                    <w:widowControl/>
                    <w:jc w:val="center"/>
                    <w:textAlignment w:val="center"/>
                    <w:rPr>
                      <w:kern w:val="0"/>
                      <w:lang w:bidi="ar"/>
                    </w:rPr>
                  </w:pPr>
                  <w:r>
                    <w:rPr>
                      <w:color w:val="000000"/>
                      <w:kern w:val="0"/>
                      <w:lang w:bidi="ar"/>
                    </w:rPr>
                    <w:t xml:space="preserve">16.89 </w:t>
                  </w:r>
                </w:p>
              </w:tc>
            </w:tr>
            <w:tr w14:paraId="44A3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91" w:type="dxa"/>
                  <w:vMerge w:val="continue"/>
                  <w:tcBorders>
                    <w:top w:val="single" w:color="auto" w:sz="4" w:space="0"/>
                    <w:left w:val="single" w:color="auto" w:sz="4" w:space="0"/>
                    <w:bottom w:val="single" w:color="auto" w:sz="4" w:space="0"/>
                    <w:right w:val="single" w:color="auto" w:sz="4" w:space="0"/>
                  </w:tcBorders>
                  <w:vAlign w:val="center"/>
                </w:tcPr>
                <w:p w14:paraId="32B8E184">
                  <w:pPr>
                    <w:widowControl/>
                    <w:jc w:val="left"/>
                    <w:rPr>
                      <w:kern w:val="0"/>
                    </w:rPr>
                  </w:pPr>
                </w:p>
              </w:tc>
              <w:tc>
                <w:tcPr>
                  <w:tcW w:w="1363" w:type="pct"/>
                  <w:tcBorders>
                    <w:top w:val="single" w:color="auto" w:sz="4" w:space="0"/>
                    <w:left w:val="single" w:color="auto" w:sz="4" w:space="0"/>
                    <w:bottom w:val="single" w:color="auto" w:sz="4" w:space="0"/>
                    <w:right w:val="single" w:color="auto" w:sz="4" w:space="0"/>
                  </w:tcBorders>
                  <w:vAlign w:val="center"/>
                </w:tcPr>
                <w:p w14:paraId="5F263E52">
                  <w:pPr>
                    <w:widowControl/>
                    <w:jc w:val="center"/>
                    <w:textAlignment w:val="bottom"/>
                    <w:rPr>
                      <w:kern w:val="0"/>
                    </w:rPr>
                  </w:pPr>
                  <w:r>
                    <w:rPr>
                      <w:rFonts w:hint="eastAsia"/>
                      <w:kern w:val="0"/>
                      <w:lang w:bidi="ar"/>
                    </w:rPr>
                    <w:t>暖性石灰山灌丛</w:t>
                  </w:r>
                </w:p>
              </w:tc>
              <w:tc>
                <w:tcPr>
                  <w:tcW w:w="740" w:type="pct"/>
                  <w:tcBorders>
                    <w:top w:val="single" w:color="auto" w:sz="4" w:space="0"/>
                    <w:left w:val="single" w:color="auto" w:sz="4" w:space="0"/>
                    <w:bottom w:val="single" w:color="auto" w:sz="4" w:space="0"/>
                    <w:right w:val="single" w:color="auto" w:sz="4" w:space="0"/>
                  </w:tcBorders>
                  <w:vAlign w:val="center"/>
                </w:tcPr>
                <w:p w14:paraId="22E0D216">
                  <w:pPr>
                    <w:widowControl/>
                    <w:jc w:val="center"/>
                    <w:textAlignment w:val="center"/>
                  </w:pPr>
                  <w:r>
                    <w:rPr>
                      <w:color w:val="000000"/>
                      <w:kern w:val="0"/>
                      <w:lang w:bidi="ar"/>
                    </w:rPr>
                    <w:t xml:space="preserve">300.29 </w:t>
                  </w:r>
                </w:p>
              </w:tc>
              <w:tc>
                <w:tcPr>
                  <w:tcW w:w="1906" w:type="pct"/>
                  <w:tcBorders>
                    <w:top w:val="single" w:color="auto" w:sz="4" w:space="0"/>
                    <w:left w:val="single" w:color="auto" w:sz="4" w:space="0"/>
                    <w:bottom w:val="single" w:color="auto" w:sz="4" w:space="0"/>
                    <w:right w:val="single" w:color="auto" w:sz="4" w:space="0"/>
                  </w:tcBorders>
                  <w:noWrap/>
                  <w:vAlign w:val="center"/>
                </w:tcPr>
                <w:p w14:paraId="63BA9833">
                  <w:pPr>
                    <w:widowControl/>
                    <w:jc w:val="center"/>
                    <w:textAlignment w:val="center"/>
                    <w:rPr>
                      <w:kern w:val="0"/>
                    </w:rPr>
                  </w:pPr>
                  <w:r>
                    <w:rPr>
                      <w:color w:val="000000"/>
                      <w:kern w:val="0"/>
                      <w:lang w:bidi="ar"/>
                    </w:rPr>
                    <w:t xml:space="preserve">10.67 </w:t>
                  </w:r>
                </w:p>
              </w:tc>
            </w:tr>
            <w:tr w14:paraId="32C8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91" w:type="dxa"/>
                  <w:vMerge w:val="continue"/>
                  <w:tcBorders>
                    <w:top w:val="single" w:color="auto" w:sz="4" w:space="0"/>
                    <w:left w:val="single" w:color="auto" w:sz="4" w:space="0"/>
                    <w:bottom w:val="single" w:color="auto" w:sz="4" w:space="0"/>
                    <w:right w:val="single" w:color="auto" w:sz="4" w:space="0"/>
                  </w:tcBorders>
                  <w:vAlign w:val="center"/>
                </w:tcPr>
                <w:p w14:paraId="673C9551">
                  <w:pPr>
                    <w:widowControl/>
                    <w:jc w:val="left"/>
                    <w:rPr>
                      <w:kern w:val="0"/>
                    </w:rPr>
                  </w:pPr>
                </w:p>
              </w:tc>
              <w:tc>
                <w:tcPr>
                  <w:tcW w:w="1363" w:type="pct"/>
                  <w:tcBorders>
                    <w:top w:val="single" w:color="auto" w:sz="4" w:space="0"/>
                    <w:left w:val="single" w:color="auto" w:sz="4" w:space="0"/>
                    <w:bottom w:val="single" w:color="auto" w:sz="4" w:space="0"/>
                    <w:right w:val="single" w:color="auto" w:sz="4" w:space="0"/>
                  </w:tcBorders>
                  <w:vAlign w:val="center"/>
                </w:tcPr>
                <w:p w14:paraId="191D0FCF">
                  <w:pPr>
                    <w:widowControl/>
                    <w:jc w:val="center"/>
                    <w:textAlignment w:val="bottom"/>
                    <w:rPr>
                      <w:kern w:val="0"/>
                    </w:rPr>
                  </w:pPr>
                  <w:r>
                    <w:rPr>
                      <w:rFonts w:hint="eastAsia"/>
                      <w:kern w:val="0"/>
                      <w:lang w:bidi="ar"/>
                    </w:rPr>
                    <w:t>暖温性杂草草丛</w:t>
                  </w:r>
                </w:p>
              </w:tc>
              <w:tc>
                <w:tcPr>
                  <w:tcW w:w="740" w:type="pct"/>
                  <w:tcBorders>
                    <w:top w:val="single" w:color="auto" w:sz="4" w:space="0"/>
                    <w:left w:val="single" w:color="auto" w:sz="4" w:space="0"/>
                    <w:bottom w:val="single" w:color="auto" w:sz="4" w:space="0"/>
                    <w:right w:val="single" w:color="auto" w:sz="4" w:space="0"/>
                  </w:tcBorders>
                  <w:vAlign w:val="center"/>
                </w:tcPr>
                <w:p w14:paraId="1ED33636">
                  <w:pPr>
                    <w:widowControl/>
                    <w:jc w:val="center"/>
                    <w:textAlignment w:val="center"/>
                  </w:pPr>
                  <w:r>
                    <w:rPr>
                      <w:color w:val="000000"/>
                      <w:kern w:val="0"/>
                      <w:lang w:bidi="ar"/>
                    </w:rPr>
                    <w:t xml:space="preserve">624.95 </w:t>
                  </w:r>
                </w:p>
              </w:tc>
              <w:tc>
                <w:tcPr>
                  <w:tcW w:w="1906" w:type="pct"/>
                  <w:tcBorders>
                    <w:top w:val="single" w:color="auto" w:sz="4" w:space="0"/>
                    <w:left w:val="single" w:color="auto" w:sz="4" w:space="0"/>
                    <w:bottom w:val="single" w:color="auto" w:sz="4" w:space="0"/>
                    <w:right w:val="single" w:color="auto" w:sz="4" w:space="0"/>
                  </w:tcBorders>
                  <w:noWrap/>
                  <w:vAlign w:val="center"/>
                </w:tcPr>
                <w:p w14:paraId="1C0C0D21">
                  <w:pPr>
                    <w:widowControl/>
                    <w:jc w:val="center"/>
                    <w:textAlignment w:val="center"/>
                    <w:rPr>
                      <w:kern w:val="0"/>
                    </w:rPr>
                  </w:pPr>
                  <w:r>
                    <w:rPr>
                      <w:color w:val="000000"/>
                      <w:kern w:val="0"/>
                      <w:lang w:bidi="ar"/>
                    </w:rPr>
                    <w:t xml:space="preserve">22.20 </w:t>
                  </w:r>
                </w:p>
              </w:tc>
            </w:tr>
            <w:tr w14:paraId="0345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354" w:type="pct"/>
                  <w:gridSpan w:val="2"/>
                  <w:tcBorders>
                    <w:top w:val="single" w:color="auto" w:sz="4" w:space="0"/>
                    <w:left w:val="single" w:color="auto" w:sz="4" w:space="0"/>
                    <w:bottom w:val="single" w:color="auto" w:sz="4" w:space="0"/>
                    <w:right w:val="single" w:color="auto" w:sz="4" w:space="0"/>
                  </w:tcBorders>
                  <w:vAlign w:val="center"/>
                </w:tcPr>
                <w:p w14:paraId="35074E94">
                  <w:pPr>
                    <w:widowControl/>
                    <w:jc w:val="center"/>
                    <w:textAlignment w:val="bottom"/>
                    <w:rPr>
                      <w:kern w:val="0"/>
                      <w:lang w:bidi="ar"/>
                    </w:rPr>
                  </w:pPr>
                  <w:r>
                    <w:rPr>
                      <w:rFonts w:hint="eastAsia"/>
                      <w:kern w:val="0"/>
                      <w:lang w:bidi="ar"/>
                    </w:rPr>
                    <w:t>小计</w:t>
                  </w:r>
                </w:p>
              </w:tc>
              <w:tc>
                <w:tcPr>
                  <w:tcW w:w="740" w:type="pct"/>
                  <w:tcBorders>
                    <w:top w:val="single" w:color="auto" w:sz="4" w:space="0"/>
                    <w:left w:val="single" w:color="auto" w:sz="4" w:space="0"/>
                    <w:bottom w:val="single" w:color="auto" w:sz="4" w:space="0"/>
                    <w:right w:val="single" w:color="auto" w:sz="4" w:space="0"/>
                  </w:tcBorders>
                  <w:vAlign w:val="center"/>
                </w:tcPr>
                <w:p w14:paraId="0CB23721">
                  <w:pPr>
                    <w:widowControl/>
                    <w:jc w:val="center"/>
                    <w:textAlignment w:val="center"/>
                  </w:pPr>
                  <w:r>
                    <w:rPr>
                      <w:kern w:val="0"/>
                      <w:lang w:bidi="ar"/>
                    </w:rPr>
                    <w:t>1400.73</w:t>
                  </w:r>
                </w:p>
              </w:tc>
              <w:tc>
                <w:tcPr>
                  <w:tcW w:w="1906" w:type="pct"/>
                  <w:tcBorders>
                    <w:top w:val="single" w:color="auto" w:sz="4" w:space="0"/>
                    <w:left w:val="single" w:color="auto" w:sz="4" w:space="0"/>
                    <w:bottom w:val="single" w:color="auto" w:sz="4" w:space="0"/>
                    <w:right w:val="single" w:color="auto" w:sz="4" w:space="0"/>
                  </w:tcBorders>
                  <w:noWrap/>
                  <w:vAlign w:val="center"/>
                </w:tcPr>
                <w:p w14:paraId="3172668F">
                  <w:pPr>
                    <w:widowControl/>
                    <w:jc w:val="center"/>
                    <w:textAlignment w:val="center"/>
                  </w:pPr>
                  <w:r>
                    <w:rPr>
                      <w:kern w:val="0"/>
                      <w:lang w:bidi="ar"/>
                    </w:rPr>
                    <w:t>49.76</w:t>
                  </w:r>
                </w:p>
              </w:tc>
            </w:tr>
            <w:tr w14:paraId="5133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90" w:type="pct"/>
                  <w:vMerge w:val="restart"/>
                  <w:tcBorders>
                    <w:top w:val="single" w:color="auto" w:sz="4" w:space="0"/>
                    <w:left w:val="single" w:color="auto" w:sz="4" w:space="0"/>
                    <w:bottom w:val="single" w:color="auto" w:sz="4" w:space="0"/>
                    <w:right w:val="single" w:color="auto" w:sz="4" w:space="0"/>
                  </w:tcBorders>
                  <w:vAlign w:val="center"/>
                </w:tcPr>
                <w:p w14:paraId="474F9E13">
                  <w:pPr>
                    <w:widowControl/>
                    <w:jc w:val="center"/>
                    <w:rPr>
                      <w:kern w:val="0"/>
                    </w:rPr>
                  </w:pPr>
                  <w:r>
                    <w:rPr>
                      <w:rFonts w:hint="eastAsia"/>
                      <w:kern w:val="0"/>
                    </w:rPr>
                    <w:t>人工植被</w:t>
                  </w:r>
                </w:p>
              </w:tc>
              <w:tc>
                <w:tcPr>
                  <w:tcW w:w="1363" w:type="pct"/>
                  <w:tcBorders>
                    <w:top w:val="single" w:color="auto" w:sz="4" w:space="0"/>
                    <w:left w:val="single" w:color="auto" w:sz="4" w:space="0"/>
                    <w:bottom w:val="single" w:color="auto" w:sz="4" w:space="0"/>
                    <w:right w:val="single" w:color="auto" w:sz="4" w:space="0"/>
                  </w:tcBorders>
                  <w:vAlign w:val="center"/>
                </w:tcPr>
                <w:p w14:paraId="1228DC73">
                  <w:pPr>
                    <w:widowControl/>
                    <w:jc w:val="center"/>
                    <w:rPr>
                      <w:kern w:val="0"/>
                    </w:rPr>
                  </w:pPr>
                  <w:r>
                    <w:rPr>
                      <w:rFonts w:hint="eastAsia"/>
                      <w:kern w:val="0"/>
                    </w:rPr>
                    <w:t>旱地</w:t>
                  </w:r>
                </w:p>
              </w:tc>
              <w:tc>
                <w:tcPr>
                  <w:tcW w:w="740" w:type="pct"/>
                  <w:tcBorders>
                    <w:top w:val="single" w:color="auto" w:sz="4" w:space="0"/>
                    <w:left w:val="single" w:color="auto" w:sz="4" w:space="0"/>
                    <w:bottom w:val="single" w:color="auto" w:sz="4" w:space="0"/>
                    <w:right w:val="single" w:color="auto" w:sz="4" w:space="0"/>
                  </w:tcBorders>
                  <w:vAlign w:val="center"/>
                </w:tcPr>
                <w:p w14:paraId="7793DB93">
                  <w:pPr>
                    <w:widowControl/>
                    <w:jc w:val="center"/>
                    <w:textAlignment w:val="center"/>
                  </w:pPr>
                  <w:r>
                    <w:rPr>
                      <w:kern w:val="0"/>
                      <w:lang w:bidi="ar"/>
                    </w:rPr>
                    <w:t>935.62</w:t>
                  </w:r>
                </w:p>
              </w:tc>
              <w:tc>
                <w:tcPr>
                  <w:tcW w:w="1906" w:type="pct"/>
                  <w:tcBorders>
                    <w:top w:val="single" w:color="auto" w:sz="4" w:space="0"/>
                    <w:left w:val="single" w:color="auto" w:sz="4" w:space="0"/>
                    <w:bottom w:val="single" w:color="auto" w:sz="4" w:space="0"/>
                    <w:right w:val="single" w:color="auto" w:sz="4" w:space="0"/>
                  </w:tcBorders>
                  <w:noWrap/>
                  <w:vAlign w:val="center"/>
                </w:tcPr>
                <w:p w14:paraId="378C1067">
                  <w:pPr>
                    <w:widowControl/>
                    <w:jc w:val="center"/>
                    <w:textAlignment w:val="center"/>
                    <w:rPr>
                      <w:color w:val="000000"/>
                    </w:rPr>
                  </w:pPr>
                  <w:r>
                    <w:rPr>
                      <w:color w:val="000000"/>
                      <w:kern w:val="0"/>
                      <w:lang w:bidi="ar"/>
                    </w:rPr>
                    <w:t xml:space="preserve">33.22 </w:t>
                  </w:r>
                </w:p>
              </w:tc>
            </w:tr>
            <w:tr w14:paraId="399A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91" w:type="dxa"/>
                  <w:vMerge w:val="continue"/>
                  <w:tcBorders>
                    <w:top w:val="single" w:color="auto" w:sz="4" w:space="0"/>
                    <w:left w:val="single" w:color="auto" w:sz="4" w:space="0"/>
                    <w:bottom w:val="single" w:color="auto" w:sz="4" w:space="0"/>
                    <w:right w:val="single" w:color="auto" w:sz="4" w:space="0"/>
                  </w:tcBorders>
                  <w:vAlign w:val="center"/>
                </w:tcPr>
                <w:p w14:paraId="75DCABA3">
                  <w:pPr>
                    <w:widowControl/>
                    <w:jc w:val="left"/>
                    <w:rPr>
                      <w:kern w:val="0"/>
                    </w:rPr>
                  </w:pPr>
                </w:p>
              </w:tc>
              <w:tc>
                <w:tcPr>
                  <w:tcW w:w="1363" w:type="pct"/>
                  <w:tcBorders>
                    <w:top w:val="single" w:color="auto" w:sz="4" w:space="0"/>
                    <w:left w:val="single" w:color="auto" w:sz="4" w:space="0"/>
                    <w:bottom w:val="single" w:color="auto" w:sz="4" w:space="0"/>
                    <w:right w:val="single" w:color="auto" w:sz="4" w:space="0"/>
                  </w:tcBorders>
                  <w:vAlign w:val="center"/>
                </w:tcPr>
                <w:p w14:paraId="4EB62B02">
                  <w:pPr>
                    <w:widowControl/>
                    <w:jc w:val="center"/>
                    <w:rPr>
                      <w:kern w:val="0"/>
                    </w:rPr>
                  </w:pPr>
                  <w:r>
                    <w:rPr>
                      <w:rFonts w:hint="eastAsia"/>
                      <w:kern w:val="0"/>
                    </w:rPr>
                    <w:t>园地</w:t>
                  </w:r>
                </w:p>
              </w:tc>
              <w:tc>
                <w:tcPr>
                  <w:tcW w:w="740" w:type="pct"/>
                  <w:tcBorders>
                    <w:top w:val="single" w:color="auto" w:sz="4" w:space="0"/>
                    <w:left w:val="single" w:color="auto" w:sz="4" w:space="0"/>
                    <w:bottom w:val="single" w:color="auto" w:sz="4" w:space="0"/>
                    <w:right w:val="single" w:color="auto" w:sz="4" w:space="0"/>
                  </w:tcBorders>
                  <w:vAlign w:val="center"/>
                </w:tcPr>
                <w:p w14:paraId="5971DAC3">
                  <w:pPr>
                    <w:widowControl/>
                    <w:jc w:val="center"/>
                    <w:textAlignment w:val="center"/>
                  </w:pPr>
                  <w:r>
                    <w:rPr>
                      <w:color w:val="000000"/>
                      <w:kern w:val="0"/>
                      <w:lang w:bidi="ar"/>
                    </w:rPr>
                    <w:t xml:space="preserve">366.07 </w:t>
                  </w:r>
                </w:p>
              </w:tc>
              <w:tc>
                <w:tcPr>
                  <w:tcW w:w="1906" w:type="pct"/>
                  <w:tcBorders>
                    <w:top w:val="single" w:color="auto" w:sz="4" w:space="0"/>
                    <w:left w:val="single" w:color="auto" w:sz="4" w:space="0"/>
                    <w:bottom w:val="single" w:color="auto" w:sz="4" w:space="0"/>
                    <w:right w:val="single" w:color="auto" w:sz="4" w:space="0"/>
                  </w:tcBorders>
                  <w:noWrap/>
                  <w:vAlign w:val="center"/>
                </w:tcPr>
                <w:p w14:paraId="4A65A5A6">
                  <w:pPr>
                    <w:widowControl/>
                    <w:jc w:val="center"/>
                    <w:textAlignment w:val="center"/>
                    <w:rPr>
                      <w:kern w:val="0"/>
                    </w:rPr>
                  </w:pPr>
                  <w:r>
                    <w:rPr>
                      <w:color w:val="000000"/>
                      <w:kern w:val="0"/>
                      <w:lang w:bidi="ar"/>
                    </w:rPr>
                    <w:t xml:space="preserve">13.00 </w:t>
                  </w:r>
                </w:p>
              </w:tc>
            </w:tr>
            <w:tr w14:paraId="2BAF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354" w:type="pct"/>
                  <w:gridSpan w:val="2"/>
                  <w:tcBorders>
                    <w:top w:val="single" w:color="auto" w:sz="4" w:space="0"/>
                    <w:left w:val="single" w:color="auto" w:sz="4" w:space="0"/>
                    <w:bottom w:val="single" w:color="auto" w:sz="4" w:space="0"/>
                    <w:right w:val="single" w:color="auto" w:sz="4" w:space="0"/>
                  </w:tcBorders>
                  <w:vAlign w:val="center"/>
                </w:tcPr>
                <w:p w14:paraId="3F273EC6">
                  <w:pPr>
                    <w:widowControl/>
                    <w:jc w:val="center"/>
                    <w:rPr>
                      <w:kern w:val="0"/>
                    </w:rPr>
                  </w:pPr>
                  <w:r>
                    <w:rPr>
                      <w:rFonts w:hint="eastAsia"/>
                      <w:kern w:val="0"/>
                    </w:rPr>
                    <w:t>小计</w:t>
                  </w:r>
                </w:p>
              </w:tc>
              <w:tc>
                <w:tcPr>
                  <w:tcW w:w="740" w:type="pct"/>
                  <w:tcBorders>
                    <w:top w:val="single" w:color="auto" w:sz="4" w:space="0"/>
                    <w:left w:val="single" w:color="auto" w:sz="4" w:space="0"/>
                    <w:bottom w:val="single" w:color="auto" w:sz="4" w:space="0"/>
                    <w:right w:val="single" w:color="auto" w:sz="4" w:space="0"/>
                  </w:tcBorders>
                  <w:vAlign w:val="center"/>
                </w:tcPr>
                <w:p w14:paraId="0BF4E11D">
                  <w:pPr>
                    <w:widowControl/>
                    <w:jc w:val="center"/>
                    <w:textAlignment w:val="center"/>
                  </w:pPr>
                  <w:r>
                    <w:rPr>
                      <w:kern w:val="0"/>
                      <w:lang w:bidi="ar"/>
                    </w:rPr>
                    <w:t>1301.69</w:t>
                  </w:r>
                </w:p>
              </w:tc>
              <w:tc>
                <w:tcPr>
                  <w:tcW w:w="1906" w:type="pct"/>
                  <w:tcBorders>
                    <w:top w:val="single" w:color="auto" w:sz="4" w:space="0"/>
                    <w:left w:val="single" w:color="auto" w:sz="4" w:space="0"/>
                    <w:bottom w:val="single" w:color="auto" w:sz="4" w:space="0"/>
                    <w:right w:val="single" w:color="auto" w:sz="4" w:space="0"/>
                  </w:tcBorders>
                  <w:noWrap/>
                  <w:vAlign w:val="center"/>
                </w:tcPr>
                <w:p w14:paraId="2B4500E4">
                  <w:pPr>
                    <w:widowControl/>
                    <w:jc w:val="center"/>
                    <w:textAlignment w:val="center"/>
                  </w:pPr>
                  <w:r>
                    <w:rPr>
                      <w:kern w:val="0"/>
                      <w:lang w:bidi="ar"/>
                    </w:rPr>
                    <w:t>46.22</w:t>
                  </w:r>
                </w:p>
              </w:tc>
            </w:tr>
            <w:tr w14:paraId="25BC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354" w:type="pct"/>
                  <w:gridSpan w:val="2"/>
                  <w:tcBorders>
                    <w:top w:val="single" w:color="auto" w:sz="4" w:space="0"/>
                    <w:left w:val="single" w:color="auto" w:sz="4" w:space="0"/>
                    <w:bottom w:val="single" w:color="auto" w:sz="4" w:space="0"/>
                    <w:right w:val="single" w:color="auto" w:sz="4" w:space="0"/>
                  </w:tcBorders>
                  <w:vAlign w:val="center"/>
                </w:tcPr>
                <w:p w14:paraId="35AA8693">
                  <w:pPr>
                    <w:widowControl/>
                    <w:jc w:val="center"/>
                    <w:rPr>
                      <w:kern w:val="0"/>
                    </w:rPr>
                  </w:pPr>
                  <w:r>
                    <w:rPr>
                      <w:rFonts w:hint="eastAsia"/>
                      <w:kern w:val="0"/>
                    </w:rPr>
                    <w:t>非植被</w:t>
                  </w:r>
                </w:p>
              </w:tc>
              <w:tc>
                <w:tcPr>
                  <w:tcW w:w="740" w:type="pct"/>
                  <w:tcBorders>
                    <w:top w:val="single" w:color="auto" w:sz="4" w:space="0"/>
                    <w:left w:val="single" w:color="auto" w:sz="4" w:space="0"/>
                    <w:bottom w:val="single" w:color="auto" w:sz="4" w:space="0"/>
                    <w:right w:val="single" w:color="auto" w:sz="4" w:space="0"/>
                  </w:tcBorders>
                  <w:vAlign w:val="center"/>
                </w:tcPr>
                <w:p w14:paraId="4FD1AA65">
                  <w:pPr>
                    <w:widowControl/>
                    <w:jc w:val="center"/>
                    <w:textAlignment w:val="center"/>
                  </w:pPr>
                  <w:r>
                    <w:rPr>
                      <w:color w:val="000000"/>
                      <w:kern w:val="0"/>
                      <w:lang w:bidi="ar"/>
                    </w:rPr>
                    <w:t xml:space="preserve">113.15 </w:t>
                  </w:r>
                </w:p>
              </w:tc>
              <w:tc>
                <w:tcPr>
                  <w:tcW w:w="1906" w:type="pct"/>
                  <w:tcBorders>
                    <w:top w:val="single" w:color="auto" w:sz="4" w:space="0"/>
                    <w:left w:val="single" w:color="auto" w:sz="4" w:space="0"/>
                    <w:bottom w:val="single" w:color="auto" w:sz="4" w:space="0"/>
                    <w:right w:val="single" w:color="auto" w:sz="4" w:space="0"/>
                  </w:tcBorders>
                  <w:noWrap/>
                  <w:vAlign w:val="center"/>
                </w:tcPr>
                <w:p w14:paraId="02B10C7E">
                  <w:pPr>
                    <w:widowControl/>
                    <w:jc w:val="center"/>
                    <w:textAlignment w:val="center"/>
                  </w:pPr>
                  <w:r>
                    <w:rPr>
                      <w:color w:val="000000"/>
                      <w:kern w:val="0"/>
                      <w:lang w:bidi="ar"/>
                    </w:rPr>
                    <w:t xml:space="preserve">4.02 </w:t>
                  </w:r>
                </w:p>
              </w:tc>
            </w:tr>
            <w:tr w14:paraId="0FA9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354" w:type="pct"/>
                  <w:gridSpan w:val="2"/>
                  <w:tcBorders>
                    <w:top w:val="single" w:color="auto" w:sz="4" w:space="0"/>
                    <w:left w:val="single" w:color="auto" w:sz="4" w:space="0"/>
                    <w:bottom w:val="single" w:color="auto" w:sz="4" w:space="0"/>
                    <w:right w:val="single" w:color="auto" w:sz="4" w:space="0"/>
                  </w:tcBorders>
                  <w:vAlign w:val="center"/>
                </w:tcPr>
                <w:p w14:paraId="3FD20201">
                  <w:pPr>
                    <w:widowControl/>
                    <w:jc w:val="center"/>
                    <w:rPr>
                      <w:kern w:val="0"/>
                    </w:rPr>
                  </w:pPr>
                  <w:r>
                    <w:rPr>
                      <w:rFonts w:hint="eastAsia"/>
                      <w:kern w:val="0"/>
                    </w:rPr>
                    <w:t>合计</w:t>
                  </w:r>
                </w:p>
              </w:tc>
              <w:tc>
                <w:tcPr>
                  <w:tcW w:w="740" w:type="pct"/>
                  <w:tcBorders>
                    <w:top w:val="single" w:color="auto" w:sz="4" w:space="0"/>
                    <w:left w:val="single" w:color="auto" w:sz="4" w:space="0"/>
                    <w:bottom w:val="single" w:color="auto" w:sz="4" w:space="0"/>
                    <w:right w:val="single" w:color="auto" w:sz="4" w:space="0"/>
                  </w:tcBorders>
                  <w:vAlign w:val="center"/>
                </w:tcPr>
                <w:p w14:paraId="3BC44FD5">
                  <w:pPr>
                    <w:widowControl/>
                    <w:jc w:val="center"/>
                    <w:textAlignment w:val="center"/>
                  </w:pPr>
                  <w:r>
                    <w:rPr>
                      <w:kern w:val="0"/>
                      <w:lang w:bidi="ar"/>
                    </w:rPr>
                    <w:t>2815.57</w:t>
                  </w:r>
                </w:p>
              </w:tc>
              <w:tc>
                <w:tcPr>
                  <w:tcW w:w="1906" w:type="pct"/>
                  <w:tcBorders>
                    <w:top w:val="single" w:color="auto" w:sz="4" w:space="0"/>
                    <w:left w:val="single" w:color="auto" w:sz="4" w:space="0"/>
                    <w:bottom w:val="single" w:color="auto" w:sz="4" w:space="0"/>
                    <w:right w:val="single" w:color="auto" w:sz="4" w:space="0"/>
                  </w:tcBorders>
                  <w:noWrap/>
                  <w:vAlign w:val="center"/>
                </w:tcPr>
                <w:p w14:paraId="6B661815">
                  <w:pPr>
                    <w:widowControl/>
                    <w:jc w:val="center"/>
                    <w:textAlignment w:val="bottom"/>
                    <w:rPr>
                      <w:kern w:val="0"/>
                    </w:rPr>
                  </w:pPr>
                  <w:r>
                    <w:rPr>
                      <w:kern w:val="0"/>
                      <w:lang w:bidi="ar"/>
                    </w:rPr>
                    <w:t>100.00</w:t>
                  </w:r>
                </w:p>
              </w:tc>
            </w:tr>
          </w:tbl>
          <w:p w14:paraId="04F8B5CA">
            <w:pPr>
              <w:spacing w:line="360" w:lineRule="auto"/>
              <w:ind w:firstLine="480" w:firstLineChars="200"/>
              <w:rPr>
                <w:rFonts w:hint="eastAsia"/>
                <w:sz w:val="24"/>
              </w:rPr>
            </w:pPr>
            <w:r>
              <w:rPr>
                <w:rFonts w:hint="eastAsia"/>
                <w:sz w:val="24"/>
              </w:rPr>
              <w:t>A.暖性针叶林</w:t>
            </w:r>
          </w:p>
          <w:p w14:paraId="1DB81612">
            <w:pPr>
              <w:spacing w:line="360" w:lineRule="auto"/>
              <w:ind w:firstLine="480" w:firstLineChars="200"/>
              <w:rPr>
                <w:rFonts w:hint="eastAsia"/>
                <w:sz w:val="24"/>
              </w:rPr>
            </w:pPr>
            <w:r>
              <w:rPr>
                <w:rFonts w:hint="eastAsia"/>
                <w:sz w:val="24"/>
              </w:rPr>
              <w:t>暖温性针叶林是云南亚热带北部地区，以滇中高原山地为主的常见和主要植</w:t>
            </w:r>
            <w:r>
              <w:rPr>
                <w:sz w:val="24"/>
                <w:szCs w:val="24"/>
              </w:rPr>
              <w:t>被类型。分布的海拔范围在</w:t>
            </w:r>
            <w:r>
              <w:rPr>
                <w:rFonts w:eastAsia="Times New Roman"/>
                <w:sz w:val="24"/>
                <w:szCs w:val="24"/>
              </w:rPr>
              <w:t>1500m~2800</w:t>
            </w:r>
            <w:r>
              <w:rPr>
                <w:sz w:val="24"/>
                <w:szCs w:val="24"/>
              </w:rPr>
              <w:t>（</w:t>
            </w:r>
            <w:r>
              <w:rPr>
                <w:rFonts w:eastAsia="Times New Roman"/>
                <w:sz w:val="24"/>
                <w:szCs w:val="24"/>
              </w:rPr>
              <w:t>3000</w:t>
            </w:r>
            <w:r>
              <w:rPr>
                <w:sz w:val="24"/>
                <w:szCs w:val="24"/>
              </w:rPr>
              <w:t>）</w:t>
            </w:r>
            <w:r>
              <w:rPr>
                <w:rFonts w:eastAsia="Times New Roman"/>
                <w:sz w:val="24"/>
                <w:szCs w:val="24"/>
              </w:rPr>
              <w:t>m</w:t>
            </w:r>
            <w:r>
              <w:rPr>
                <w:sz w:val="24"/>
                <w:szCs w:val="24"/>
              </w:rPr>
              <w:t>。</w:t>
            </w:r>
            <w:r>
              <w:rPr>
                <w:rFonts w:hint="eastAsia"/>
                <w:sz w:val="24"/>
              </w:rPr>
              <w:t>暖性针叶林广泛分布于项目周边区域，受人为砍伐、种地等影响，具有明显的次生性质。本项目调查区域内暖温性针叶林包括云南松林1种群落类型。</w:t>
            </w:r>
          </w:p>
          <w:p w14:paraId="77B9655F">
            <w:pPr>
              <w:spacing w:line="360" w:lineRule="auto"/>
              <w:ind w:firstLine="480" w:firstLineChars="200"/>
              <w:rPr>
                <w:rFonts w:hint="eastAsia"/>
                <w:sz w:val="24"/>
              </w:rPr>
            </w:pPr>
            <w:r>
              <w:rPr>
                <w:rFonts w:hint="eastAsia"/>
                <w:sz w:val="24"/>
              </w:rPr>
              <w:t>①云南松林</w:t>
            </w:r>
          </w:p>
          <w:p w14:paraId="79D86E94">
            <w:pPr>
              <w:spacing w:line="360" w:lineRule="auto"/>
              <w:ind w:firstLine="460" w:firstLineChars="200"/>
              <w:rPr>
                <w:rFonts w:hint="eastAsia"/>
                <w:sz w:val="24"/>
              </w:rPr>
            </w:pPr>
            <w:r>
              <w:rPr>
                <w:rFonts w:ascii="宋体" w:hAnsi="宋体" w:cs="宋体"/>
                <w:spacing w:val="-5"/>
                <w:sz w:val="24"/>
                <w:szCs w:val="24"/>
              </w:rPr>
              <w:t>该群落</w:t>
            </w:r>
            <w:r>
              <w:rPr>
                <w:rFonts w:ascii="宋体" w:hAnsi="宋体" w:cs="宋体"/>
                <w:spacing w:val="-2"/>
                <w:sz w:val="24"/>
                <w:szCs w:val="24"/>
              </w:rPr>
              <w:t>结构简单，一般可以分为乔木层、</w:t>
            </w:r>
            <w:r>
              <w:rPr>
                <w:rFonts w:ascii="宋体" w:hAnsi="宋体" w:cs="宋体"/>
                <w:spacing w:val="-3"/>
                <w:sz w:val="24"/>
                <w:szCs w:val="24"/>
              </w:rPr>
              <w:t>灌木</w:t>
            </w:r>
            <w:r>
              <w:rPr>
                <w:rFonts w:ascii="宋体" w:hAnsi="宋体" w:cs="宋体"/>
                <w:sz w:val="24"/>
                <w:szCs w:val="24"/>
              </w:rPr>
              <w:t>层和草本层</w:t>
            </w:r>
            <w:r>
              <w:rPr>
                <w:rFonts w:hint="eastAsia" w:ascii="宋体" w:hAnsi="宋体" w:cs="宋体"/>
                <w:sz w:val="24"/>
                <w:szCs w:val="24"/>
              </w:rPr>
              <w:t>三层</w:t>
            </w:r>
            <w:r>
              <w:rPr>
                <w:rFonts w:ascii="宋体" w:hAnsi="宋体" w:cs="宋体"/>
                <w:sz w:val="24"/>
                <w:szCs w:val="24"/>
              </w:rPr>
              <w:t>。</w:t>
            </w:r>
            <w:r>
              <w:rPr>
                <w:rFonts w:hint="eastAsia"/>
                <w:sz w:val="24"/>
              </w:rPr>
              <w:t>乔木层高5~10m，局部可达13m，层盖度约40%~75%，</w:t>
            </w:r>
            <w:r>
              <w:rPr>
                <w:rFonts w:ascii="宋体" w:hAnsi="宋体" w:cs="宋体"/>
                <w:sz w:val="24"/>
                <w:szCs w:val="24"/>
              </w:rPr>
              <w:t>以云南松</w:t>
            </w:r>
            <w:r>
              <w:rPr>
                <w:rFonts w:hint="eastAsia"/>
                <w:i/>
                <w:iCs/>
                <w:sz w:val="24"/>
              </w:rPr>
              <w:t>Pinus yunnanensis</w:t>
            </w:r>
            <w:r>
              <w:rPr>
                <w:rFonts w:ascii="宋体" w:hAnsi="宋体" w:cs="宋体"/>
                <w:sz w:val="24"/>
                <w:szCs w:val="24"/>
              </w:rPr>
              <w:t>为单优种</w:t>
            </w:r>
            <w:r>
              <w:rPr>
                <w:rFonts w:hint="eastAsia" w:ascii="宋体" w:hAnsi="宋体" w:cs="宋体"/>
                <w:sz w:val="24"/>
                <w:szCs w:val="24"/>
              </w:rPr>
              <w:t>，</w:t>
            </w:r>
            <w:r>
              <w:rPr>
                <w:rFonts w:ascii="宋体" w:hAnsi="宋体" w:cs="宋体"/>
                <w:sz w:val="24"/>
                <w:szCs w:val="24"/>
              </w:rPr>
              <w:t>其他</w:t>
            </w:r>
            <w:r>
              <w:rPr>
                <w:rFonts w:ascii="宋体" w:hAnsi="宋体" w:cs="宋体"/>
                <w:spacing w:val="-1"/>
                <w:sz w:val="24"/>
                <w:szCs w:val="24"/>
              </w:rPr>
              <w:t>常见的</w:t>
            </w:r>
            <w:r>
              <w:rPr>
                <w:rFonts w:hint="eastAsia" w:ascii="宋体" w:hAnsi="宋体" w:cs="宋体"/>
                <w:spacing w:val="-1"/>
                <w:sz w:val="24"/>
                <w:szCs w:val="24"/>
              </w:rPr>
              <w:t>种类</w:t>
            </w:r>
            <w:r>
              <w:rPr>
                <w:rFonts w:ascii="宋体" w:hAnsi="宋体" w:cs="宋体"/>
                <w:spacing w:val="-1"/>
                <w:sz w:val="24"/>
                <w:szCs w:val="24"/>
              </w:rPr>
              <w:t>有</w:t>
            </w:r>
            <w:r>
              <w:rPr>
                <w:rFonts w:ascii="宋体" w:hAnsi="宋体" w:cs="宋体"/>
                <w:spacing w:val="1"/>
                <w:sz w:val="24"/>
                <w:szCs w:val="24"/>
              </w:rPr>
              <w:t>旱冬瓜</w:t>
            </w:r>
            <w:r>
              <w:rPr>
                <w:i/>
                <w:iCs/>
                <w:spacing w:val="1"/>
                <w:sz w:val="24"/>
                <w:szCs w:val="24"/>
              </w:rPr>
              <w:t>Alnus nepalensis</w:t>
            </w:r>
            <w:r>
              <w:rPr>
                <w:rFonts w:ascii="宋体" w:hAnsi="宋体" w:cs="宋体"/>
                <w:spacing w:val="1"/>
                <w:sz w:val="24"/>
                <w:szCs w:val="24"/>
              </w:rPr>
              <w:t>、毛杨梅</w:t>
            </w:r>
            <w:r>
              <w:rPr>
                <w:i/>
                <w:iCs/>
                <w:spacing w:val="1"/>
                <w:sz w:val="24"/>
                <w:szCs w:val="24"/>
              </w:rPr>
              <w:t>Morella esculenta</w:t>
            </w:r>
            <w:r>
              <w:rPr>
                <w:rFonts w:ascii="宋体" w:hAnsi="宋体" w:cs="宋体"/>
                <w:spacing w:val="1"/>
                <w:sz w:val="24"/>
                <w:szCs w:val="24"/>
              </w:rPr>
              <w:t>等</w:t>
            </w:r>
            <w:r>
              <w:rPr>
                <w:rFonts w:hint="eastAsia"/>
                <w:sz w:val="24"/>
              </w:rPr>
              <w:t>。</w:t>
            </w:r>
          </w:p>
          <w:p w14:paraId="1ADAF9D5">
            <w:pPr>
              <w:spacing w:line="360" w:lineRule="auto"/>
              <w:ind w:firstLine="480" w:firstLineChars="200"/>
              <w:rPr>
                <w:rFonts w:hint="eastAsia"/>
                <w:sz w:val="24"/>
              </w:rPr>
            </w:pPr>
            <w:r>
              <w:rPr>
                <w:rFonts w:hint="eastAsia"/>
                <w:sz w:val="24"/>
              </w:rPr>
              <w:t>灌木层盖度20%~40%，高约0.8m~2.0m，主要种类有水红木</w:t>
            </w:r>
            <w:r>
              <w:rPr>
                <w:rFonts w:hint="eastAsia"/>
                <w:i/>
                <w:iCs/>
                <w:sz w:val="24"/>
              </w:rPr>
              <w:t>Viburnum cylindricum</w:t>
            </w:r>
            <w:r>
              <w:rPr>
                <w:rFonts w:hint="eastAsia"/>
                <w:sz w:val="24"/>
              </w:rPr>
              <w:t>、</w:t>
            </w:r>
            <w:r>
              <w:rPr>
                <w:rFonts w:ascii="宋体" w:hAnsi="宋体" w:cs="宋体"/>
                <w:spacing w:val="-2"/>
                <w:sz w:val="24"/>
                <w:szCs w:val="24"/>
              </w:rPr>
              <w:t>铁仔</w:t>
            </w:r>
            <w:r>
              <w:rPr>
                <w:rFonts w:ascii="宋体" w:hAnsi="宋体" w:cs="宋体"/>
                <w:spacing w:val="-67"/>
                <w:sz w:val="24"/>
                <w:szCs w:val="24"/>
              </w:rPr>
              <w:t xml:space="preserve"> </w:t>
            </w:r>
            <w:r>
              <w:rPr>
                <w:rFonts w:eastAsia="Times New Roman"/>
                <w:i/>
                <w:iCs/>
                <w:spacing w:val="-2"/>
                <w:sz w:val="24"/>
                <w:szCs w:val="24"/>
              </w:rPr>
              <w:t>Myrs</w:t>
            </w:r>
            <w:r>
              <w:rPr>
                <w:rFonts w:eastAsia="Times New Roman"/>
                <w:i/>
                <w:iCs/>
                <w:spacing w:val="-3"/>
                <w:sz w:val="24"/>
                <w:szCs w:val="24"/>
              </w:rPr>
              <w:t>ine africana</w:t>
            </w:r>
            <w:r>
              <w:rPr>
                <w:rFonts w:hint="eastAsia"/>
                <w:i/>
                <w:iCs/>
                <w:spacing w:val="-3"/>
                <w:sz w:val="24"/>
                <w:szCs w:val="24"/>
              </w:rPr>
              <w:t>、</w:t>
            </w:r>
            <w:r>
              <w:rPr>
                <w:rFonts w:hint="eastAsia"/>
                <w:sz w:val="24"/>
              </w:rPr>
              <w:t>沙针</w:t>
            </w:r>
            <w:r>
              <w:rPr>
                <w:rFonts w:hint="eastAsia"/>
                <w:i/>
                <w:iCs/>
                <w:sz w:val="24"/>
              </w:rPr>
              <w:t>Osyris wightiana</w:t>
            </w:r>
            <w:r>
              <w:rPr>
                <w:rFonts w:hint="eastAsia"/>
                <w:sz w:val="24"/>
              </w:rPr>
              <w:t>、西南杭子梢</w:t>
            </w:r>
            <w:r>
              <w:rPr>
                <w:rFonts w:hint="eastAsia"/>
                <w:i/>
                <w:iCs/>
                <w:sz w:val="24"/>
              </w:rPr>
              <w:t>Campylotropis delavayi、</w:t>
            </w:r>
            <w:r>
              <w:rPr>
                <w:rFonts w:hint="eastAsia"/>
                <w:sz w:val="24"/>
              </w:rPr>
              <w:t>川梨</w:t>
            </w:r>
            <w:r>
              <w:rPr>
                <w:rFonts w:hint="eastAsia"/>
                <w:i/>
                <w:iCs/>
                <w:sz w:val="24"/>
              </w:rPr>
              <w:t>Pyrus pashia</w:t>
            </w:r>
            <w:r>
              <w:rPr>
                <w:rFonts w:hint="eastAsia"/>
                <w:sz w:val="24"/>
              </w:rPr>
              <w:t>、</w:t>
            </w:r>
            <w:r>
              <w:rPr>
                <w:rFonts w:ascii="宋体" w:hAnsi="宋体" w:cs="宋体"/>
                <w:spacing w:val="-3"/>
                <w:sz w:val="24"/>
                <w:szCs w:val="24"/>
              </w:rPr>
              <w:t>川滇金丝桃</w:t>
            </w:r>
            <w:r>
              <w:rPr>
                <w:i/>
                <w:iCs/>
                <w:spacing w:val="-3"/>
                <w:sz w:val="24"/>
                <w:szCs w:val="24"/>
              </w:rPr>
              <w:t>Hypericum forrestii</w:t>
            </w:r>
            <w:r>
              <w:rPr>
                <w:rFonts w:hint="eastAsia" w:ascii="宋体" w:hAnsi="宋体" w:cs="宋体"/>
                <w:spacing w:val="-3"/>
                <w:sz w:val="24"/>
                <w:szCs w:val="24"/>
              </w:rPr>
              <w:t>、</w:t>
            </w:r>
            <w:r>
              <w:rPr>
                <w:rFonts w:hint="eastAsia"/>
                <w:sz w:val="24"/>
              </w:rPr>
              <w:t>火棘</w:t>
            </w:r>
            <w:r>
              <w:rPr>
                <w:rFonts w:hint="eastAsia"/>
                <w:i/>
                <w:iCs/>
                <w:sz w:val="24"/>
              </w:rPr>
              <w:t>Pyracantha fortuneana</w:t>
            </w:r>
            <w:r>
              <w:rPr>
                <w:rFonts w:hint="eastAsia"/>
                <w:sz w:val="24"/>
              </w:rPr>
              <w:t>、小檗</w:t>
            </w:r>
            <w:r>
              <w:rPr>
                <w:rFonts w:hint="eastAsia"/>
                <w:i/>
                <w:iCs/>
                <w:sz w:val="24"/>
              </w:rPr>
              <w:t>Berberis amoena</w:t>
            </w:r>
            <w:r>
              <w:rPr>
                <w:rFonts w:hint="eastAsia"/>
                <w:sz w:val="24"/>
              </w:rPr>
              <w:t>、青刺尖</w:t>
            </w:r>
            <w:r>
              <w:rPr>
                <w:rFonts w:hint="eastAsia"/>
                <w:i/>
                <w:iCs/>
                <w:sz w:val="24"/>
              </w:rPr>
              <w:t>Prinsepia utilis</w:t>
            </w:r>
            <w:r>
              <w:rPr>
                <w:rFonts w:hint="eastAsia"/>
                <w:sz w:val="24"/>
              </w:rPr>
              <w:t>等。</w:t>
            </w:r>
          </w:p>
          <w:p w14:paraId="15DA3915">
            <w:pPr>
              <w:spacing w:line="360" w:lineRule="auto"/>
              <w:ind w:firstLine="480" w:firstLineChars="200"/>
              <w:rPr>
                <w:rFonts w:hint="eastAsia"/>
                <w:sz w:val="24"/>
              </w:rPr>
            </w:pPr>
            <w:r>
              <w:rPr>
                <w:rFonts w:hint="eastAsia"/>
                <w:sz w:val="24"/>
              </w:rPr>
              <w:t>草本层盖度20%~45%，主要种类有</w:t>
            </w:r>
            <w:r>
              <w:rPr>
                <w:rFonts w:ascii="宋体" w:hAnsi="宋体" w:cs="宋体"/>
                <w:spacing w:val="-10"/>
                <w:sz w:val="24"/>
                <w:szCs w:val="24"/>
              </w:rPr>
              <w:t>云南兔</w:t>
            </w:r>
            <w:r>
              <w:rPr>
                <w:rFonts w:hint="eastAsia" w:ascii="宋体" w:hAnsi="宋体" w:cs="宋体"/>
                <w:spacing w:val="-10"/>
                <w:sz w:val="24"/>
                <w:szCs w:val="24"/>
              </w:rPr>
              <w:t>儿</w:t>
            </w:r>
            <w:r>
              <w:rPr>
                <w:spacing w:val="-10"/>
                <w:sz w:val="24"/>
                <w:szCs w:val="24"/>
              </w:rPr>
              <w:t>风</w:t>
            </w:r>
            <w:r>
              <w:rPr>
                <w:i/>
                <w:iCs/>
                <w:spacing w:val="-10"/>
                <w:sz w:val="24"/>
                <w:szCs w:val="24"/>
              </w:rPr>
              <w:t>Ainsliaea yunnanensis</w:t>
            </w:r>
            <w:r>
              <w:rPr>
                <w:rFonts w:hint="eastAsia" w:ascii="宋体" w:hAnsi="宋体" w:cs="宋体"/>
                <w:spacing w:val="-10"/>
                <w:sz w:val="24"/>
                <w:szCs w:val="24"/>
              </w:rPr>
              <w:t>、</w:t>
            </w:r>
            <w:r>
              <w:rPr>
                <w:rFonts w:hint="eastAsia"/>
                <w:sz w:val="24"/>
              </w:rPr>
              <w:t>硬杆子草</w:t>
            </w:r>
            <w:r>
              <w:rPr>
                <w:rFonts w:hint="eastAsia"/>
                <w:i/>
                <w:iCs/>
                <w:sz w:val="24"/>
              </w:rPr>
              <w:t>Capillipedium assimil</w:t>
            </w:r>
            <w:r>
              <w:rPr>
                <w:rFonts w:hint="eastAsia"/>
                <w:sz w:val="24"/>
              </w:rPr>
              <w:t>e、羊茅</w:t>
            </w:r>
            <w:r>
              <w:rPr>
                <w:rFonts w:hint="eastAsia"/>
                <w:i/>
                <w:iCs/>
                <w:sz w:val="24"/>
              </w:rPr>
              <w:t>Festuca ovina</w:t>
            </w:r>
            <w:r>
              <w:rPr>
                <w:rFonts w:hint="eastAsia"/>
                <w:sz w:val="24"/>
              </w:rPr>
              <w:t>、金发草</w:t>
            </w:r>
            <w:r>
              <w:rPr>
                <w:rFonts w:hint="eastAsia"/>
                <w:i/>
                <w:iCs/>
                <w:sz w:val="24"/>
              </w:rPr>
              <w:t>Pogonatherum paniceum</w:t>
            </w:r>
            <w:r>
              <w:rPr>
                <w:rFonts w:hint="eastAsia"/>
                <w:sz w:val="24"/>
              </w:rPr>
              <w:t>、砖子苗</w:t>
            </w:r>
            <w:r>
              <w:rPr>
                <w:rFonts w:hint="eastAsia"/>
                <w:i/>
                <w:iCs/>
                <w:sz w:val="24"/>
              </w:rPr>
              <w:t>Mariscus sumatrensis</w:t>
            </w:r>
            <w:r>
              <w:rPr>
                <w:rFonts w:hint="eastAsia"/>
                <w:sz w:val="24"/>
              </w:rPr>
              <w:t xml:space="preserve"> var</w:t>
            </w:r>
            <w:r>
              <w:rPr>
                <w:rFonts w:hint="eastAsia"/>
                <w:i/>
                <w:iCs/>
                <w:sz w:val="24"/>
              </w:rPr>
              <w:t>.sumatrensis、</w:t>
            </w:r>
            <w:r>
              <w:rPr>
                <w:rFonts w:ascii="宋体" w:hAnsi="宋体" w:cs="宋体"/>
                <w:spacing w:val="-3"/>
                <w:sz w:val="24"/>
                <w:szCs w:val="24"/>
              </w:rPr>
              <w:t>浆果苔草</w:t>
            </w:r>
            <w:r>
              <w:rPr>
                <w:rFonts w:ascii="宋体" w:hAnsi="宋体" w:cs="宋体"/>
                <w:spacing w:val="-39"/>
                <w:sz w:val="24"/>
                <w:szCs w:val="24"/>
              </w:rPr>
              <w:t xml:space="preserve"> </w:t>
            </w:r>
            <w:r>
              <w:rPr>
                <w:rFonts w:eastAsia="Times New Roman"/>
                <w:i/>
                <w:iCs/>
                <w:spacing w:val="-3"/>
                <w:sz w:val="24"/>
                <w:szCs w:val="24"/>
              </w:rPr>
              <w:t>Carex baccans</w:t>
            </w:r>
            <w:r>
              <w:rPr>
                <w:rFonts w:hint="eastAsia"/>
                <w:i/>
                <w:iCs/>
                <w:spacing w:val="-3"/>
                <w:sz w:val="24"/>
                <w:szCs w:val="24"/>
              </w:rPr>
              <w:t>、</w:t>
            </w:r>
            <w:r>
              <w:rPr>
                <w:rFonts w:hint="eastAsia"/>
                <w:sz w:val="24"/>
              </w:rPr>
              <w:t>剪股颖</w:t>
            </w:r>
            <w:r>
              <w:rPr>
                <w:rFonts w:hint="eastAsia"/>
                <w:i/>
                <w:iCs/>
                <w:sz w:val="24"/>
              </w:rPr>
              <w:t>Agrostis clavata</w:t>
            </w:r>
            <w:r>
              <w:rPr>
                <w:rFonts w:hint="eastAsia"/>
                <w:sz w:val="24"/>
              </w:rPr>
              <w:t>、芸香草</w:t>
            </w:r>
            <w:r>
              <w:rPr>
                <w:rFonts w:hint="eastAsia"/>
                <w:i/>
                <w:iCs/>
                <w:sz w:val="24"/>
              </w:rPr>
              <w:t>Cymbopogon distan</w:t>
            </w:r>
            <w:r>
              <w:rPr>
                <w:rFonts w:hint="eastAsia"/>
                <w:sz w:val="24"/>
              </w:rPr>
              <w:t>s、白酒草</w:t>
            </w:r>
            <w:r>
              <w:rPr>
                <w:rFonts w:hint="eastAsia"/>
                <w:i/>
                <w:iCs/>
                <w:sz w:val="24"/>
              </w:rPr>
              <w:t>Conyza japonica</w:t>
            </w:r>
            <w:r>
              <w:rPr>
                <w:rFonts w:hint="eastAsia"/>
                <w:sz w:val="24"/>
              </w:rPr>
              <w:t>、</w:t>
            </w:r>
            <w:r>
              <w:rPr>
                <w:rFonts w:ascii="宋体" w:hAnsi="宋体" w:cs="宋体"/>
                <w:sz w:val="24"/>
                <w:szCs w:val="24"/>
              </w:rPr>
              <w:t>荩草</w:t>
            </w:r>
            <w:r>
              <w:rPr>
                <w:rFonts w:eastAsia="Times New Roman"/>
                <w:i/>
                <w:iCs/>
                <w:sz w:val="24"/>
                <w:szCs w:val="24"/>
              </w:rPr>
              <w:t>Apocopi</w:t>
            </w:r>
            <w:r>
              <w:rPr>
                <w:rFonts w:eastAsia="Times New Roman"/>
                <w:i/>
                <w:iCs/>
                <w:spacing w:val="-1"/>
                <w:sz w:val="24"/>
                <w:szCs w:val="24"/>
              </w:rPr>
              <w:t>s hispidus</w:t>
            </w:r>
            <w:r>
              <w:rPr>
                <w:rFonts w:hint="eastAsia"/>
                <w:i/>
                <w:iCs/>
                <w:spacing w:val="-1"/>
                <w:sz w:val="24"/>
                <w:szCs w:val="24"/>
              </w:rPr>
              <w:t>、</w:t>
            </w:r>
            <w:r>
              <w:rPr>
                <w:rFonts w:hint="eastAsia"/>
                <w:sz w:val="24"/>
              </w:rPr>
              <w:t>细柄草</w:t>
            </w:r>
            <w:r>
              <w:rPr>
                <w:rFonts w:hint="eastAsia"/>
                <w:i/>
                <w:iCs/>
                <w:sz w:val="24"/>
              </w:rPr>
              <w:t>Capillipedium parviflorum</w:t>
            </w:r>
            <w:r>
              <w:rPr>
                <w:rFonts w:hint="eastAsia"/>
                <w:sz w:val="24"/>
              </w:rPr>
              <w:t>等。</w:t>
            </w:r>
          </w:p>
          <w:p w14:paraId="45AA5BB3">
            <w:pPr>
              <w:spacing w:line="360" w:lineRule="auto"/>
              <w:ind w:firstLine="480" w:firstLineChars="200"/>
              <w:rPr>
                <w:sz w:val="24"/>
              </w:rPr>
            </w:pPr>
            <w:r>
              <w:rPr>
                <w:rFonts w:hint="eastAsia"/>
                <w:sz w:val="24"/>
              </w:rPr>
              <w:t>B.暖性石灰岩灌丛</w:t>
            </w:r>
          </w:p>
          <w:p w14:paraId="71CFCC4E">
            <w:pPr>
              <w:spacing w:line="360" w:lineRule="auto"/>
              <w:ind w:firstLine="480" w:firstLineChars="200"/>
              <w:rPr>
                <w:rFonts w:hint="eastAsia"/>
                <w:sz w:val="24"/>
              </w:rPr>
            </w:pPr>
            <w:r>
              <w:rPr>
                <w:rFonts w:hint="eastAsia"/>
                <w:sz w:val="24"/>
              </w:rPr>
              <w:t>灌丛是以灌木型植物为优势的植被类型。在云南大部分地区，灌丛几乎是当地的多种森林类型的原生植被在遭到长期人为破坏、砍伐、砍柴、耕作、火烧、放牧等干扰之后，使得群落的高度通常降低到5m以下，植株矮化、分枝降低，且常成为丛。调查区的灌丛是在当地的原生植被遭到反复破坏——火烧、砍伐、放牧、耕作等人为干扰的情况下形成的、片段化的次生群落。根据优势种结构，项目调查区内的灌丛是以马桑群落为主的暖性石灰岩灌丛。</w:t>
            </w:r>
          </w:p>
          <w:p w14:paraId="28D1C594">
            <w:pPr>
              <w:topLinePunct/>
              <w:spacing w:line="360" w:lineRule="auto"/>
              <w:ind w:firstLine="480" w:firstLineChars="200"/>
              <w:rPr>
                <w:sz w:val="24"/>
              </w:rPr>
            </w:pPr>
            <w:r>
              <w:rPr>
                <w:rFonts w:hint="eastAsia"/>
                <w:sz w:val="24"/>
              </w:rPr>
              <w:t>②马桑群落</w:t>
            </w:r>
          </w:p>
          <w:p w14:paraId="163A6D12">
            <w:pPr>
              <w:topLinePunct/>
              <w:spacing w:line="360" w:lineRule="auto"/>
              <w:ind w:firstLine="480" w:firstLineChars="200"/>
              <w:rPr>
                <w:rFonts w:hint="eastAsia"/>
                <w:sz w:val="24"/>
              </w:rPr>
            </w:pPr>
            <w:r>
              <w:rPr>
                <w:rFonts w:hint="eastAsia"/>
                <w:sz w:val="24"/>
              </w:rPr>
              <w:t>灌木层盖度40%左右，主要物种有马桑</w:t>
            </w:r>
            <w:r>
              <w:rPr>
                <w:rFonts w:hint="eastAsia"/>
                <w:i/>
                <w:iCs/>
                <w:sz w:val="24"/>
              </w:rPr>
              <w:t>Coriaria nepalensis</w:t>
            </w:r>
            <w:r>
              <w:rPr>
                <w:rFonts w:hint="eastAsia"/>
                <w:sz w:val="24"/>
              </w:rPr>
              <w:t>、</w:t>
            </w:r>
            <w:r>
              <w:rPr>
                <w:rFonts w:ascii="宋体" w:hAnsi="宋体" w:cs="宋体"/>
                <w:spacing w:val="-2"/>
                <w:sz w:val="24"/>
                <w:szCs w:val="24"/>
              </w:rPr>
              <w:t>铁仔</w:t>
            </w:r>
            <w:r>
              <w:rPr>
                <w:rFonts w:eastAsia="Times New Roman"/>
                <w:i/>
                <w:iCs/>
                <w:spacing w:val="-2"/>
                <w:sz w:val="24"/>
                <w:szCs w:val="24"/>
              </w:rPr>
              <w:t>Myrs</w:t>
            </w:r>
            <w:r>
              <w:rPr>
                <w:rFonts w:eastAsia="Times New Roman"/>
                <w:i/>
                <w:iCs/>
                <w:spacing w:val="-3"/>
                <w:sz w:val="24"/>
                <w:szCs w:val="24"/>
              </w:rPr>
              <w:t>ine africana</w:t>
            </w:r>
            <w:r>
              <w:rPr>
                <w:rFonts w:hint="eastAsia"/>
                <w:i/>
                <w:iCs/>
                <w:spacing w:val="-3"/>
                <w:sz w:val="24"/>
                <w:szCs w:val="24"/>
              </w:rPr>
              <w:t>、</w:t>
            </w:r>
            <w:r>
              <w:rPr>
                <w:rFonts w:hint="eastAsia"/>
                <w:sz w:val="24"/>
              </w:rPr>
              <w:t>沙针</w:t>
            </w:r>
            <w:r>
              <w:rPr>
                <w:rFonts w:hint="eastAsia"/>
                <w:i/>
                <w:iCs/>
                <w:sz w:val="24"/>
              </w:rPr>
              <w:t>Osyris wightiana</w:t>
            </w:r>
            <w:r>
              <w:rPr>
                <w:rFonts w:hint="eastAsia"/>
                <w:sz w:val="24"/>
              </w:rPr>
              <w:t>、盐肤木</w:t>
            </w:r>
            <w:r>
              <w:rPr>
                <w:rFonts w:hint="eastAsia"/>
                <w:i/>
                <w:iCs/>
                <w:sz w:val="24"/>
              </w:rPr>
              <w:t>Rhus chinensis</w:t>
            </w:r>
            <w:r>
              <w:rPr>
                <w:rFonts w:hint="eastAsia"/>
                <w:sz w:val="24"/>
              </w:rPr>
              <w:t>、密蒙花</w:t>
            </w:r>
            <w:r>
              <w:rPr>
                <w:rFonts w:hint="eastAsia"/>
                <w:i/>
                <w:iCs/>
                <w:sz w:val="24"/>
              </w:rPr>
              <w:t>Buddleja oficinalis、</w:t>
            </w:r>
            <w:r>
              <w:rPr>
                <w:rFonts w:hint="eastAsia"/>
                <w:sz w:val="24"/>
              </w:rPr>
              <w:t>西南杭子梢</w:t>
            </w:r>
            <w:r>
              <w:rPr>
                <w:rFonts w:hint="eastAsia"/>
                <w:i/>
                <w:iCs/>
                <w:sz w:val="24"/>
              </w:rPr>
              <w:t>Campylotropis delavayi、</w:t>
            </w:r>
            <w:r>
              <w:rPr>
                <w:rFonts w:hint="eastAsia"/>
                <w:sz w:val="24"/>
              </w:rPr>
              <w:t>川滇金丝桃</w:t>
            </w:r>
            <w:r>
              <w:rPr>
                <w:rFonts w:hint="eastAsia"/>
                <w:i/>
                <w:iCs/>
                <w:sz w:val="24"/>
              </w:rPr>
              <w:t>Hypericum forrestii</w:t>
            </w:r>
            <w:r>
              <w:rPr>
                <w:rFonts w:hint="eastAsia"/>
                <w:sz w:val="24"/>
              </w:rPr>
              <w:t>等。</w:t>
            </w:r>
          </w:p>
          <w:p w14:paraId="5F9E96F4">
            <w:pPr>
              <w:topLinePunct/>
              <w:spacing w:line="360" w:lineRule="auto"/>
              <w:ind w:firstLine="480" w:firstLineChars="200"/>
              <w:rPr>
                <w:rFonts w:hint="eastAsia"/>
                <w:sz w:val="24"/>
              </w:rPr>
            </w:pPr>
            <w:r>
              <w:rPr>
                <w:rFonts w:hint="eastAsia"/>
                <w:sz w:val="24"/>
              </w:rPr>
              <w:t>草本层植物种类较多，层盖度20%～60%。主要有荩草</w:t>
            </w:r>
            <w:r>
              <w:rPr>
                <w:rFonts w:hint="eastAsia"/>
                <w:i/>
                <w:iCs/>
                <w:sz w:val="24"/>
              </w:rPr>
              <w:t>Arthraxon hispidus</w:t>
            </w:r>
            <w:r>
              <w:rPr>
                <w:rFonts w:hint="eastAsia"/>
                <w:sz w:val="24"/>
              </w:rPr>
              <w:t>、鬼针草</w:t>
            </w:r>
            <w:r>
              <w:rPr>
                <w:rFonts w:hint="eastAsia"/>
                <w:i/>
                <w:iCs/>
                <w:sz w:val="24"/>
              </w:rPr>
              <w:t>Bidens pilosa</w:t>
            </w:r>
            <w:r>
              <w:rPr>
                <w:rFonts w:hint="eastAsia"/>
                <w:sz w:val="24"/>
              </w:rPr>
              <w:t>、硬杆子草</w:t>
            </w:r>
            <w:r>
              <w:rPr>
                <w:rFonts w:hint="eastAsia"/>
                <w:i/>
                <w:iCs/>
                <w:sz w:val="24"/>
              </w:rPr>
              <w:t>Capillipedium assimile</w:t>
            </w:r>
            <w:r>
              <w:rPr>
                <w:rFonts w:hint="eastAsia"/>
                <w:sz w:val="24"/>
              </w:rPr>
              <w:t>、羊茅</w:t>
            </w:r>
            <w:r>
              <w:rPr>
                <w:rFonts w:hint="eastAsia"/>
                <w:i/>
                <w:iCs/>
                <w:sz w:val="24"/>
              </w:rPr>
              <w:t>Festuca ovina</w:t>
            </w:r>
            <w:r>
              <w:rPr>
                <w:rFonts w:hint="eastAsia"/>
                <w:sz w:val="24"/>
              </w:rPr>
              <w:t>、白茅</w:t>
            </w:r>
            <w:r>
              <w:rPr>
                <w:rFonts w:hint="eastAsia"/>
                <w:i/>
                <w:iCs/>
                <w:sz w:val="24"/>
              </w:rPr>
              <w:t>Imperata cylindrica</w:t>
            </w:r>
            <w:r>
              <w:rPr>
                <w:rFonts w:hint="eastAsia"/>
                <w:sz w:val="24"/>
              </w:rPr>
              <w:t>、五节芒</w:t>
            </w:r>
            <w:r>
              <w:rPr>
                <w:rFonts w:hint="eastAsia"/>
                <w:i/>
                <w:iCs/>
                <w:sz w:val="24"/>
              </w:rPr>
              <w:t>Miscanthus floridulus</w:t>
            </w:r>
            <w:r>
              <w:rPr>
                <w:rFonts w:hint="eastAsia"/>
                <w:sz w:val="24"/>
              </w:rPr>
              <w:t>、千里光</w:t>
            </w:r>
            <w:r>
              <w:rPr>
                <w:rFonts w:hint="eastAsia"/>
                <w:i/>
                <w:iCs/>
                <w:sz w:val="24"/>
              </w:rPr>
              <w:t xml:space="preserve">Senecio scandens </w:t>
            </w:r>
            <w:r>
              <w:rPr>
                <w:rFonts w:hint="eastAsia"/>
                <w:sz w:val="24"/>
              </w:rPr>
              <w:t>var.</w:t>
            </w:r>
            <w:r>
              <w:rPr>
                <w:rFonts w:hint="eastAsia"/>
                <w:i/>
                <w:iCs/>
                <w:sz w:val="24"/>
              </w:rPr>
              <w:t>scandens</w:t>
            </w:r>
            <w:r>
              <w:rPr>
                <w:rFonts w:hint="eastAsia"/>
                <w:sz w:val="24"/>
              </w:rPr>
              <w:t>等。</w:t>
            </w:r>
          </w:p>
          <w:p w14:paraId="66280D58">
            <w:pPr>
              <w:topLinePunct/>
              <w:spacing w:line="360" w:lineRule="auto"/>
              <w:ind w:firstLine="480" w:firstLineChars="200"/>
              <w:rPr>
                <w:sz w:val="24"/>
              </w:rPr>
            </w:pPr>
            <w:r>
              <w:rPr>
                <w:rFonts w:hint="eastAsia"/>
                <w:sz w:val="24"/>
              </w:rPr>
              <w:t>C.暖温性稀树灌木草丛</w:t>
            </w:r>
          </w:p>
          <w:p w14:paraId="4889BE10">
            <w:pPr>
              <w:widowControl/>
              <w:spacing w:line="360" w:lineRule="auto"/>
              <w:ind w:firstLine="479"/>
              <w:rPr>
                <w:sz w:val="24"/>
              </w:rPr>
            </w:pPr>
            <w:r>
              <w:rPr>
                <w:spacing w:val="-3"/>
                <w:sz w:val="24"/>
                <w:szCs w:val="24"/>
              </w:rPr>
              <w:t>暖温性稀树灌木草丛主要分布于中亚热带和北亚热带地区，具体在云南的中部及以北地区，包括了曲靖、玉溪、昆明、楚雄等中部及偏北的地区，特别在滇中高原面上的山地上广泛分布。这类植被是在原有森林被破坏以后形成而具有次生性质，也是在人为反复干扰下形成的生态系统类型。这类植被类型的原生植被是半湿润常绿阔叶林或中山湿性常绿阔叶林，人们进行农业开垦或者经过经常性的火烧而将原有的森林植被破坏，在长期的人为活动影响下，形成了低草、多灌、稀少乔木的群落。这类植被类型在人为干扰减少或杜绝的情况下，将会逐步演替成为森林群落，分布的区域温度偏温暖，年均温10~15℃，降水量1000mm左右，海拔在1500m以上，冬季有霜冻发生，土壤为棕红壤或棕壤，土壤较薄，在人为干扰仍存在的情况下，由于温度偏低，这类稀树灌木草丛仍然保持相对稳定状态，在中亚热带和北亚热带地区大面积分布，成为滇中地区和偏北地区主要分布的次生性植被类型。</w:t>
            </w:r>
          </w:p>
          <w:p w14:paraId="7B2DA91D">
            <w:pPr>
              <w:spacing w:line="360" w:lineRule="auto"/>
              <w:ind w:firstLine="480" w:firstLineChars="200"/>
              <w:jc w:val="left"/>
              <w:rPr>
                <w:sz w:val="24"/>
              </w:rPr>
            </w:pPr>
            <w:r>
              <w:rPr>
                <w:rFonts w:hint="eastAsia"/>
                <w:sz w:val="24"/>
              </w:rPr>
              <w:t>③暖温性杂草草丛</w:t>
            </w:r>
          </w:p>
          <w:p w14:paraId="28110A60">
            <w:pPr>
              <w:spacing w:before="10" w:line="358" w:lineRule="auto"/>
              <w:ind w:left="18" w:firstLine="488"/>
              <w:rPr>
                <w:rFonts w:ascii="宋体" w:hAnsi="宋体" w:cs="宋体"/>
                <w:sz w:val="24"/>
                <w:szCs w:val="24"/>
              </w:rPr>
            </w:pPr>
            <w:r>
              <w:rPr>
                <w:rFonts w:hint="eastAsia" w:ascii="宋体" w:hAnsi="宋体" w:cs="宋体"/>
                <w:spacing w:val="8"/>
                <w:sz w:val="24"/>
                <w:szCs w:val="24"/>
              </w:rPr>
              <w:t>该类型群落</w:t>
            </w:r>
            <w:r>
              <w:rPr>
                <w:spacing w:val="8"/>
                <w:sz w:val="24"/>
                <w:szCs w:val="24"/>
              </w:rPr>
              <w:t>高约0.3m~0.8m，</w:t>
            </w:r>
            <w:r>
              <w:rPr>
                <w:spacing w:val="-3"/>
                <w:sz w:val="24"/>
                <w:szCs w:val="24"/>
              </w:rPr>
              <w:t>总盖度</w:t>
            </w:r>
            <w:r>
              <w:rPr>
                <w:rFonts w:hint="eastAsia"/>
                <w:spacing w:val="-3"/>
                <w:sz w:val="24"/>
                <w:szCs w:val="24"/>
              </w:rPr>
              <w:t>60</w:t>
            </w:r>
            <w:r>
              <w:rPr>
                <w:spacing w:val="-3"/>
                <w:sz w:val="24"/>
                <w:szCs w:val="24"/>
              </w:rPr>
              <w:t>%~</w:t>
            </w:r>
            <w:r>
              <w:rPr>
                <w:rFonts w:hint="eastAsia"/>
                <w:spacing w:val="-3"/>
                <w:sz w:val="24"/>
                <w:szCs w:val="24"/>
              </w:rPr>
              <w:t>85</w:t>
            </w:r>
            <w:r>
              <w:rPr>
                <w:spacing w:val="-3"/>
                <w:sz w:val="24"/>
                <w:szCs w:val="24"/>
              </w:rPr>
              <w:t>%</w:t>
            </w:r>
            <w:r>
              <w:rPr>
                <w:rFonts w:hint="eastAsia"/>
                <w:spacing w:val="-3"/>
                <w:sz w:val="24"/>
                <w:szCs w:val="24"/>
              </w:rPr>
              <w:t>，</w:t>
            </w:r>
            <w:r>
              <w:rPr>
                <w:spacing w:val="-3"/>
                <w:sz w:val="24"/>
                <w:szCs w:val="24"/>
              </w:rPr>
              <w:t>群落以草本层为优势层，</w:t>
            </w:r>
            <w:r>
              <w:rPr>
                <w:rFonts w:hint="eastAsia"/>
                <w:spacing w:val="-3"/>
                <w:sz w:val="24"/>
                <w:szCs w:val="24"/>
              </w:rPr>
              <w:t>组成的种类杂而多，没有明显的优势种。灌木层分布少量灌木，盖度不足5%，高度0.5m~0.8m，伴有西南绣球</w:t>
            </w:r>
            <w:r>
              <w:rPr>
                <w:rFonts w:hint="eastAsia"/>
                <w:i/>
                <w:iCs/>
                <w:spacing w:val="-3"/>
                <w:sz w:val="24"/>
                <w:szCs w:val="24"/>
              </w:rPr>
              <w:t>Hydrangea davidii</w:t>
            </w:r>
            <w:r>
              <w:rPr>
                <w:rFonts w:hint="eastAsia"/>
                <w:spacing w:val="-3"/>
                <w:sz w:val="24"/>
                <w:szCs w:val="24"/>
              </w:rPr>
              <w:t>、渐尖叶鹿藿</w:t>
            </w:r>
            <w:r>
              <w:rPr>
                <w:rFonts w:hint="eastAsia"/>
                <w:i/>
                <w:iCs/>
                <w:spacing w:val="-3"/>
                <w:sz w:val="24"/>
                <w:szCs w:val="24"/>
              </w:rPr>
              <w:t>Rhynchosia acuminatifolia</w:t>
            </w:r>
            <w:r>
              <w:rPr>
                <w:rFonts w:hint="eastAsia"/>
                <w:spacing w:val="-3"/>
                <w:sz w:val="24"/>
                <w:szCs w:val="24"/>
              </w:rPr>
              <w:t>、三叶藨</w:t>
            </w:r>
            <w:r>
              <w:rPr>
                <w:rFonts w:hint="eastAsia"/>
                <w:i/>
                <w:iCs/>
                <w:spacing w:val="-3"/>
                <w:sz w:val="24"/>
                <w:szCs w:val="24"/>
              </w:rPr>
              <w:t>Rubus delavayi</w:t>
            </w:r>
            <w:r>
              <w:rPr>
                <w:rFonts w:hint="eastAsia"/>
                <w:spacing w:val="-3"/>
                <w:sz w:val="24"/>
                <w:szCs w:val="24"/>
              </w:rPr>
              <w:t>等；草本层物种有锡金剪股颖</w:t>
            </w:r>
            <w:r>
              <w:rPr>
                <w:rFonts w:hint="eastAsia"/>
                <w:i/>
                <w:iCs/>
                <w:spacing w:val="-3"/>
                <w:sz w:val="24"/>
                <w:szCs w:val="24"/>
              </w:rPr>
              <w:t>Agrostis nervosa</w:t>
            </w:r>
            <w:r>
              <w:rPr>
                <w:rFonts w:hint="eastAsia"/>
                <w:spacing w:val="-3"/>
                <w:sz w:val="24"/>
                <w:szCs w:val="24"/>
              </w:rPr>
              <w:t>、西南野古草</w:t>
            </w:r>
            <w:r>
              <w:rPr>
                <w:rFonts w:hint="eastAsia"/>
                <w:i/>
                <w:iCs/>
                <w:spacing w:val="-3"/>
                <w:sz w:val="24"/>
                <w:szCs w:val="24"/>
              </w:rPr>
              <w:t>Arundinella hookeri、</w:t>
            </w:r>
            <w:r>
              <w:rPr>
                <w:rFonts w:hint="eastAsia"/>
                <w:spacing w:val="-3"/>
                <w:sz w:val="24"/>
                <w:szCs w:val="24"/>
              </w:rPr>
              <w:t>弓果黍</w:t>
            </w:r>
            <w:r>
              <w:rPr>
                <w:rFonts w:hint="eastAsia"/>
                <w:i/>
                <w:iCs/>
                <w:spacing w:val="-3"/>
                <w:sz w:val="24"/>
                <w:szCs w:val="24"/>
              </w:rPr>
              <w:t>Cyrtococcum patens</w:t>
            </w:r>
            <w:r>
              <w:rPr>
                <w:rFonts w:hint="eastAsia"/>
                <w:spacing w:val="-3"/>
                <w:sz w:val="24"/>
                <w:szCs w:val="24"/>
              </w:rPr>
              <w:t>、三数马唐</w:t>
            </w:r>
            <w:r>
              <w:rPr>
                <w:rFonts w:hint="eastAsia"/>
                <w:i/>
                <w:iCs/>
                <w:spacing w:val="-3"/>
                <w:sz w:val="24"/>
                <w:szCs w:val="24"/>
              </w:rPr>
              <w:t>Digitaria ternata</w:t>
            </w:r>
            <w:r>
              <w:rPr>
                <w:rFonts w:hint="eastAsia"/>
                <w:spacing w:val="-3"/>
                <w:sz w:val="24"/>
                <w:szCs w:val="24"/>
              </w:rPr>
              <w:t>、尼泊尔芒</w:t>
            </w:r>
            <w:r>
              <w:rPr>
                <w:rFonts w:hint="eastAsia"/>
                <w:i/>
                <w:iCs/>
                <w:spacing w:val="-3"/>
                <w:sz w:val="24"/>
                <w:szCs w:val="24"/>
              </w:rPr>
              <w:t>Miscanthus nepalensis</w:t>
            </w:r>
            <w:r>
              <w:rPr>
                <w:rFonts w:hint="eastAsia"/>
                <w:spacing w:val="-3"/>
                <w:sz w:val="24"/>
                <w:szCs w:val="24"/>
              </w:rPr>
              <w:t>、光柄芒</w:t>
            </w:r>
            <w:r>
              <w:rPr>
                <w:rFonts w:hint="eastAsia"/>
                <w:i/>
                <w:iCs/>
                <w:spacing w:val="-3"/>
                <w:sz w:val="24"/>
                <w:szCs w:val="24"/>
              </w:rPr>
              <w:t>Miscanthus nudipes</w:t>
            </w:r>
            <w:r>
              <w:rPr>
                <w:rFonts w:hint="eastAsia"/>
                <w:spacing w:val="-3"/>
                <w:sz w:val="24"/>
                <w:szCs w:val="24"/>
              </w:rPr>
              <w:t>、细柄黍</w:t>
            </w:r>
            <w:r>
              <w:rPr>
                <w:rFonts w:hint="eastAsia"/>
                <w:i/>
                <w:iCs/>
                <w:spacing w:val="-3"/>
                <w:sz w:val="24"/>
                <w:szCs w:val="24"/>
              </w:rPr>
              <w:t>Panicum sumatrense</w:t>
            </w:r>
            <w:r>
              <w:rPr>
                <w:rFonts w:hint="eastAsia"/>
                <w:spacing w:val="-3"/>
                <w:sz w:val="24"/>
                <w:szCs w:val="24"/>
              </w:rPr>
              <w:t>、纤秆珍珠茅</w:t>
            </w:r>
            <w:r>
              <w:rPr>
                <w:rFonts w:hint="eastAsia"/>
                <w:i/>
                <w:iCs/>
                <w:spacing w:val="-3"/>
                <w:sz w:val="24"/>
                <w:szCs w:val="24"/>
              </w:rPr>
              <w:t>Scleria pergracilis</w:t>
            </w:r>
            <w:r>
              <w:rPr>
                <w:rFonts w:hint="eastAsia"/>
                <w:spacing w:val="-3"/>
                <w:sz w:val="24"/>
                <w:szCs w:val="24"/>
              </w:rPr>
              <w:t>、羊茅</w:t>
            </w:r>
            <w:r>
              <w:rPr>
                <w:rFonts w:hint="eastAsia"/>
                <w:i/>
                <w:iCs/>
                <w:sz w:val="24"/>
              </w:rPr>
              <w:t>Festuca ovina</w:t>
            </w:r>
            <w:r>
              <w:rPr>
                <w:rFonts w:hint="eastAsia"/>
                <w:sz w:val="24"/>
              </w:rPr>
              <w:t>、</w:t>
            </w:r>
            <w:r>
              <w:rPr>
                <w:rFonts w:ascii="宋体" w:hAnsi="宋体" w:cs="宋体"/>
                <w:spacing w:val="1"/>
                <w:sz w:val="24"/>
                <w:szCs w:val="24"/>
              </w:rPr>
              <w:t>芒种花</w:t>
            </w:r>
            <w:r>
              <w:rPr>
                <w:rFonts w:eastAsia="Times New Roman"/>
                <w:i/>
                <w:iCs/>
                <w:sz w:val="24"/>
                <w:szCs w:val="24"/>
              </w:rPr>
              <w:t>Hypericum</w:t>
            </w:r>
            <w:r>
              <w:rPr>
                <w:rFonts w:eastAsia="Times New Roman"/>
                <w:i/>
                <w:iCs/>
                <w:spacing w:val="1"/>
                <w:sz w:val="24"/>
                <w:szCs w:val="24"/>
              </w:rPr>
              <w:t xml:space="preserve"> </w:t>
            </w:r>
            <w:r>
              <w:rPr>
                <w:rFonts w:eastAsia="Times New Roman"/>
                <w:i/>
                <w:iCs/>
                <w:sz w:val="24"/>
                <w:szCs w:val="24"/>
              </w:rPr>
              <w:t>uralum</w:t>
            </w:r>
            <w:r>
              <w:rPr>
                <w:rFonts w:ascii="宋体" w:hAnsi="宋体" w:cs="宋体"/>
                <w:spacing w:val="1"/>
                <w:sz w:val="24"/>
                <w:szCs w:val="24"/>
              </w:rPr>
              <w:t>、拔毒散</w:t>
            </w:r>
            <w:r>
              <w:rPr>
                <w:rFonts w:eastAsia="Times New Roman"/>
                <w:i/>
                <w:iCs/>
                <w:sz w:val="24"/>
                <w:szCs w:val="24"/>
              </w:rPr>
              <w:t>Sida</w:t>
            </w:r>
            <w:r>
              <w:rPr>
                <w:rFonts w:eastAsia="Times New Roman"/>
                <w:i/>
                <w:iCs/>
                <w:spacing w:val="1"/>
                <w:sz w:val="24"/>
                <w:szCs w:val="24"/>
              </w:rPr>
              <w:t xml:space="preserve"> </w:t>
            </w:r>
            <w:r>
              <w:rPr>
                <w:rFonts w:eastAsia="Times New Roman"/>
                <w:i/>
                <w:iCs/>
                <w:sz w:val="24"/>
                <w:szCs w:val="24"/>
              </w:rPr>
              <w:t>szechuensis</w:t>
            </w:r>
            <w:r>
              <w:rPr>
                <w:rFonts w:ascii="宋体" w:hAnsi="宋体" w:cs="宋体"/>
                <w:spacing w:val="1"/>
                <w:sz w:val="24"/>
                <w:szCs w:val="24"/>
              </w:rPr>
              <w:t>、</w:t>
            </w:r>
            <w:r>
              <w:rPr>
                <w:rFonts w:ascii="宋体" w:hAnsi="宋体" w:cs="宋体"/>
                <w:spacing w:val="-6"/>
                <w:sz w:val="24"/>
                <w:szCs w:val="24"/>
              </w:rPr>
              <w:t>穗序野古草</w:t>
            </w:r>
            <w:r>
              <w:rPr>
                <w:rFonts w:eastAsia="Times New Roman"/>
                <w:i/>
                <w:iCs/>
                <w:spacing w:val="-6"/>
                <w:sz w:val="24"/>
                <w:szCs w:val="24"/>
              </w:rPr>
              <w:t xml:space="preserve">Arundinella </w:t>
            </w:r>
            <w:r>
              <w:rPr>
                <w:rFonts w:eastAsia="Times New Roman"/>
                <w:i/>
                <w:iCs/>
                <w:spacing w:val="-7"/>
                <w:sz w:val="24"/>
                <w:szCs w:val="24"/>
              </w:rPr>
              <w:t>hookeri</w:t>
            </w:r>
            <w:r>
              <w:rPr>
                <w:rFonts w:ascii="宋体" w:hAnsi="宋体" w:cs="宋体"/>
                <w:spacing w:val="-7"/>
                <w:sz w:val="24"/>
                <w:szCs w:val="24"/>
              </w:rPr>
              <w:t>、</w:t>
            </w:r>
            <w:r>
              <w:rPr>
                <w:rFonts w:ascii="宋体" w:hAnsi="宋体" w:cs="宋体"/>
                <w:spacing w:val="-62"/>
                <w:sz w:val="24"/>
                <w:szCs w:val="24"/>
              </w:rPr>
              <w:t xml:space="preserve"> </w:t>
            </w:r>
            <w:r>
              <w:rPr>
                <w:rFonts w:ascii="宋体" w:hAnsi="宋体" w:cs="宋体"/>
                <w:spacing w:val="-4"/>
                <w:sz w:val="24"/>
                <w:szCs w:val="24"/>
              </w:rPr>
              <w:t>野青茅</w:t>
            </w:r>
            <w:r>
              <w:rPr>
                <w:rFonts w:eastAsia="Times New Roman"/>
                <w:i/>
                <w:iCs/>
                <w:spacing w:val="-4"/>
                <w:sz w:val="24"/>
                <w:szCs w:val="24"/>
              </w:rPr>
              <w:t>Deyeux</w:t>
            </w:r>
            <w:r>
              <w:rPr>
                <w:rFonts w:eastAsia="Times New Roman"/>
                <w:i/>
                <w:iCs/>
                <w:spacing w:val="-5"/>
                <w:sz w:val="24"/>
                <w:szCs w:val="24"/>
              </w:rPr>
              <w:t>ia</w:t>
            </w:r>
            <w:r>
              <w:rPr>
                <w:rFonts w:eastAsia="Times New Roman"/>
                <w:i/>
                <w:iCs/>
                <w:sz w:val="24"/>
                <w:szCs w:val="24"/>
              </w:rPr>
              <w:t xml:space="preserve"> </w:t>
            </w:r>
            <w:r>
              <w:rPr>
                <w:rFonts w:eastAsia="Times New Roman"/>
                <w:i/>
                <w:iCs/>
                <w:spacing w:val="-1"/>
                <w:sz w:val="24"/>
                <w:szCs w:val="24"/>
              </w:rPr>
              <w:t>arundinacea</w:t>
            </w:r>
            <w:r>
              <w:rPr>
                <w:rFonts w:ascii="宋体" w:hAnsi="宋体" w:cs="宋体"/>
                <w:spacing w:val="-4"/>
                <w:sz w:val="24"/>
                <w:szCs w:val="24"/>
              </w:rPr>
              <w:t>、黑</w:t>
            </w:r>
            <w:r>
              <w:rPr>
                <w:rFonts w:ascii="宋体" w:hAnsi="宋体" w:cs="宋体"/>
                <w:spacing w:val="-64"/>
                <w:sz w:val="24"/>
                <w:szCs w:val="24"/>
              </w:rPr>
              <w:t xml:space="preserve"> </w:t>
            </w:r>
            <w:r>
              <w:rPr>
                <w:rFonts w:ascii="宋体" w:hAnsi="宋体" w:cs="宋体"/>
                <w:spacing w:val="-4"/>
                <w:sz w:val="24"/>
                <w:szCs w:val="24"/>
              </w:rPr>
              <w:t>穗画眉草</w:t>
            </w:r>
            <w:r>
              <w:rPr>
                <w:rFonts w:eastAsia="Times New Roman"/>
                <w:i/>
                <w:iCs/>
                <w:spacing w:val="-4"/>
                <w:sz w:val="24"/>
                <w:szCs w:val="24"/>
              </w:rPr>
              <w:t>Eragrostis</w:t>
            </w:r>
            <w:r>
              <w:rPr>
                <w:rFonts w:eastAsia="Times New Roman"/>
                <w:i/>
                <w:iCs/>
                <w:spacing w:val="53"/>
                <w:sz w:val="24"/>
                <w:szCs w:val="24"/>
              </w:rPr>
              <w:t xml:space="preserve"> </w:t>
            </w:r>
            <w:r>
              <w:rPr>
                <w:rFonts w:eastAsia="Times New Roman"/>
                <w:i/>
                <w:iCs/>
                <w:spacing w:val="-4"/>
                <w:sz w:val="24"/>
                <w:szCs w:val="24"/>
              </w:rPr>
              <w:t>nigra</w:t>
            </w:r>
            <w:r>
              <w:rPr>
                <w:rFonts w:ascii="宋体" w:hAnsi="宋体" w:cs="宋体"/>
                <w:spacing w:val="-4"/>
                <w:sz w:val="24"/>
                <w:szCs w:val="24"/>
              </w:rPr>
              <w:t>、</w:t>
            </w:r>
            <w:r>
              <w:rPr>
                <w:rFonts w:ascii="宋体" w:hAnsi="宋体" w:cs="宋体"/>
                <w:spacing w:val="-1"/>
                <w:sz w:val="24"/>
                <w:szCs w:val="24"/>
              </w:rPr>
              <w:t>翻白叶</w:t>
            </w:r>
            <w:r>
              <w:rPr>
                <w:rFonts w:eastAsia="Times New Roman"/>
                <w:i/>
                <w:iCs/>
                <w:spacing w:val="-1"/>
                <w:sz w:val="24"/>
                <w:szCs w:val="24"/>
              </w:rPr>
              <w:t>Potentilla</w:t>
            </w:r>
            <w:r>
              <w:rPr>
                <w:rFonts w:eastAsia="Times New Roman"/>
                <w:i/>
                <w:iCs/>
                <w:spacing w:val="-41"/>
                <w:sz w:val="24"/>
                <w:szCs w:val="24"/>
              </w:rPr>
              <w:t xml:space="preserve"> </w:t>
            </w:r>
            <w:r>
              <w:rPr>
                <w:rFonts w:eastAsia="Times New Roman"/>
                <w:i/>
                <w:iCs/>
                <w:spacing w:val="-1"/>
                <w:sz w:val="24"/>
                <w:szCs w:val="24"/>
              </w:rPr>
              <w:t>fulgens</w:t>
            </w:r>
            <w:r>
              <w:rPr>
                <w:rFonts w:eastAsia="Times New Roman"/>
                <w:i/>
                <w:iCs/>
                <w:spacing w:val="-34"/>
                <w:sz w:val="24"/>
                <w:szCs w:val="24"/>
              </w:rPr>
              <w:t xml:space="preserve"> </w:t>
            </w:r>
            <w:r>
              <w:rPr>
                <w:rFonts w:ascii="宋体" w:hAnsi="宋体" w:cs="宋体"/>
                <w:spacing w:val="-1"/>
                <w:sz w:val="24"/>
                <w:szCs w:val="24"/>
              </w:rPr>
              <w:t>、毛蕨</w:t>
            </w:r>
            <w:r>
              <w:rPr>
                <w:rFonts w:ascii="宋体" w:hAnsi="宋体" w:cs="宋体"/>
                <w:sz w:val="24"/>
                <w:szCs w:val="24"/>
              </w:rPr>
              <w:t>菜</w:t>
            </w:r>
            <w:r>
              <w:rPr>
                <w:rFonts w:eastAsia="Times New Roman"/>
                <w:i/>
                <w:iCs/>
                <w:sz w:val="24"/>
                <w:szCs w:val="24"/>
              </w:rPr>
              <w:t>Pteridium revolutum</w:t>
            </w:r>
            <w:r>
              <w:rPr>
                <w:rFonts w:ascii="宋体" w:hAnsi="宋体" w:cs="宋体"/>
                <w:sz w:val="24"/>
                <w:szCs w:val="24"/>
              </w:rPr>
              <w:t>、</w:t>
            </w:r>
            <w:r>
              <w:rPr>
                <w:rFonts w:ascii="宋体" w:hAnsi="宋体" w:cs="宋体"/>
                <w:spacing w:val="-1"/>
                <w:sz w:val="24"/>
                <w:szCs w:val="24"/>
              </w:rPr>
              <w:t>牡蒿</w:t>
            </w:r>
            <w:r>
              <w:rPr>
                <w:rFonts w:eastAsia="Times New Roman"/>
                <w:i/>
                <w:iCs/>
                <w:spacing w:val="-1"/>
                <w:sz w:val="24"/>
                <w:szCs w:val="24"/>
              </w:rPr>
              <w:t>Artemisia</w:t>
            </w:r>
            <w:r>
              <w:rPr>
                <w:rFonts w:eastAsia="Times New Roman"/>
                <w:i/>
                <w:iCs/>
                <w:spacing w:val="-39"/>
                <w:sz w:val="24"/>
                <w:szCs w:val="24"/>
              </w:rPr>
              <w:t xml:space="preserve"> </w:t>
            </w:r>
            <w:r>
              <w:rPr>
                <w:rFonts w:eastAsia="Times New Roman"/>
                <w:i/>
                <w:iCs/>
                <w:spacing w:val="-1"/>
                <w:sz w:val="24"/>
                <w:szCs w:val="24"/>
              </w:rPr>
              <w:t>japonica</w:t>
            </w:r>
            <w:r>
              <w:rPr>
                <w:rFonts w:ascii="宋体" w:hAnsi="宋体" w:cs="宋体"/>
                <w:spacing w:val="-1"/>
                <w:sz w:val="24"/>
                <w:szCs w:val="24"/>
              </w:rPr>
              <w:t>、星</w:t>
            </w:r>
            <w:r>
              <w:rPr>
                <w:rFonts w:ascii="宋体" w:hAnsi="宋体" w:cs="宋体"/>
                <w:spacing w:val="-4"/>
                <w:sz w:val="24"/>
                <w:szCs w:val="24"/>
              </w:rPr>
              <w:t>毛繁缕</w:t>
            </w:r>
            <w:r>
              <w:rPr>
                <w:rFonts w:eastAsia="Times New Roman"/>
                <w:i/>
                <w:iCs/>
                <w:spacing w:val="-4"/>
                <w:sz w:val="24"/>
                <w:szCs w:val="24"/>
              </w:rPr>
              <w:t>Stellaria</w:t>
            </w:r>
            <w:r>
              <w:rPr>
                <w:rFonts w:eastAsia="Times New Roman"/>
                <w:i/>
                <w:iCs/>
                <w:spacing w:val="56"/>
                <w:sz w:val="24"/>
                <w:szCs w:val="24"/>
              </w:rPr>
              <w:t xml:space="preserve"> </w:t>
            </w:r>
            <w:r>
              <w:rPr>
                <w:rFonts w:eastAsia="Times New Roman"/>
                <w:i/>
                <w:iCs/>
                <w:spacing w:val="-4"/>
                <w:sz w:val="24"/>
                <w:szCs w:val="24"/>
              </w:rPr>
              <w:t>vestita</w:t>
            </w:r>
            <w:r>
              <w:rPr>
                <w:rFonts w:eastAsia="Times New Roman"/>
                <w:i/>
                <w:iCs/>
                <w:spacing w:val="21"/>
                <w:w w:val="101"/>
                <w:sz w:val="24"/>
                <w:szCs w:val="24"/>
              </w:rPr>
              <w:t xml:space="preserve"> </w:t>
            </w:r>
            <w:r>
              <w:rPr>
                <w:rFonts w:ascii="宋体" w:hAnsi="宋体" w:cs="宋体"/>
                <w:spacing w:val="-4"/>
                <w:sz w:val="24"/>
                <w:szCs w:val="24"/>
              </w:rPr>
              <w:t>、蒲公英</w:t>
            </w:r>
            <w:r>
              <w:rPr>
                <w:rFonts w:eastAsia="Times New Roman"/>
                <w:i/>
                <w:iCs/>
                <w:spacing w:val="-4"/>
                <w:sz w:val="24"/>
                <w:szCs w:val="24"/>
              </w:rPr>
              <w:t>Taraxacum</w:t>
            </w:r>
            <w:r>
              <w:rPr>
                <w:rFonts w:eastAsia="Times New Roman"/>
                <w:i/>
                <w:iCs/>
                <w:sz w:val="24"/>
                <w:szCs w:val="24"/>
              </w:rPr>
              <w:t xml:space="preserve"> </w:t>
            </w:r>
            <w:r>
              <w:rPr>
                <w:rFonts w:eastAsia="Times New Roman"/>
                <w:i/>
                <w:iCs/>
                <w:spacing w:val="-1"/>
                <w:sz w:val="24"/>
                <w:szCs w:val="24"/>
              </w:rPr>
              <w:t>mongolicum</w:t>
            </w:r>
            <w:r>
              <w:rPr>
                <w:rFonts w:ascii="宋体" w:hAnsi="宋体" w:cs="宋体"/>
                <w:spacing w:val="-1"/>
                <w:sz w:val="24"/>
                <w:szCs w:val="24"/>
              </w:rPr>
              <w:t>、</w:t>
            </w:r>
            <w:r>
              <w:rPr>
                <w:spacing w:val="-3"/>
                <w:sz w:val="24"/>
                <w:szCs w:val="24"/>
              </w:rPr>
              <w:t>松毛火绒草</w:t>
            </w:r>
            <w:r>
              <w:rPr>
                <w:i/>
                <w:iCs/>
                <w:spacing w:val="-3"/>
                <w:sz w:val="24"/>
                <w:szCs w:val="24"/>
              </w:rPr>
              <w:t>Leontopodium andersoni</w:t>
            </w:r>
            <w:r>
              <w:rPr>
                <w:rFonts w:hint="eastAsia"/>
                <w:i/>
                <w:iCs/>
                <w:spacing w:val="-3"/>
                <w:sz w:val="24"/>
                <w:szCs w:val="24"/>
              </w:rPr>
              <w:t>、</w:t>
            </w:r>
            <w:r>
              <w:rPr>
                <w:spacing w:val="-3"/>
                <w:sz w:val="24"/>
                <w:szCs w:val="24"/>
              </w:rPr>
              <w:t>紫花地丁</w:t>
            </w:r>
            <w:r>
              <w:rPr>
                <w:i/>
                <w:iCs/>
                <w:spacing w:val="-3"/>
                <w:sz w:val="24"/>
                <w:szCs w:val="24"/>
              </w:rPr>
              <w:t>Viola phillipica</w:t>
            </w:r>
            <w:r>
              <w:rPr>
                <w:spacing w:val="-3"/>
                <w:sz w:val="24"/>
                <w:szCs w:val="24"/>
              </w:rPr>
              <w:t>、白酒草</w:t>
            </w:r>
            <w:r>
              <w:rPr>
                <w:i/>
                <w:iCs/>
                <w:spacing w:val="-3"/>
                <w:sz w:val="24"/>
                <w:szCs w:val="24"/>
              </w:rPr>
              <w:t>Conyza japonica</w:t>
            </w:r>
            <w:r>
              <w:rPr>
                <w:rFonts w:ascii="宋体" w:hAnsi="宋体" w:cs="宋体"/>
                <w:spacing w:val="-1"/>
                <w:sz w:val="24"/>
                <w:szCs w:val="24"/>
              </w:rPr>
              <w:t>等。</w:t>
            </w:r>
          </w:p>
          <w:p w14:paraId="7B6072FA">
            <w:pPr>
              <w:spacing w:line="360" w:lineRule="auto"/>
              <w:ind w:firstLine="480" w:firstLineChars="200"/>
              <w:jc w:val="left"/>
              <w:rPr>
                <w:rFonts w:hint="eastAsia"/>
                <w:sz w:val="24"/>
              </w:rPr>
            </w:pPr>
            <w:r>
              <w:rPr>
                <w:rFonts w:hint="eastAsia"/>
                <w:sz w:val="24"/>
              </w:rPr>
              <w:t>3）珍稀濒危保护植物</w:t>
            </w:r>
          </w:p>
          <w:p w14:paraId="4E25E23E">
            <w:pPr>
              <w:spacing w:line="360" w:lineRule="auto"/>
              <w:ind w:firstLine="480" w:firstLineChars="200"/>
              <w:jc w:val="left"/>
              <w:rPr>
                <w:sz w:val="24"/>
              </w:rPr>
            </w:pPr>
            <w:r>
              <w:rPr>
                <w:rFonts w:hint="eastAsia"/>
                <w:sz w:val="24"/>
              </w:rPr>
              <w:t>经查询《</w:t>
            </w:r>
            <w:r>
              <w:rPr>
                <w:rFonts w:ascii="宋体" w:hAnsi="宋体" w:cs="宋体"/>
                <w:spacing w:val="-3"/>
                <w:sz w:val="24"/>
                <w:szCs w:val="24"/>
              </w:rPr>
              <w:t>国家重点保护野生植物名录</w:t>
            </w:r>
            <w:r>
              <w:rPr>
                <w:rFonts w:hint="eastAsia"/>
                <w:sz w:val="24"/>
              </w:rPr>
              <w:t>》（2021年）、《云南省</w:t>
            </w:r>
            <w:r>
              <w:rPr>
                <w:rFonts w:ascii="宋体" w:hAnsi="宋体" w:cs="宋体"/>
                <w:spacing w:val="-3"/>
                <w:sz w:val="24"/>
                <w:szCs w:val="24"/>
              </w:rPr>
              <w:t>重点保护野生植物名录</w:t>
            </w:r>
            <w:r>
              <w:rPr>
                <w:rFonts w:hint="eastAsia"/>
                <w:sz w:val="24"/>
              </w:rPr>
              <w:t>》（2023年）及《</w:t>
            </w:r>
            <w:r>
              <w:rPr>
                <w:rFonts w:hint="eastAsia"/>
                <w:spacing w:val="4"/>
                <w:sz w:val="24"/>
              </w:rPr>
              <w:t>中国生物多样性红色名录-高等植物卷（2020年）</w:t>
            </w:r>
            <w:r>
              <w:rPr>
                <w:rFonts w:hint="eastAsia"/>
                <w:sz w:val="24"/>
              </w:rPr>
              <w:t>》，结合</w:t>
            </w:r>
            <w:r>
              <w:rPr>
                <w:rFonts w:ascii="宋体" w:hAnsi="宋体" w:cs="宋体"/>
                <w:spacing w:val="1"/>
                <w:sz w:val="24"/>
                <w:szCs w:val="24"/>
              </w:rPr>
              <w:t>现场调查，</w:t>
            </w:r>
            <w:r>
              <w:rPr>
                <w:rFonts w:hint="eastAsia" w:ascii="宋体" w:hAnsi="宋体" w:cs="宋体"/>
                <w:spacing w:val="1"/>
                <w:sz w:val="24"/>
                <w:szCs w:val="24"/>
              </w:rPr>
              <w:t>占地区</w:t>
            </w:r>
            <w:r>
              <w:rPr>
                <w:rFonts w:ascii="宋体" w:hAnsi="宋体" w:cs="宋体"/>
                <w:spacing w:val="1"/>
                <w:sz w:val="24"/>
                <w:szCs w:val="24"/>
              </w:rPr>
              <w:t>未发现</w:t>
            </w:r>
            <w:r>
              <w:rPr>
                <w:rFonts w:hint="eastAsia" w:ascii="宋体" w:hAnsi="宋体" w:cs="宋体"/>
                <w:spacing w:val="1"/>
                <w:sz w:val="24"/>
                <w:szCs w:val="24"/>
              </w:rPr>
              <w:t>分布有</w:t>
            </w:r>
            <w:r>
              <w:rPr>
                <w:rFonts w:hint="eastAsia"/>
                <w:sz w:val="24"/>
              </w:rPr>
              <w:t>珍稀濒危保护植物。</w:t>
            </w:r>
          </w:p>
          <w:p w14:paraId="7C9C9C3B">
            <w:pPr>
              <w:spacing w:line="360" w:lineRule="auto"/>
              <w:ind w:firstLine="480" w:firstLineChars="200"/>
              <w:jc w:val="left"/>
              <w:rPr>
                <w:sz w:val="24"/>
              </w:rPr>
            </w:pPr>
            <w:r>
              <w:rPr>
                <w:rFonts w:hint="eastAsia"/>
                <w:sz w:val="24"/>
              </w:rPr>
              <w:t>4）古树名木及特有种</w:t>
            </w:r>
          </w:p>
          <w:p w14:paraId="16945E38">
            <w:pPr>
              <w:spacing w:line="360" w:lineRule="auto"/>
              <w:ind w:firstLine="481"/>
              <w:rPr>
                <w:spacing w:val="4"/>
                <w:sz w:val="24"/>
                <w:szCs w:val="24"/>
              </w:rPr>
            </w:pPr>
            <w:r>
              <w:rPr>
                <w:spacing w:val="4"/>
                <w:sz w:val="24"/>
                <w:szCs w:val="24"/>
              </w:rPr>
              <w:t>经查询资料及现场调查，</w:t>
            </w:r>
            <w:r>
              <w:rPr>
                <w:rFonts w:hint="eastAsia"/>
                <w:spacing w:val="4"/>
                <w:sz w:val="24"/>
                <w:szCs w:val="24"/>
              </w:rPr>
              <w:t>项目调查区内</w:t>
            </w:r>
            <w:r>
              <w:rPr>
                <w:spacing w:val="4"/>
                <w:sz w:val="24"/>
                <w:szCs w:val="24"/>
              </w:rPr>
              <w:t>未发现古树名木</w:t>
            </w:r>
            <w:r>
              <w:rPr>
                <w:rFonts w:hint="eastAsia"/>
                <w:spacing w:val="4"/>
                <w:sz w:val="24"/>
                <w:szCs w:val="24"/>
              </w:rPr>
              <w:t>、极小种群、特有种和狭域种</w:t>
            </w:r>
            <w:r>
              <w:rPr>
                <w:spacing w:val="4"/>
                <w:sz w:val="24"/>
                <w:szCs w:val="24"/>
              </w:rPr>
              <w:t>分布。</w:t>
            </w:r>
          </w:p>
          <w:p w14:paraId="0E755823">
            <w:pPr>
              <w:spacing w:line="360" w:lineRule="auto"/>
              <w:ind w:firstLine="481"/>
              <w:rPr>
                <w:spacing w:val="4"/>
                <w:sz w:val="24"/>
                <w:szCs w:val="24"/>
              </w:rPr>
            </w:pPr>
            <w:r>
              <w:rPr>
                <w:rFonts w:hint="eastAsia"/>
                <w:spacing w:val="4"/>
                <w:sz w:val="24"/>
                <w:szCs w:val="24"/>
              </w:rPr>
              <w:t>5）外来入侵物种</w:t>
            </w:r>
          </w:p>
          <w:p w14:paraId="1856363B">
            <w:pPr>
              <w:spacing w:line="360" w:lineRule="auto"/>
              <w:ind w:firstLine="481"/>
              <w:rPr>
                <w:rFonts w:hint="eastAsia"/>
              </w:rPr>
            </w:pPr>
            <w:r>
              <w:rPr>
                <w:rFonts w:hint="eastAsia"/>
                <w:spacing w:val="-8"/>
                <w:sz w:val="24"/>
                <w:szCs w:val="24"/>
              </w:rPr>
              <w:t>根据</w:t>
            </w:r>
            <w:r>
              <w:rPr>
                <w:spacing w:val="-8"/>
                <w:sz w:val="24"/>
                <w:szCs w:val="24"/>
              </w:rPr>
              <w:t>《中国外来入侵物种名单</w:t>
            </w:r>
            <w:r>
              <w:rPr>
                <w:spacing w:val="-9"/>
                <w:sz w:val="24"/>
                <w:szCs w:val="24"/>
              </w:rPr>
              <w:t>》</w:t>
            </w:r>
            <w:r>
              <w:rPr>
                <w:rFonts w:hint="eastAsia"/>
                <w:spacing w:val="-9"/>
                <w:sz w:val="24"/>
                <w:szCs w:val="24"/>
              </w:rPr>
              <w:t>（</w:t>
            </w:r>
            <w:r>
              <w:rPr>
                <w:spacing w:val="-9"/>
                <w:sz w:val="24"/>
                <w:szCs w:val="24"/>
              </w:rPr>
              <w:t>第一至第四批</w:t>
            </w:r>
            <w:r>
              <w:rPr>
                <w:rFonts w:hint="eastAsia"/>
                <w:spacing w:val="-9"/>
                <w:sz w:val="24"/>
                <w:szCs w:val="24"/>
              </w:rPr>
              <w:t>）</w:t>
            </w:r>
            <w:r>
              <w:rPr>
                <w:spacing w:val="-9"/>
                <w:sz w:val="24"/>
                <w:szCs w:val="24"/>
              </w:rPr>
              <w:t>，</w:t>
            </w:r>
            <w:r>
              <w:rPr>
                <w:rFonts w:hint="eastAsia"/>
                <w:spacing w:val="-1"/>
                <w:sz w:val="24"/>
                <w:szCs w:val="24"/>
              </w:rPr>
              <w:t>调查</w:t>
            </w:r>
            <w:r>
              <w:rPr>
                <w:spacing w:val="-1"/>
                <w:sz w:val="24"/>
                <w:szCs w:val="24"/>
              </w:rPr>
              <w:t>区</w:t>
            </w:r>
            <w:r>
              <w:rPr>
                <w:rFonts w:hint="eastAsia"/>
                <w:spacing w:val="-1"/>
                <w:sz w:val="24"/>
                <w:szCs w:val="24"/>
              </w:rPr>
              <w:t>内有</w:t>
            </w:r>
            <w:r>
              <w:rPr>
                <w:rFonts w:eastAsia="Times New Roman"/>
                <w:spacing w:val="-1"/>
                <w:sz w:val="24"/>
                <w:szCs w:val="24"/>
              </w:rPr>
              <w:t>5</w:t>
            </w:r>
            <w:r>
              <w:rPr>
                <w:spacing w:val="-1"/>
                <w:sz w:val="24"/>
                <w:szCs w:val="24"/>
              </w:rPr>
              <w:t>种外来植物</w:t>
            </w:r>
            <w:r>
              <w:rPr>
                <w:rFonts w:hint="eastAsia"/>
                <w:spacing w:val="-1"/>
                <w:sz w:val="24"/>
                <w:szCs w:val="24"/>
              </w:rPr>
              <w:t>，分别为</w:t>
            </w:r>
            <w:r>
              <w:rPr>
                <w:position w:val="2"/>
                <w:sz w:val="24"/>
                <w:szCs w:val="24"/>
              </w:rPr>
              <w:t>紫茎泽兰</w:t>
            </w:r>
            <w:r>
              <w:rPr>
                <w:rFonts w:hint="eastAsia"/>
                <w:i/>
                <w:iCs/>
                <w:position w:val="2"/>
                <w:sz w:val="24"/>
              </w:rPr>
              <w:t>Ageratina adenophora</w:t>
            </w:r>
            <w:r>
              <w:rPr>
                <w:rFonts w:hint="eastAsia"/>
                <w:position w:val="2"/>
                <w:sz w:val="24"/>
                <w:szCs w:val="24"/>
              </w:rPr>
              <w:t>、</w:t>
            </w:r>
            <w:r>
              <w:rPr>
                <w:spacing w:val="-1"/>
                <w:position w:val="2"/>
                <w:sz w:val="24"/>
                <w:szCs w:val="24"/>
              </w:rPr>
              <w:t>小蓬</w:t>
            </w:r>
            <w:r>
              <w:rPr>
                <w:rFonts w:hint="eastAsia"/>
                <w:i/>
                <w:iCs/>
                <w:spacing w:val="-1"/>
                <w:position w:val="2"/>
                <w:sz w:val="24"/>
              </w:rPr>
              <w:t>Nanophyton erinaceum</w:t>
            </w:r>
            <w:r>
              <w:rPr>
                <w:rFonts w:hint="eastAsia"/>
                <w:spacing w:val="-1"/>
                <w:position w:val="2"/>
                <w:sz w:val="24"/>
                <w:szCs w:val="24"/>
              </w:rPr>
              <w:t>、</w:t>
            </w:r>
            <w:r>
              <w:rPr>
                <w:spacing w:val="-1"/>
                <w:position w:val="2"/>
                <w:sz w:val="24"/>
                <w:szCs w:val="24"/>
              </w:rPr>
              <w:t>土荆芥</w:t>
            </w:r>
            <w:r>
              <w:rPr>
                <w:rFonts w:hint="eastAsia"/>
                <w:i/>
                <w:iCs/>
                <w:spacing w:val="-1"/>
                <w:position w:val="2"/>
                <w:sz w:val="24"/>
              </w:rPr>
              <w:t>Dysphania ambrosioides</w:t>
            </w:r>
            <w:r>
              <w:rPr>
                <w:rFonts w:hint="eastAsia"/>
                <w:spacing w:val="-1"/>
                <w:position w:val="2"/>
                <w:sz w:val="24"/>
                <w:szCs w:val="24"/>
              </w:rPr>
              <w:t>、</w:t>
            </w:r>
            <w:r>
              <w:rPr>
                <w:spacing w:val="2"/>
                <w:position w:val="2"/>
                <w:sz w:val="24"/>
                <w:szCs w:val="24"/>
              </w:rPr>
              <w:t>野燕麦</w:t>
            </w:r>
            <w:r>
              <w:rPr>
                <w:rFonts w:hint="eastAsia"/>
                <w:i/>
                <w:iCs/>
                <w:spacing w:val="2"/>
                <w:position w:val="2"/>
                <w:sz w:val="24"/>
              </w:rPr>
              <w:t>Avena fatua</w:t>
            </w:r>
            <w:r>
              <w:rPr>
                <w:rFonts w:hint="eastAsia"/>
                <w:spacing w:val="2"/>
                <w:position w:val="2"/>
                <w:sz w:val="24"/>
                <w:szCs w:val="24"/>
              </w:rPr>
              <w:t>和</w:t>
            </w:r>
            <w:r>
              <w:rPr>
                <w:spacing w:val="-1"/>
                <w:position w:val="1"/>
                <w:sz w:val="24"/>
                <w:szCs w:val="24"/>
              </w:rPr>
              <w:t>喀西茄</w:t>
            </w:r>
            <w:r>
              <w:rPr>
                <w:rFonts w:hint="eastAsia"/>
                <w:i/>
                <w:iCs/>
                <w:spacing w:val="-1"/>
                <w:position w:val="1"/>
                <w:sz w:val="24"/>
              </w:rPr>
              <w:t>Solanum aculeatissimum</w:t>
            </w:r>
            <w:r>
              <w:rPr>
                <w:rFonts w:hint="eastAsia"/>
                <w:spacing w:val="-1"/>
                <w:position w:val="1"/>
                <w:sz w:val="24"/>
                <w:szCs w:val="24"/>
              </w:rPr>
              <w:t>。</w:t>
            </w:r>
            <w:r>
              <w:rPr>
                <w:rFonts w:hint="eastAsia"/>
                <w:spacing w:val="-3"/>
                <w:sz w:val="24"/>
              </w:rPr>
              <w:t>该类入侵植物喜生于开阔空旷、森林郁闭度低的区域，尤其易在人畜干扰频繁、地表受扰动破坏的生境中定殖扩散，是云南各地的常见物种。</w:t>
            </w:r>
            <w:r>
              <w:rPr>
                <w:snapToGrid w:val="0"/>
                <w:kern w:val="0"/>
                <w:sz w:val="24"/>
              </w:rPr>
              <w:t>项目施工中需严格控制输入性入侵，如人、畜、货物等主动或被动携带引入，以及植被恢复时引入的种子、植株幼苗等，另外需严格管理扰动的地表，尽量减少入侵物种进入调查区和扩散的条件</w:t>
            </w:r>
            <w:r>
              <w:rPr>
                <w:sz w:val="24"/>
              </w:rPr>
              <w:t>。</w:t>
            </w:r>
          </w:p>
          <w:p w14:paraId="113AA2CF">
            <w:pPr>
              <w:spacing w:line="360" w:lineRule="auto"/>
              <w:ind w:firstLine="482" w:firstLineChars="200"/>
              <w:jc w:val="left"/>
              <w:rPr>
                <w:b/>
                <w:bCs/>
                <w:kern w:val="0"/>
                <w:sz w:val="24"/>
              </w:rPr>
            </w:pPr>
            <w:r>
              <w:rPr>
                <w:rFonts w:hint="eastAsia"/>
                <w:b/>
                <w:bCs/>
                <w:kern w:val="0"/>
                <w:sz w:val="24"/>
              </w:rPr>
              <w:t>（</w:t>
            </w:r>
            <w:r>
              <w:rPr>
                <w:b/>
                <w:bCs/>
                <w:kern w:val="0"/>
                <w:sz w:val="24"/>
              </w:rPr>
              <w:t>4</w:t>
            </w:r>
            <w:r>
              <w:rPr>
                <w:rFonts w:hint="eastAsia"/>
                <w:b/>
                <w:bCs/>
                <w:kern w:val="0"/>
                <w:sz w:val="24"/>
              </w:rPr>
              <w:t>）陆栖野生脊椎动物现状</w:t>
            </w:r>
          </w:p>
          <w:p w14:paraId="6EC419BC">
            <w:pPr>
              <w:spacing w:line="360" w:lineRule="auto"/>
              <w:ind w:firstLine="480" w:firstLineChars="200"/>
              <w:jc w:val="left"/>
              <w:rPr>
                <w:sz w:val="24"/>
              </w:rPr>
            </w:pPr>
            <w:r>
              <w:rPr>
                <w:rFonts w:hint="eastAsia"/>
                <w:sz w:val="24"/>
              </w:rPr>
              <w:t>1）调查范围</w:t>
            </w:r>
          </w:p>
          <w:p w14:paraId="4A14D78F">
            <w:pPr>
              <w:spacing w:line="360" w:lineRule="auto"/>
              <w:ind w:firstLine="480" w:firstLineChars="200"/>
              <w:rPr>
                <w:sz w:val="24"/>
              </w:rPr>
            </w:pPr>
            <w:r>
              <w:rPr>
                <w:rFonts w:hint="eastAsia"/>
                <w:sz w:val="24"/>
              </w:rPr>
              <w:t>本项目陆生动物调查范围为工程占地范围及其外延300m区域，以礼河三级电站项目升压站厂界及其外延500m区域，调查区域海拔范围约为1450m~2400m。</w:t>
            </w:r>
          </w:p>
          <w:p w14:paraId="12FB1007">
            <w:pPr>
              <w:spacing w:line="360" w:lineRule="auto"/>
              <w:ind w:firstLine="480" w:firstLineChars="200"/>
              <w:jc w:val="left"/>
              <w:rPr>
                <w:rFonts w:hint="eastAsia"/>
                <w:sz w:val="24"/>
              </w:rPr>
            </w:pPr>
            <w:r>
              <w:rPr>
                <w:rFonts w:hint="eastAsia"/>
                <w:sz w:val="24"/>
              </w:rPr>
              <w:t>2）调查内容</w:t>
            </w:r>
          </w:p>
          <w:p w14:paraId="6A6E4BDA">
            <w:pPr>
              <w:spacing w:line="360" w:lineRule="auto"/>
              <w:ind w:firstLine="480" w:firstLineChars="200"/>
              <w:jc w:val="left"/>
              <w:rPr>
                <w:rFonts w:hint="eastAsia"/>
                <w:sz w:val="24"/>
              </w:rPr>
            </w:pPr>
            <w:r>
              <w:rPr>
                <w:rFonts w:hint="eastAsia"/>
                <w:sz w:val="24"/>
              </w:rPr>
              <w:t>主要调查区内的两栖类、爬行类、鸟类、哺乳类的种类，国家重点保护野生动物分布，云南省级重点保护野生动物分布情况，向当地居民询问有关野生脊椎动物的情况，调阅并收集了相关资料，查阅了已发表的相关文献资料。</w:t>
            </w:r>
          </w:p>
          <w:p w14:paraId="349207C3">
            <w:pPr>
              <w:spacing w:line="360" w:lineRule="auto"/>
              <w:ind w:firstLine="480" w:firstLineChars="200"/>
              <w:jc w:val="left"/>
              <w:rPr>
                <w:sz w:val="24"/>
              </w:rPr>
            </w:pPr>
            <w:r>
              <w:rPr>
                <w:rFonts w:hint="eastAsia"/>
                <w:sz w:val="24"/>
              </w:rPr>
              <w:t>本次陆生野生动物资源现状调查是以现场调查为主，同时结合访问调查、文献资料调查和生境判定等综合调查方法。现场调查时根据各动物类群的分布和生物学习性，分别采用相对应的方法开展调查，具体调查方法包括线路调查法和访问调查法。</w:t>
            </w:r>
          </w:p>
          <w:p w14:paraId="4A6D8C7E">
            <w:pPr>
              <w:spacing w:line="360" w:lineRule="auto"/>
              <w:ind w:firstLine="480" w:firstLineChars="200"/>
              <w:jc w:val="left"/>
              <w:rPr>
                <w:sz w:val="24"/>
              </w:rPr>
            </w:pPr>
            <w:r>
              <w:rPr>
                <w:rFonts w:hint="eastAsia"/>
                <w:sz w:val="24"/>
              </w:rPr>
              <w:t>3）调查结果</w:t>
            </w:r>
          </w:p>
          <w:p w14:paraId="53360B3B">
            <w:pPr>
              <w:spacing w:line="360" w:lineRule="auto"/>
              <w:ind w:firstLine="480" w:firstLineChars="200"/>
              <w:jc w:val="left"/>
              <w:rPr>
                <w:rFonts w:eastAsia="黑体"/>
                <w:kern w:val="0"/>
                <w:sz w:val="24"/>
              </w:rPr>
            </w:pPr>
            <w:r>
              <w:rPr>
                <w:rFonts w:eastAsia="黑体"/>
                <w:kern w:val="0"/>
                <w:sz w:val="24"/>
              </w:rPr>
              <w:t>①</w:t>
            </w:r>
            <w:r>
              <w:rPr>
                <w:rFonts w:hint="eastAsia"/>
                <w:sz w:val="24"/>
              </w:rPr>
              <w:t>两栖类</w:t>
            </w:r>
          </w:p>
          <w:p w14:paraId="21151823">
            <w:pPr>
              <w:spacing w:line="360" w:lineRule="auto"/>
              <w:ind w:firstLine="480" w:firstLineChars="200"/>
              <w:jc w:val="left"/>
              <w:rPr>
                <w:rFonts w:hint="eastAsia"/>
                <w:sz w:val="24"/>
              </w:rPr>
            </w:pPr>
            <w:r>
              <w:rPr>
                <w:rFonts w:hint="eastAsia"/>
                <w:sz w:val="24"/>
              </w:rPr>
              <w:t>项目调查区域内分布的两栖类主要有泽蛙、沼蛙、黑眶蟾蜍、滇蛙等，多分布于村寨、耕地、草地区域活动，属常见种。</w:t>
            </w:r>
          </w:p>
          <w:p w14:paraId="60AC5D47">
            <w:pPr>
              <w:pStyle w:val="208"/>
              <w:spacing w:line="360" w:lineRule="auto"/>
              <w:ind w:firstLine="480" w:firstLineChars="200"/>
              <w:jc w:val="left"/>
              <w:rPr>
                <w:rFonts w:hint="eastAsia" w:eastAsia="宋体"/>
                <w:sz w:val="24"/>
                <w:szCs w:val="24"/>
                <w:lang w:eastAsia="zh-CN"/>
              </w:rPr>
            </w:pPr>
            <w:r>
              <w:rPr>
                <w:rFonts w:hint="eastAsia" w:eastAsia="宋体"/>
                <w:sz w:val="24"/>
                <w:szCs w:val="24"/>
                <w:lang w:eastAsia="zh-CN"/>
              </w:rPr>
              <w:t>②爬行类</w:t>
            </w:r>
          </w:p>
          <w:p w14:paraId="7059AE8B">
            <w:pPr>
              <w:pStyle w:val="208"/>
              <w:spacing w:line="360" w:lineRule="auto"/>
              <w:ind w:firstLine="480" w:firstLineChars="200"/>
              <w:jc w:val="left"/>
              <w:rPr>
                <w:rFonts w:eastAsia="宋体"/>
                <w:sz w:val="24"/>
                <w:szCs w:val="24"/>
                <w:lang w:eastAsia="zh-CN"/>
              </w:rPr>
            </w:pPr>
            <w:r>
              <w:rPr>
                <w:rFonts w:hint="eastAsia" w:eastAsia="宋体"/>
                <w:sz w:val="24"/>
                <w:lang w:eastAsia="zh-CN"/>
              </w:rPr>
              <w:t>项目调查区域内分布的爬行类主要有白链蛇、颈槽蛇、云南竹叶青蛇、草绿龙蜥、云南半叶趾虎等，</w:t>
            </w:r>
            <w:r>
              <w:rPr>
                <w:rFonts w:eastAsia="宋体"/>
                <w:sz w:val="24"/>
                <w:szCs w:val="24"/>
                <w:lang w:eastAsia="zh-CN"/>
              </w:rPr>
              <w:t>主要分布于森林、灌草丛、溪流边，受人为影响相对较小，在</w:t>
            </w:r>
            <w:r>
              <w:rPr>
                <w:rFonts w:hint="eastAsia" w:eastAsia="宋体"/>
                <w:sz w:val="24"/>
                <w:szCs w:val="24"/>
                <w:lang w:eastAsia="zh-CN"/>
              </w:rPr>
              <w:t>本项目</w:t>
            </w:r>
            <w:r>
              <w:rPr>
                <w:rFonts w:eastAsia="宋体"/>
                <w:sz w:val="24"/>
                <w:szCs w:val="24"/>
                <w:lang w:eastAsia="zh-CN"/>
              </w:rPr>
              <w:t>评价区的种类相对丰富。</w:t>
            </w:r>
          </w:p>
          <w:p w14:paraId="223AB2A1">
            <w:pPr>
              <w:pStyle w:val="208"/>
              <w:spacing w:line="360" w:lineRule="auto"/>
              <w:ind w:firstLine="480" w:firstLineChars="200"/>
              <w:jc w:val="left"/>
              <w:rPr>
                <w:rFonts w:eastAsia="宋体"/>
                <w:sz w:val="24"/>
                <w:szCs w:val="24"/>
                <w:lang w:eastAsia="zh-CN"/>
              </w:rPr>
            </w:pPr>
            <w:r>
              <w:rPr>
                <w:rFonts w:hint="eastAsia" w:eastAsia="宋体"/>
                <w:sz w:val="24"/>
                <w:szCs w:val="24"/>
                <w:lang w:eastAsia="zh-CN"/>
              </w:rPr>
              <w:t>③鸟类</w:t>
            </w:r>
          </w:p>
          <w:p w14:paraId="0A333801">
            <w:pPr>
              <w:spacing w:line="360" w:lineRule="auto"/>
              <w:ind w:firstLine="559"/>
              <w:rPr>
                <w:sz w:val="24"/>
              </w:rPr>
            </w:pPr>
            <w:r>
              <w:rPr>
                <w:sz w:val="24"/>
              </w:rPr>
              <w:t>根据现场调查，并结合</w:t>
            </w:r>
            <w:r>
              <w:rPr>
                <w:rFonts w:hint="eastAsia"/>
                <w:sz w:val="24"/>
              </w:rPr>
              <w:t>已有的文献资料记载</w:t>
            </w:r>
            <w:r>
              <w:rPr>
                <w:sz w:val="24"/>
              </w:rPr>
              <w:t>，</w:t>
            </w:r>
            <w:r>
              <w:rPr>
                <w:rFonts w:hint="eastAsia"/>
                <w:sz w:val="24"/>
              </w:rPr>
              <w:t>项目调查范围内分布鸟类47种，隶属9目30科39属。</w:t>
            </w:r>
          </w:p>
          <w:p w14:paraId="0272296A">
            <w:pPr>
              <w:jc w:val="center"/>
            </w:pPr>
            <w:r>
              <w:rPr>
                <w:b/>
                <w:bCs/>
                <w:spacing w:val="5"/>
              </w:rPr>
              <w:t>表</w:t>
            </w:r>
            <w:r>
              <w:rPr>
                <w:rFonts w:hint="eastAsia"/>
                <w:b/>
                <w:bCs/>
                <w:spacing w:val="5"/>
              </w:rPr>
              <w:t>3</w:t>
            </w:r>
            <w:r>
              <w:rPr>
                <w:b/>
                <w:bCs/>
                <w:spacing w:val="5"/>
              </w:rPr>
              <w:t xml:space="preserve">.1.2-5  </w:t>
            </w:r>
            <w:r>
              <w:rPr>
                <w:rFonts w:hint="eastAsia"/>
                <w:b/>
                <w:bCs/>
                <w:spacing w:val="5"/>
              </w:rPr>
              <w:t>调查区鸟类名录</w:t>
            </w:r>
          </w:p>
          <w:tbl>
            <w:tblPr>
              <w:tblStyle w:val="30"/>
              <w:tblW w:w="8130" w:type="dxa"/>
              <w:jc w:val="center"/>
              <w:tblLayout w:type="fixed"/>
              <w:tblCellMar>
                <w:top w:w="0" w:type="dxa"/>
                <w:left w:w="108" w:type="dxa"/>
                <w:bottom w:w="0" w:type="dxa"/>
                <w:right w:w="108" w:type="dxa"/>
              </w:tblCellMar>
            </w:tblPr>
            <w:tblGrid>
              <w:gridCol w:w="3810"/>
              <w:gridCol w:w="1080"/>
              <w:gridCol w:w="1080"/>
              <w:gridCol w:w="1080"/>
              <w:gridCol w:w="1080"/>
            </w:tblGrid>
            <w:tr w14:paraId="0F55ECA8">
              <w:trPr>
                <w:trHeight w:val="382"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1D983">
                  <w:pPr>
                    <w:widowControl/>
                    <w:spacing w:line="288" w:lineRule="auto"/>
                    <w:jc w:val="center"/>
                    <w:textAlignment w:val="center"/>
                    <w:rPr>
                      <w:b/>
                      <w:bCs/>
                      <w:color w:val="000000"/>
                    </w:rPr>
                  </w:pPr>
                  <w:r>
                    <w:rPr>
                      <w:b/>
                      <w:bCs/>
                      <w:color w:val="000000"/>
                      <w:kern w:val="0"/>
                      <w:lang w:bidi="ar"/>
                    </w:rPr>
                    <w:t>种类名称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E1275D">
                  <w:pPr>
                    <w:widowControl/>
                    <w:spacing w:line="288" w:lineRule="auto"/>
                    <w:jc w:val="center"/>
                    <w:textAlignment w:val="center"/>
                    <w:rPr>
                      <w:b/>
                      <w:bCs/>
                      <w:color w:val="000000"/>
                    </w:rPr>
                  </w:pPr>
                  <w:r>
                    <w:rPr>
                      <w:b/>
                      <w:bCs/>
                      <w:color w:val="000000"/>
                      <w:kern w:val="0"/>
                      <w:lang w:bidi="ar"/>
                    </w:rPr>
                    <w:t>居留情况</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6AC40">
                  <w:pPr>
                    <w:widowControl/>
                    <w:spacing w:line="288" w:lineRule="auto"/>
                    <w:jc w:val="center"/>
                    <w:textAlignment w:val="center"/>
                    <w:rPr>
                      <w:b/>
                      <w:bCs/>
                      <w:color w:val="000000"/>
                    </w:rPr>
                  </w:pPr>
                  <w:r>
                    <w:rPr>
                      <w:b/>
                      <w:bCs/>
                      <w:color w:val="000000"/>
                      <w:kern w:val="0"/>
                      <w:lang w:bidi="ar"/>
                    </w:rPr>
                    <w:t>区系从属</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40F7E">
                  <w:pPr>
                    <w:widowControl/>
                    <w:spacing w:line="288" w:lineRule="auto"/>
                    <w:jc w:val="center"/>
                    <w:textAlignment w:val="center"/>
                    <w:rPr>
                      <w:b/>
                      <w:bCs/>
                      <w:color w:val="000000"/>
                    </w:rPr>
                  </w:pPr>
                  <w:r>
                    <w:rPr>
                      <w:b/>
                      <w:bCs/>
                      <w:color w:val="000000"/>
                      <w:kern w:val="0"/>
                      <w:lang w:bidi="ar"/>
                    </w:rPr>
                    <w:t>保护等级</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AB4FA">
                  <w:pPr>
                    <w:widowControl/>
                    <w:spacing w:line="288" w:lineRule="auto"/>
                    <w:jc w:val="center"/>
                    <w:textAlignment w:val="center"/>
                    <w:rPr>
                      <w:b/>
                      <w:bCs/>
                      <w:color w:val="000000"/>
                    </w:rPr>
                  </w:pPr>
                  <w:r>
                    <w:rPr>
                      <w:b/>
                      <w:bCs/>
                      <w:color w:val="000000"/>
                      <w:kern w:val="0"/>
                      <w:lang w:bidi="ar"/>
                    </w:rPr>
                    <w:t>濒危等级</w:t>
                  </w:r>
                </w:p>
              </w:tc>
            </w:tr>
            <w:tr w14:paraId="66A7DA85">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0B02C">
                  <w:pPr>
                    <w:widowControl/>
                    <w:spacing w:line="288" w:lineRule="auto"/>
                    <w:jc w:val="left"/>
                    <w:textAlignment w:val="center"/>
                    <w:rPr>
                      <w:b/>
                      <w:color w:val="000000"/>
                    </w:rPr>
                  </w:pPr>
                  <w:r>
                    <w:rPr>
                      <w:b/>
                      <w:color w:val="000000"/>
                      <w:kern w:val="0"/>
                      <w:lang w:bidi="ar"/>
                    </w:rPr>
                    <w:t>鹰形目 ACCIPITRIFORMES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7249F">
                  <w:pPr>
                    <w:spacing w:line="288" w:lineRule="auto"/>
                    <w:jc w:val="center"/>
                    <w:rPr>
                      <w:b/>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88974">
                  <w:pPr>
                    <w:spacing w:line="288" w:lineRule="auto"/>
                    <w:jc w:val="center"/>
                    <w:rPr>
                      <w:b/>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1B166">
                  <w:pPr>
                    <w:spacing w:line="288" w:lineRule="auto"/>
                    <w:jc w:val="center"/>
                    <w:rPr>
                      <w:b/>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CE8EF">
                  <w:pPr>
                    <w:spacing w:line="288" w:lineRule="auto"/>
                    <w:jc w:val="center"/>
                    <w:rPr>
                      <w:b/>
                      <w:color w:val="000000"/>
                    </w:rPr>
                  </w:pPr>
                </w:p>
              </w:tc>
            </w:tr>
            <w:tr w14:paraId="6B109E6B">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F4A39">
                  <w:pPr>
                    <w:widowControl/>
                    <w:spacing w:line="288" w:lineRule="auto"/>
                    <w:jc w:val="left"/>
                    <w:textAlignment w:val="center"/>
                    <w:rPr>
                      <w:b/>
                      <w:color w:val="000000"/>
                    </w:rPr>
                  </w:pPr>
                  <w:r>
                    <w:rPr>
                      <w:b/>
                      <w:color w:val="000000"/>
                      <w:kern w:val="0"/>
                      <w:lang w:bidi="ar"/>
                    </w:rPr>
                    <w:t>鹰科 Accipitridae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1F965">
                  <w:pPr>
                    <w:spacing w:line="288" w:lineRule="auto"/>
                    <w:jc w:val="center"/>
                    <w:rPr>
                      <w:b/>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80BC0">
                  <w:pPr>
                    <w:spacing w:line="288" w:lineRule="auto"/>
                    <w:jc w:val="center"/>
                    <w:rPr>
                      <w:b/>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69F87">
                  <w:pPr>
                    <w:spacing w:line="288" w:lineRule="auto"/>
                    <w:jc w:val="center"/>
                    <w:rPr>
                      <w:b/>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C7579">
                  <w:pPr>
                    <w:spacing w:line="288" w:lineRule="auto"/>
                    <w:jc w:val="center"/>
                    <w:rPr>
                      <w:b/>
                      <w:color w:val="000000"/>
                    </w:rPr>
                  </w:pPr>
                </w:p>
              </w:tc>
            </w:tr>
            <w:tr w14:paraId="39442140">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4D613">
                  <w:pPr>
                    <w:widowControl/>
                    <w:spacing w:line="288" w:lineRule="auto"/>
                    <w:jc w:val="left"/>
                    <w:textAlignment w:val="center"/>
                    <w:rPr>
                      <w:color w:val="000000"/>
                    </w:rPr>
                  </w:pPr>
                  <w:r>
                    <w:rPr>
                      <w:color w:val="000000"/>
                      <w:kern w:val="0"/>
                      <w:lang w:bidi="ar"/>
                    </w:rPr>
                    <w:t>1. 普通鵟</w:t>
                  </w:r>
                  <w:r>
                    <w:rPr>
                      <w:rFonts w:hint="eastAsia"/>
                      <w:color w:val="000000"/>
                      <w:kern w:val="0"/>
                      <w:lang w:bidi="ar"/>
                    </w:rPr>
                    <w:t xml:space="preserve"> </w:t>
                  </w:r>
                  <w:r>
                    <w:rPr>
                      <w:i/>
                      <w:iCs/>
                      <w:color w:val="000000"/>
                      <w:kern w:val="0"/>
                      <w:lang w:bidi="ar"/>
                    </w:rPr>
                    <w:t>Buteo buteo</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56C76">
                  <w:pPr>
                    <w:widowControl/>
                    <w:spacing w:line="288" w:lineRule="auto"/>
                    <w:jc w:val="center"/>
                    <w:textAlignment w:val="center"/>
                    <w:rPr>
                      <w:color w:val="000000"/>
                    </w:rPr>
                  </w:pPr>
                  <w:r>
                    <w:rPr>
                      <w:color w:val="000000"/>
                      <w:kern w:val="0"/>
                      <w:lang w:bidi="ar"/>
                    </w:rPr>
                    <w:t>W</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12DE5">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6FE0E">
                  <w:pPr>
                    <w:widowControl/>
                    <w:spacing w:line="288" w:lineRule="auto"/>
                    <w:jc w:val="center"/>
                    <w:textAlignment w:val="center"/>
                    <w:rPr>
                      <w:color w:val="000000"/>
                    </w:rPr>
                  </w:pPr>
                  <w:r>
                    <w:rPr>
                      <w:color w:val="000000"/>
                      <w:kern w:val="0"/>
                      <w:lang w:bidi="ar"/>
                    </w:rPr>
                    <w:t>国II</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E45A0">
                  <w:pPr>
                    <w:widowControl/>
                    <w:spacing w:line="288" w:lineRule="auto"/>
                    <w:jc w:val="center"/>
                    <w:textAlignment w:val="center"/>
                    <w:rPr>
                      <w:color w:val="000000"/>
                    </w:rPr>
                  </w:pPr>
                  <w:r>
                    <w:rPr>
                      <w:color w:val="000000"/>
                      <w:kern w:val="0"/>
                      <w:lang w:bidi="ar"/>
                    </w:rPr>
                    <w:t>LC</w:t>
                  </w:r>
                </w:p>
              </w:tc>
            </w:tr>
            <w:tr w14:paraId="4F510E47">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66A0C">
                  <w:pPr>
                    <w:widowControl/>
                    <w:numPr>
                      <w:ilvl w:val="0"/>
                      <w:numId w:val="7"/>
                    </w:numPr>
                    <w:spacing w:line="288" w:lineRule="auto"/>
                    <w:jc w:val="left"/>
                    <w:textAlignment w:val="center"/>
                    <w:rPr>
                      <w:color w:val="000000"/>
                      <w:kern w:val="0"/>
                      <w:lang w:bidi="ar"/>
                    </w:rPr>
                  </w:pPr>
                  <w:r>
                    <w:rPr>
                      <w:rFonts w:hint="eastAsia"/>
                      <w:color w:val="000000"/>
                      <w:kern w:val="0"/>
                      <w:lang w:bidi="ar"/>
                    </w:rPr>
                    <w:t xml:space="preserve">松雀鹰 </w:t>
                  </w:r>
                  <w:r>
                    <w:rPr>
                      <w:rFonts w:hint="eastAsia"/>
                      <w:i/>
                      <w:iCs/>
                      <w:color w:val="000000"/>
                      <w:kern w:val="0"/>
                      <w:lang w:bidi="ar"/>
                    </w:rPr>
                    <w:t>Accipiter virgatus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39A6F">
                  <w:pPr>
                    <w:widowControl/>
                    <w:spacing w:line="288" w:lineRule="auto"/>
                    <w:jc w:val="center"/>
                    <w:textAlignment w:val="center"/>
                    <w:rPr>
                      <w:color w:val="000000"/>
                      <w:kern w:val="0"/>
                      <w:lang w:bidi="ar"/>
                    </w:rPr>
                  </w:pPr>
                  <w:r>
                    <w:rPr>
                      <w:rFonts w:hint="eastAsia"/>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0CF22">
                  <w:pPr>
                    <w:widowControl/>
                    <w:spacing w:line="288" w:lineRule="auto"/>
                    <w:jc w:val="center"/>
                    <w:textAlignment w:val="center"/>
                    <w:rPr>
                      <w:color w:val="000000"/>
                      <w:kern w:val="0"/>
                      <w:lang w:bidi="ar"/>
                    </w:rPr>
                  </w:pPr>
                  <w:r>
                    <w:rPr>
                      <w:rFonts w:hint="eastAsia"/>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A05B2">
                  <w:pPr>
                    <w:widowControl/>
                    <w:spacing w:line="288" w:lineRule="auto"/>
                    <w:jc w:val="center"/>
                    <w:textAlignment w:val="center"/>
                    <w:rPr>
                      <w:color w:val="000000"/>
                      <w:kern w:val="0"/>
                      <w:lang w:bidi="ar"/>
                    </w:rPr>
                  </w:pPr>
                  <w:r>
                    <w:rPr>
                      <w:color w:val="000000"/>
                      <w:kern w:val="0"/>
                      <w:lang w:bidi="ar"/>
                    </w:rPr>
                    <w:t>国II</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F931A">
                  <w:pPr>
                    <w:widowControl/>
                    <w:spacing w:line="288" w:lineRule="auto"/>
                    <w:jc w:val="center"/>
                    <w:textAlignment w:val="center"/>
                    <w:rPr>
                      <w:color w:val="000000"/>
                      <w:kern w:val="0"/>
                      <w:lang w:bidi="ar"/>
                    </w:rPr>
                  </w:pPr>
                  <w:r>
                    <w:rPr>
                      <w:color w:val="000000"/>
                      <w:kern w:val="0"/>
                      <w:lang w:bidi="ar"/>
                    </w:rPr>
                    <w:t>LC</w:t>
                  </w:r>
                </w:p>
              </w:tc>
            </w:tr>
            <w:tr w14:paraId="1760EC71">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023A2">
                  <w:pPr>
                    <w:widowControl/>
                    <w:spacing w:line="288" w:lineRule="auto"/>
                    <w:jc w:val="left"/>
                    <w:textAlignment w:val="center"/>
                    <w:rPr>
                      <w:color w:val="000000"/>
                    </w:rPr>
                  </w:pPr>
                  <w:r>
                    <w:rPr>
                      <w:b/>
                      <w:bCs/>
                      <w:color w:val="000000"/>
                      <w:kern w:val="0"/>
                      <w:lang w:bidi="ar"/>
                    </w:rPr>
                    <w:t>隼形目FALCONIFORMES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2D132">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AC2A6">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0471C">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51157">
                  <w:pPr>
                    <w:spacing w:line="288" w:lineRule="auto"/>
                    <w:jc w:val="center"/>
                    <w:rPr>
                      <w:color w:val="000000"/>
                    </w:rPr>
                  </w:pPr>
                </w:p>
              </w:tc>
            </w:tr>
            <w:tr w14:paraId="435FD980">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D890E">
                  <w:pPr>
                    <w:widowControl/>
                    <w:spacing w:line="288" w:lineRule="auto"/>
                    <w:jc w:val="left"/>
                    <w:textAlignment w:val="center"/>
                    <w:rPr>
                      <w:color w:val="000000"/>
                    </w:rPr>
                  </w:pPr>
                  <w:r>
                    <w:rPr>
                      <w:b/>
                      <w:bCs/>
                      <w:color w:val="000000"/>
                      <w:kern w:val="0"/>
                      <w:lang w:bidi="ar"/>
                    </w:rPr>
                    <w:t>隼科 Falconidae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A8D430">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E963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9492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8CE0E">
                  <w:pPr>
                    <w:spacing w:line="288" w:lineRule="auto"/>
                    <w:jc w:val="center"/>
                    <w:rPr>
                      <w:color w:val="000000"/>
                    </w:rPr>
                  </w:pPr>
                </w:p>
              </w:tc>
            </w:tr>
            <w:tr w14:paraId="120271C8">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3EC8C">
                  <w:pPr>
                    <w:widowControl/>
                    <w:spacing w:line="288" w:lineRule="auto"/>
                    <w:jc w:val="left"/>
                    <w:textAlignment w:val="center"/>
                    <w:rPr>
                      <w:color w:val="000000"/>
                    </w:rPr>
                  </w:pPr>
                  <w:r>
                    <w:rPr>
                      <w:color w:val="000000"/>
                      <w:kern w:val="0"/>
                      <w:lang w:bidi="ar"/>
                    </w:rPr>
                    <w:t>3. 红隼 </w:t>
                  </w:r>
                  <w:r>
                    <w:rPr>
                      <w:i/>
                      <w:iCs/>
                      <w:color w:val="000000"/>
                      <w:kern w:val="0"/>
                      <w:lang w:bidi="ar"/>
                    </w:rPr>
                    <w:t>Falco tinnunculus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D3DFA">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8F4BA">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63A0A">
                  <w:pPr>
                    <w:widowControl/>
                    <w:spacing w:line="288" w:lineRule="auto"/>
                    <w:jc w:val="center"/>
                    <w:textAlignment w:val="center"/>
                    <w:rPr>
                      <w:color w:val="000000"/>
                    </w:rPr>
                  </w:pPr>
                  <w:r>
                    <w:rPr>
                      <w:color w:val="000000"/>
                      <w:kern w:val="0"/>
                      <w:lang w:bidi="ar"/>
                    </w:rPr>
                    <w:t>国II</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62652">
                  <w:pPr>
                    <w:widowControl/>
                    <w:spacing w:line="288" w:lineRule="auto"/>
                    <w:jc w:val="center"/>
                    <w:textAlignment w:val="center"/>
                    <w:rPr>
                      <w:color w:val="000000"/>
                    </w:rPr>
                  </w:pPr>
                  <w:r>
                    <w:rPr>
                      <w:color w:val="000000"/>
                      <w:kern w:val="0"/>
                      <w:lang w:bidi="ar"/>
                    </w:rPr>
                    <w:t>LC</w:t>
                  </w:r>
                </w:p>
              </w:tc>
            </w:tr>
            <w:tr w14:paraId="26C94B47">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D1342">
                  <w:pPr>
                    <w:widowControl/>
                    <w:spacing w:line="288" w:lineRule="auto"/>
                    <w:jc w:val="left"/>
                    <w:textAlignment w:val="center"/>
                    <w:rPr>
                      <w:color w:val="000000"/>
                    </w:rPr>
                  </w:pPr>
                  <w:r>
                    <w:rPr>
                      <w:b/>
                      <w:bCs/>
                      <w:color w:val="000000"/>
                      <w:kern w:val="0"/>
                      <w:lang w:bidi="ar"/>
                    </w:rPr>
                    <w:t>鸡形目 GALLIFORMES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D1AC5">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FBA97">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7EE2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FF699">
                  <w:pPr>
                    <w:spacing w:line="288" w:lineRule="auto"/>
                    <w:jc w:val="center"/>
                    <w:rPr>
                      <w:color w:val="000000"/>
                    </w:rPr>
                  </w:pPr>
                </w:p>
              </w:tc>
            </w:tr>
            <w:tr w14:paraId="3DAF7114">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CCB1F">
                  <w:pPr>
                    <w:widowControl/>
                    <w:spacing w:line="288" w:lineRule="auto"/>
                    <w:jc w:val="left"/>
                    <w:textAlignment w:val="center"/>
                    <w:rPr>
                      <w:color w:val="000000"/>
                    </w:rPr>
                  </w:pPr>
                  <w:r>
                    <w:rPr>
                      <w:b/>
                      <w:bCs/>
                      <w:color w:val="000000"/>
                      <w:kern w:val="0"/>
                      <w:lang w:bidi="ar"/>
                    </w:rPr>
                    <w:t>雉科 Pheasianidae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4AF74">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7B9C6">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CF299">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27576">
                  <w:pPr>
                    <w:spacing w:line="288" w:lineRule="auto"/>
                    <w:jc w:val="center"/>
                    <w:rPr>
                      <w:color w:val="000000"/>
                    </w:rPr>
                  </w:pPr>
                </w:p>
              </w:tc>
            </w:tr>
            <w:tr w14:paraId="4CFE404A">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474339">
                  <w:pPr>
                    <w:widowControl/>
                    <w:spacing w:line="288" w:lineRule="auto"/>
                    <w:jc w:val="left"/>
                    <w:textAlignment w:val="center"/>
                    <w:rPr>
                      <w:color w:val="000000"/>
                    </w:rPr>
                  </w:pPr>
                  <w:r>
                    <w:rPr>
                      <w:color w:val="000000"/>
                      <w:kern w:val="0"/>
                      <w:lang w:bidi="ar"/>
                    </w:rPr>
                    <w:t>4. 环颈雉 </w:t>
                  </w:r>
                  <w:r>
                    <w:rPr>
                      <w:i/>
                      <w:iCs/>
                      <w:color w:val="000000"/>
                      <w:kern w:val="0"/>
                      <w:lang w:bidi="ar"/>
                    </w:rPr>
                    <w:t>Phasianus colchicus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2AAC3">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3B253">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D167D">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73098">
                  <w:pPr>
                    <w:widowControl/>
                    <w:spacing w:line="288" w:lineRule="auto"/>
                    <w:jc w:val="center"/>
                    <w:textAlignment w:val="center"/>
                    <w:rPr>
                      <w:color w:val="000000"/>
                    </w:rPr>
                  </w:pPr>
                  <w:r>
                    <w:rPr>
                      <w:color w:val="000000"/>
                      <w:kern w:val="0"/>
                      <w:lang w:bidi="ar"/>
                    </w:rPr>
                    <w:t>LC</w:t>
                  </w:r>
                </w:p>
              </w:tc>
            </w:tr>
            <w:tr w14:paraId="7A1D32B3">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25176">
                  <w:pPr>
                    <w:widowControl/>
                    <w:spacing w:line="288" w:lineRule="auto"/>
                    <w:jc w:val="left"/>
                    <w:textAlignment w:val="center"/>
                    <w:rPr>
                      <w:b/>
                      <w:bCs/>
                      <w:color w:val="000000"/>
                      <w:kern w:val="0"/>
                      <w:lang w:bidi="ar"/>
                    </w:rPr>
                  </w:pPr>
                  <w:r>
                    <w:rPr>
                      <w:b/>
                      <w:bCs/>
                      <w:color w:val="000000"/>
                      <w:kern w:val="0"/>
                      <w:lang w:bidi="ar"/>
                    </w:rPr>
                    <w:t>鸽形目 COLUMBIFORMES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E520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2027A">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56176">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17674">
                  <w:pPr>
                    <w:spacing w:line="288" w:lineRule="auto"/>
                    <w:jc w:val="center"/>
                    <w:rPr>
                      <w:color w:val="000000"/>
                    </w:rPr>
                  </w:pPr>
                </w:p>
              </w:tc>
            </w:tr>
            <w:tr w14:paraId="142EB939">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924F6">
                  <w:pPr>
                    <w:widowControl/>
                    <w:spacing w:line="288" w:lineRule="auto"/>
                    <w:jc w:val="left"/>
                    <w:textAlignment w:val="center"/>
                    <w:rPr>
                      <w:b/>
                      <w:bCs/>
                      <w:color w:val="000000"/>
                      <w:kern w:val="0"/>
                      <w:lang w:bidi="ar"/>
                    </w:rPr>
                  </w:pPr>
                  <w:r>
                    <w:rPr>
                      <w:b/>
                      <w:bCs/>
                      <w:color w:val="000000"/>
                      <w:kern w:val="0"/>
                      <w:lang w:bidi="ar"/>
                    </w:rPr>
                    <w:t>鸠鸽科 Columbidae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277DA">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2D9DE">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24170">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ED402">
                  <w:pPr>
                    <w:spacing w:line="288" w:lineRule="auto"/>
                    <w:jc w:val="center"/>
                    <w:rPr>
                      <w:color w:val="000000"/>
                    </w:rPr>
                  </w:pPr>
                </w:p>
              </w:tc>
            </w:tr>
            <w:tr w14:paraId="329D3884">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34AB0">
                  <w:pPr>
                    <w:widowControl/>
                    <w:spacing w:line="288" w:lineRule="auto"/>
                    <w:jc w:val="left"/>
                    <w:textAlignment w:val="center"/>
                    <w:rPr>
                      <w:color w:val="000000"/>
                    </w:rPr>
                  </w:pPr>
                  <w:r>
                    <w:rPr>
                      <w:color w:val="000000"/>
                      <w:kern w:val="0"/>
                      <w:lang w:bidi="ar"/>
                    </w:rPr>
                    <w:t>5. 山斑鸠</w:t>
                  </w:r>
                  <w:r>
                    <w:rPr>
                      <w:rFonts w:hint="eastAsia"/>
                      <w:color w:val="000000"/>
                      <w:kern w:val="0"/>
                      <w:lang w:bidi="ar"/>
                    </w:rPr>
                    <w:t xml:space="preserve"> </w:t>
                  </w:r>
                  <w:r>
                    <w:rPr>
                      <w:i/>
                      <w:iCs/>
                      <w:color w:val="000000"/>
                      <w:kern w:val="0"/>
                      <w:lang w:bidi="ar"/>
                    </w:rPr>
                    <w:t>Streptopelia orientalis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81DD5">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862FB">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7AD6E">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BE3B0">
                  <w:pPr>
                    <w:widowControl/>
                    <w:spacing w:line="288" w:lineRule="auto"/>
                    <w:jc w:val="center"/>
                    <w:textAlignment w:val="center"/>
                    <w:rPr>
                      <w:color w:val="000000"/>
                    </w:rPr>
                  </w:pPr>
                  <w:r>
                    <w:rPr>
                      <w:color w:val="000000"/>
                      <w:kern w:val="0"/>
                      <w:lang w:bidi="ar"/>
                    </w:rPr>
                    <w:t>LC</w:t>
                  </w:r>
                </w:p>
              </w:tc>
            </w:tr>
            <w:tr w14:paraId="60B46E83">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E1F59">
                  <w:pPr>
                    <w:widowControl/>
                    <w:spacing w:line="288" w:lineRule="auto"/>
                    <w:jc w:val="left"/>
                    <w:textAlignment w:val="center"/>
                    <w:rPr>
                      <w:b/>
                      <w:bCs/>
                      <w:color w:val="000000"/>
                      <w:kern w:val="0"/>
                      <w:lang w:bidi="ar"/>
                    </w:rPr>
                  </w:pPr>
                  <w:r>
                    <w:rPr>
                      <w:b/>
                      <w:bCs/>
                      <w:color w:val="000000"/>
                      <w:kern w:val="0"/>
                      <w:lang w:bidi="ar"/>
                    </w:rPr>
                    <w:t>鹃形目</w:t>
                  </w:r>
                  <w:r>
                    <w:rPr>
                      <w:rFonts w:hint="eastAsia"/>
                      <w:b/>
                      <w:bCs/>
                      <w:color w:val="000000"/>
                      <w:kern w:val="0"/>
                      <w:lang w:bidi="ar"/>
                    </w:rPr>
                    <w:t xml:space="preserve"> </w:t>
                  </w:r>
                  <w:r>
                    <w:rPr>
                      <w:b/>
                      <w:bCs/>
                      <w:color w:val="000000"/>
                      <w:kern w:val="0"/>
                      <w:lang w:bidi="ar"/>
                    </w:rPr>
                    <w:t>CUCULIFORMES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88BB5">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6A2F9">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DD1FD">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4187D">
                  <w:pPr>
                    <w:spacing w:line="288" w:lineRule="auto"/>
                    <w:jc w:val="center"/>
                    <w:rPr>
                      <w:color w:val="000000"/>
                    </w:rPr>
                  </w:pPr>
                </w:p>
              </w:tc>
            </w:tr>
            <w:tr w14:paraId="50FFC833">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672ACA">
                  <w:pPr>
                    <w:widowControl/>
                    <w:spacing w:line="288" w:lineRule="auto"/>
                    <w:jc w:val="left"/>
                    <w:textAlignment w:val="center"/>
                    <w:rPr>
                      <w:b/>
                      <w:bCs/>
                      <w:color w:val="000000"/>
                      <w:kern w:val="0"/>
                      <w:lang w:bidi="ar"/>
                    </w:rPr>
                  </w:pPr>
                  <w:r>
                    <w:rPr>
                      <w:b/>
                      <w:bCs/>
                      <w:color w:val="000000"/>
                      <w:kern w:val="0"/>
                      <w:lang w:bidi="ar"/>
                    </w:rPr>
                    <w:t>杜鹃科</w:t>
                  </w:r>
                  <w:r>
                    <w:rPr>
                      <w:rFonts w:hint="eastAsia"/>
                      <w:b/>
                      <w:bCs/>
                      <w:color w:val="000000"/>
                      <w:kern w:val="0"/>
                      <w:lang w:bidi="ar"/>
                    </w:rPr>
                    <w:t xml:space="preserve"> </w:t>
                  </w:r>
                  <w:r>
                    <w:rPr>
                      <w:b/>
                      <w:bCs/>
                      <w:color w:val="000000"/>
                      <w:kern w:val="0"/>
                      <w:lang w:bidi="ar"/>
                    </w:rPr>
                    <w:t>Cuculidae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7A972">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1AA75">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810CF">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B1988">
                  <w:pPr>
                    <w:spacing w:line="288" w:lineRule="auto"/>
                    <w:jc w:val="center"/>
                    <w:rPr>
                      <w:color w:val="000000"/>
                    </w:rPr>
                  </w:pPr>
                </w:p>
              </w:tc>
            </w:tr>
            <w:tr w14:paraId="05509482">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6EA55">
                  <w:pPr>
                    <w:widowControl/>
                    <w:spacing w:line="288" w:lineRule="auto"/>
                    <w:jc w:val="left"/>
                    <w:textAlignment w:val="center"/>
                    <w:rPr>
                      <w:color w:val="000000"/>
                    </w:rPr>
                  </w:pPr>
                  <w:r>
                    <w:rPr>
                      <w:color w:val="000000"/>
                      <w:kern w:val="0"/>
                      <w:lang w:bidi="ar"/>
                    </w:rPr>
                    <w:t>6. 大杜鹃</w:t>
                  </w:r>
                  <w:r>
                    <w:rPr>
                      <w:rFonts w:hint="eastAsia"/>
                      <w:color w:val="000000"/>
                      <w:kern w:val="0"/>
                      <w:lang w:bidi="ar"/>
                    </w:rPr>
                    <w:t xml:space="preserve"> </w:t>
                  </w:r>
                  <w:r>
                    <w:rPr>
                      <w:i/>
                      <w:iCs/>
                      <w:color w:val="000000"/>
                      <w:kern w:val="0"/>
                      <w:lang w:bidi="ar"/>
                    </w:rPr>
                    <w:t>Cuculus canorus bakeri</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575FF">
                  <w:pPr>
                    <w:widowControl/>
                    <w:spacing w:line="288" w:lineRule="auto"/>
                    <w:jc w:val="center"/>
                    <w:textAlignment w:val="center"/>
                    <w:rPr>
                      <w:color w:val="000000"/>
                    </w:rPr>
                  </w:pPr>
                  <w:r>
                    <w:rPr>
                      <w:color w:val="000000"/>
                      <w:kern w:val="0"/>
                      <w:lang w:bidi="ar"/>
                    </w:rPr>
                    <w:t>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4A8983">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05E85">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95FC3">
                  <w:pPr>
                    <w:widowControl/>
                    <w:spacing w:line="288" w:lineRule="auto"/>
                    <w:jc w:val="center"/>
                    <w:textAlignment w:val="center"/>
                    <w:rPr>
                      <w:color w:val="000000"/>
                    </w:rPr>
                  </w:pPr>
                  <w:r>
                    <w:rPr>
                      <w:color w:val="000000"/>
                      <w:kern w:val="0"/>
                      <w:lang w:bidi="ar"/>
                    </w:rPr>
                    <w:t>LC</w:t>
                  </w:r>
                </w:p>
              </w:tc>
            </w:tr>
            <w:tr w14:paraId="68931E0C">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8A37B">
                  <w:pPr>
                    <w:widowControl/>
                    <w:spacing w:line="288" w:lineRule="auto"/>
                    <w:jc w:val="left"/>
                    <w:textAlignment w:val="center"/>
                    <w:rPr>
                      <w:b/>
                      <w:color w:val="000000"/>
                      <w:kern w:val="0"/>
                      <w:lang w:bidi="ar"/>
                    </w:rPr>
                  </w:pPr>
                  <w:r>
                    <w:rPr>
                      <w:b/>
                      <w:color w:val="000000"/>
                      <w:kern w:val="0"/>
                      <w:lang w:bidi="ar"/>
                    </w:rPr>
                    <w:t>夜鹰目 CAPRIMULGIFORMES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85E64">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4605E">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EA526">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F2389">
                  <w:pPr>
                    <w:spacing w:line="288" w:lineRule="auto"/>
                    <w:jc w:val="center"/>
                    <w:rPr>
                      <w:color w:val="000000"/>
                    </w:rPr>
                  </w:pPr>
                </w:p>
              </w:tc>
            </w:tr>
            <w:tr w14:paraId="4D31BF4A">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2DB17">
                  <w:pPr>
                    <w:widowControl/>
                    <w:spacing w:line="288" w:lineRule="auto"/>
                    <w:jc w:val="left"/>
                    <w:textAlignment w:val="center"/>
                    <w:rPr>
                      <w:b/>
                      <w:color w:val="000000"/>
                      <w:kern w:val="0"/>
                      <w:lang w:bidi="ar"/>
                    </w:rPr>
                  </w:pPr>
                  <w:r>
                    <w:rPr>
                      <w:b/>
                      <w:color w:val="000000"/>
                      <w:kern w:val="0"/>
                      <w:lang w:bidi="ar"/>
                    </w:rPr>
                    <w:t>雨燕科 Apodidae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5A5F4">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4BA57">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0A5AF">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B78D8">
                  <w:pPr>
                    <w:spacing w:line="288" w:lineRule="auto"/>
                    <w:jc w:val="center"/>
                    <w:rPr>
                      <w:color w:val="000000"/>
                    </w:rPr>
                  </w:pPr>
                </w:p>
              </w:tc>
            </w:tr>
            <w:tr w14:paraId="0FEFEA83">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0E15E">
                  <w:pPr>
                    <w:widowControl/>
                    <w:spacing w:line="288" w:lineRule="auto"/>
                    <w:jc w:val="left"/>
                    <w:textAlignment w:val="center"/>
                    <w:rPr>
                      <w:color w:val="000000"/>
                    </w:rPr>
                  </w:pPr>
                  <w:r>
                    <w:rPr>
                      <w:color w:val="000000"/>
                      <w:kern w:val="0"/>
                      <w:lang w:bidi="ar"/>
                    </w:rPr>
                    <w:t>7. 小白腰雨燕</w:t>
                  </w:r>
                  <w:r>
                    <w:rPr>
                      <w:rFonts w:hint="eastAsia"/>
                      <w:color w:val="000000"/>
                      <w:kern w:val="0"/>
                      <w:lang w:bidi="ar"/>
                    </w:rPr>
                    <w:t xml:space="preserve"> </w:t>
                  </w:r>
                  <w:r>
                    <w:rPr>
                      <w:i/>
                      <w:iCs/>
                      <w:color w:val="000000"/>
                      <w:kern w:val="0"/>
                      <w:lang w:bidi="ar"/>
                    </w:rPr>
                    <w:t>Apus nipalensis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EDB43">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B2B99">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A91B2">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B456D">
                  <w:pPr>
                    <w:widowControl/>
                    <w:spacing w:line="288" w:lineRule="auto"/>
                    <w:jc w:val="center"/>
                    <w:textAlignment w:val="center"/>
                    <w:rPr>
                      <w:color w:val="000000"/>
                    </w:rPr>
                  </w:pPr>
                  <w:r>
                    <w:rPr>
                      <w:color w:val="000000"/>
                      <w:kern w:val="0"/>
                      <w:lang w:bidi="ar"/>
                    </w:rPr>
                    <w:t>LC</w:t>
                  </w:r>
                </w:p>
              </w:tc>
            </w:tr>
            <w:tr w14:paraId="5BCCD64C">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8FC5E">
                  <w:pPr>
                    <w:widowControl/>
                    <w:spacing w:line="288" w:lineRule="auto"/>
                    <w:jc w:val="left"/>
                    <w:textAlignment w:val="center"/>
                    <w:rPr>
                      <w:b/>
                      <w:color w:val="000000"/>
                      <w:kern w:val="0"/>
                      <w:lang w:bidi="ar"/>
                    </w:rPr>
                  </w:pPr>
                  <w:r>
                    <w:rPr>
                      <w:b/>
                      <w:color w:val="000000"/>
                      <w:kern w:val="0"/>
                      <w:lang w:bidi="ar"/>
                    </w:rPr>
                    <w:t>犀鸟目 BUCEROTIFORMES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4E212">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D73BF">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1CB82">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6532A">
                  <w:pPr>
                    <w:spacing w:line="288" w:lineRule="auto"/>
                    <w:jc w:val="center"/>
                    <w:rPr>
                      <w:color w:val="000000"/>
                    </w:rPr>
                  </w:pPr>
                </w:p>
              </w:tc>
            </w:tr>
            <w:tr w14:paraId="744ADEC8">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0C70A">
                  <w:pPr>
                    <w:widowControl/>
                    <w:spacing w:line="288" w:lineRule="auto"/>
                    <w:jc w:val="left"/>
                    <w:textAlignment w:val="center"/>
                    <w:rPr>
                      <w:b/>
                      <w:color w:val="000000"/>
                      <w:kern w:val="0"/>
                      <w:lang w:bidi="ar"/>
                    </w:rPr>
                  </w:pPr>
                  <w:r>
                    <w:rPr>
                      <w:b/>
                      <w:color w:val="000000"/>
                      <w:kern w:val="0"/>
                      <w:lang w:bidi="ar"/>
                    </w:rPr>
                    <w:t>戴胜科 Upupidae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E2681">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15D56">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D43D5">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3348F">
                  <w:pPr>
                    <w:spacing w:line="288" w:lineRule="auto"/>
                    <w:jc w:val="center"/>
                    <w:rPr>
                      <w:color w:val="000000"/>
                    </w:rPr>
                  </w:pPr>
                </w:p>
              </w:tc>
            </w:tr>
            <w:tr w14:paraId="6A822262">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4978D">
                  <w:pPr>
                    <w:widowControl/>
                    <w:spacing w:line="288" w:lineRule="auto"/>
                    <w:jc w:val="left"/>
                    <w:textAlignment w:val="center"/>
                    <w:rPr>
                      <w:color w:val="000000"/>
                    </w:rPr>
                  </w:pPr>
                  <w:r>
                    <w:rPr>
                      <w:color w:val="000000"/>
                      <w:kern w:val="0"/>
                      <w:lang w:bidi="ar"/>
                    </w:rPr>
                    <w:t>8. 戴胜</w:t>
                  </w:r>
                  <w:r>
                    <w:rPr>
                      <w:rFonts w:hint="eastAsia"/>
                      <w:color w:val="000000"/>
                      <w:kern w:val="0"/>
                      <w:lang w:bidi="ar"/>
                    </w:rPr>
                    <w:t xml:space="preserve"> </w:t>
                  </w:r>
                  <w:r>
                    <w:rPr>
                      <w:i/>
                      <w:iCs/>
                      <w:color w:val="000000"/>
                      <w:kern w:val="0"/>
                      <w:lang w:bidi="ar"/>
                    </w:rPr>
                    <w:t>Upupa epops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05A7A">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68466">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B461C">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91831">
                  <w:pPr>
                    <w:widowControl/>
                    <w:spacing w:line="288" w:lineRule="auto"/>
                    <w:jc w:val="center"/>
                    <w:textAlignment w:val="center"/>
                    <w:rPr>
                      <w:color w:val="000000"/>
                    </w:rPr>
                  </w:pPr>
                  <w:r>
                    <w:rPr>
                      <w:color w:val="000000"/>
                      <w:kern w:val="0"/>
                      <w:lang w:bidi="ar"/>
                    </w:rPr>
                    <w:t>LC</w:t>
                  </w:r>
                </w:p>
              </w:tc>
            </w:tr>
            <w:tr w14:paraId="5889BF95">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AD0F09">
                  <w:pPr>
                    <w:widowControl/>
                    <w:spacing w:line="288" w:lineRule="auto"/>
                    <w:jc w:val="left"/>
                    <w:textAlignment w:val="center"/>
                    <w:rPr>
                      <w:b/>
                      <w:color w:val="000000"/>
                      <w:kern w:val="0"/>
                      <w:lang w:bidi="ar"/>
                    </w:rPr>
                  </w:pPr>
                  <w:r>
                    <w:rPr>
                      <w:b/>
                      <w:color w:val="000000"/>
                      <w:kern w:val="0"/>
                      <w:lang w:bidi="ar"/>
                    </w:rPr>
                    <w:t>啄木鸟目 PICIFORMES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2201A">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B89BA">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24F19">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62808">
                  <w:pPr>
                    <w:spacing w:line="288" w:lineRule="auto"/>
                    <w:jc w:val="center"/>
                    <w:rPr>
                      <w:color w:val="000000"/>
                    </w:rPr>
                  </w:pPr>
                </w:p>
              </w:tc>
            </w:tr>
            <w:tr w14:paraId="090F4FE9">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75A96">
                  <w:pPr>
                    <w:widowControl/>
                    <w:spacing w:line="288" w:lineRule="auto"/>
                    <w:jc w:val="left"/>
                    <w:textAlignment w:val="center"/>
                    <w:rPr>
                      <w:b/>
                      <w:color w:val="000000"/>
                      <w:kern w:val="0"/>
                      <w:lang w:bidi="ar"/>
                    </w:rPr>
                  </w:pPr>
                  <w:r>
                    <w:rPr>
                      <w:b/>
                      <w:color w:val="000000"/>
                      <w:kern w:val="0"/>
                      <w:lang w:bidi="ar"/>
                    </w:rPr>
                    <w:t>啄木鸟科 Picidae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1A1CE">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1AFBD">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63F96">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E05A6">
                  <w:pPr>
                    <w:spacing w:line="288" w:lineRule="auto"/>
                    <w:jc w:val="center"/>
                    <w:rPr>
                      <w:color w:val="000000"/>
                    </w:rPr>
                  </w:pPr>
                </w:p>
              </w:tc>
            </w:tr>
            <w:tr w14:paraId="4314CB26">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CC96B">
                  <w:pPr>
                    <w:widowControl/>
                    <w:spacing w:line="288" w:lineRule="auto"/>
                    <w:jc w:val="left"/>
                    <w:textAlignment w:val="center"/>
                    <w:rPr>
                      <w:color w:val="000000"/>
                    </w:rPr>
                  </w:pPr>
                  <w:r>
                    <w:rPr>
                      <w:color w:val="000000"/>
                      <w:kern w:val="0"/>
                      <w:lang w:bidi="ar"/>
                    </w:rPr>
                    <w:t>9. 大斑啄木鸟</w:t>
                  </w:r>
                  <w:r>
                    <w:rPr>
                      <w:rFonts w:hint="eastAsia"/>
                      <w:color w:val="000000"/>
                      <w:kern w:val="0"/>
                      <w:lang w:bidi="ar"/>
                    </w:rPr>
                    <w:t xml:space="preserve"> </w:t>
                  </w:r>
                  <w:r>
                    <w:rPr>
                      <w:i/>
                      <w:iCs/>
                      <w:color w:val="000000"/>
                      <w:kern w:val="0"/>
                      <w:lang w:bidi="ar"/>
                    </w:rPr>
                    <w:t>Dendrocopos major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3755A">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F6003">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BF018">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81C62">
                  <w:pPr>
                    <w:widowControl/>
                    <w:spacing w:line="288" w:lineRule="auto"/>
                    <w:jc w:val="center"/>
                    <w:textAlignment w:val="center"/>
                    <w:rPr>
                      <w:color w:val="000000"/>
                    </w:rPr>
                  </w:pPr>
                  <w:r>
                    <w:rPr>
                      <w:color w:val="000000"/>
                      <w:kern w:val="0"/>
                      <w:lang w:bidi="ar"/>
                    </w:rPr>
                    <w:t>LC</w:t>
                  </w:r>
                </w:p>
              </w:tc>
            </w:tr>
            <w:tr w14:paraId="0A56F1B9">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F0C78">
                  <w:pPr>
                    <w:widowControl/>
                    <w:spacing w:line="288" w:lineRule="auto"/>
                    <w:jc w:val="left"/>
                    <w:textAlignment w:val="center"/>
                    <w:rPr>
                      <w:b/>
                      <w:color w:val="000000"/>
                      <w:kern w:val="0"/>
                      <w:lang w:bidi="ar"/>
                    </w:rPr>
                  </w:pPr>
                  <w:r>
                    <w:rPr>
                      <w:b/>
                      <w:color w:val="000000"/>
                      <w:kern w:val="0"/>
                      <w:lang w:bidi="ar"/>
                    </w:rPr>
                    <w:t>雀形目 PASSERIFORMES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E4C26">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5A2B2">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B371F">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43B10">
                  <w:pPr>
                    <w:spacing w:line="288" w:lineRule="auto"/>
                    <w:jc w:val="center"/>
                    <w:rPr>
                      <w:color w:val="000000"/>
                    </w:rPr>
                  </w:pPr>
                </w:p>
              </w:tc>
            </w:tr>
            <w:tr w14:paraId="17FC4228">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DEE27">
                  <w:pPr>
                    <w:widowControl/>
                    <w:spacing w:line="288" w:lineRule="auto"/>
                    <w:jc w:val="left"/>
                    <w:textAlignment w:val="center"/>
                    <w:rPr>
                      <w:b/>
                      <w:color w:val="000000"/>
                      <w:kern w:val="0"/>
                      <w:lang w:bidi="ar"/>
                    </w:rPr>
                  </w:pPr>
                  <w:r>
                    <w:rPr>
                      <w:b/>
                      <w:color w:val="000000"/>
                      <w:kern w:val="0"/>
                      <w:lang w:bidi="ar"/>
                    </w:rPr>
                    <w:t>百灵科 Alaudidae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0237F">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0E920">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76A50">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8929B">
                  <w:pPr>
                    <w:spacing w:line="288" w:lineRule="auto"/>
                    <w:jc w:val="center"/>
                    <w:rPr>
                      <w:color w:val="000000"/>
                    </w:rPr>
                  </w:pPr>
                </w:p>
              </w:tc>
            </w:tr>
            <w:tr w14:paraId="7740859F">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B5326">
                  <w:pPr>
                    <w:widowControl/>
                    <w:spacing w:line="288" w:lineRule="auto"/>
                    <w:jc w:val="left"/>
                    <w:textAlignment w:val="center"/>
                    <w:rPr>
                      <w:color w:val="000000"/>
                    </w:rPr>
                  </w:pPr>
                  <w:r>
                    <w:rPr>
                      <w:color w:val="000000"/>
                      <w:kern w:val="0"/>
                      <w:lang w:bidi="ar"/>
                    </w:rPr>
                    <w:t>10. 小云雀</w:t>
                  </w:r>
                  <w:r>
                    <w:rPr>
                      <w:rFonts w:hint="eastAsia"/>
                      <w:color w:val="000000"/>
                      <w:kern w:val="0"/>
                      <w:lang w:bidi="ar"/>
                    </w:rPr>
                    <w:t xml:space="preserve"> </w:t>
                  </w:r>
                  <w:r>
                    <w:rPr>
                      <w:i/>
                      <w:iCs/>
                      <w:color w:val="000000"/>
                      <w:kern w:val="0"/>
                      <w:lang w:bidi="ar"/>
                    </w:rPr>
                    <w:t>Alauda gulgula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96078">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6E09C">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EFA45">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AF3F6">
                  <w:pPr>
                    <w:widowControl/>
                    <w:spacing w:line="288" w:lineRule="auto"/>
                    <w:jc w:val="center"/>
                    <w:textAlignment w:val="center"/>
                    <w:rPr>
                      <w:color w:val="000000"/>
                    </w:rPr>
                  </w:pPr>
                  <w:r>
                    <w:rPr>
                      <w:color w:val="000000"/>
                      <w:kern w:val="0"/>
                      <w:lang w:bidi="ar"/>
                    </w:rPr>
                    <w:t>LC</w:t>
                  </w:r>
                </w:p>
              </w:tc>
            </w:tr>
            <w:tr w14:paraId="4E99D08E">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617FB">
                  <w:pPr>
                    <w:widowControl/>
                    <w:spacing w:line="288" w:lineRule="auto"/>
                    <w:jc w:val="left"/>
                    <w:textAlignment w:val="center"/>
                    <w:rPr>
                      <w:color w:val="000000"/>
                    </w:rPr>
                  </w:pPr>
                  <w:r>
                    <w:rPr>
                      <w:b/>
                      <w:color w:val="000000"/>
                      <w:kern w:val="0"/>
                      <w:lang w:bidi="ar"/>
                    </w:rPr>
                    <w:t>燕科 Hirundinidae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E1D8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23548">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B9E5D">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B1C78">
                  <w:pPr>
                    <w:spacing w:line="288" w:lineRule="auto"/>
                    <w:jc w:val="center"/>
                    <w:rPr>
                      <w:color w:val="000000"/>
                    </w:rPr>
                  </w:pPr>
                </w:p>
              </w:tc>
            </w:tr>
            <w:tr w14:paraId="6F32284C">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EEFAC">
                  <w:pPr>
                    <w:widowControl/>
                    <w:spacing w:line="288" w:lineRule="auto"/>
                    <w:jc w:val="left"/>
                    <w:textAlignment w:val="center"/>
                    <w:rPr>
                      <w:color w:val="000000"/>
                    </w:rPr>
                  </w:pPr>
                  <w:r>
                    <w:rPr>
                      <w:color w:val="000000"/>
                      <w:kern w:val="0"/>
                      <w:lang w:bidi="ar"/>
                    </w:rPr>
                    <w:t>11. 家燕</w:t>
                  </w:r>
                  <w:r>
                    <w:rPr>
                      <w:rFonts w:hint="eastAsia"/>
                      <w:color w:val="000000"/>
                      <w:kern w:val="0"/>
                      <w:lang w:bidi="ar"/>
                    </w:rPr>
                    <w:t xml:space="preserve"> </w:t>
                  </w:r>
                  <w:r>
                    <w:rPr>
                      <w:i/>
                      <w:iCs/>
                      <w:color w:val="000000"/>
                      <w:kern w:val="0"/>
                      <w:lang w:bidi="ar"/>
                    </w:rPr>
                    <w:t>Hirundo rustica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E5F0D">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68711">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0581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B01F2">
                  <w:pPr>
                    <w:widowControl/>
                    <w:spacing w:line="288" w:lineRule="auto"/>
                    <w:jc w:val="center"/>
                    <w:textAlignment w:val="center"/>
                    <w:rPr>
                      <w:color w:val="000000"/>
                    </w:rPr>
                  </w:pPr>
                  <w:r>
                    <w:rPr>
                      <w:color w:val="000000"/>
                      <w:kern w:val="0"/>
                      <w:lang w:bidi="ar"/>
                    </w:rPr>
                    <w:t>LC</w:t>
                  </w:r>
                </w:p>
              </w:tc>
            </w:tr>
            <w:tr w14:paraId="327AB1DC">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A3AAB">
                  <w:pPr>
                    <w:widowControl/>
                    <w:spacing w:line="288" w:lineRule="auto"/>
                    <w:jc w:val="left"/>
                    <w:textAlignment w:val="center"/>
                    <w:rPr>
                      <w:color w:val="000000"/>
                    </w:rPr>
                  </w:pPr>
                  <w:r>
                    <w:rPr>
                      <w:b/>
                      <w:color w:val="000000"/>
                      <w:kern w:val="0"/>
                      <w:lang w:bidi="ar"/>
                    </w:rPr>
                    <w:t>鹡鸰科 Motacillidae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8C299">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5B72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A40DC">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9FB44">
                  <w:pPr>
                    <w:spacing w:line="288" w:lineRule="auto"/>
                    <w:jc w:val="center"/>
                    <w:rPr>
                      <w:color w:val="000000"/>
                    </w:rPr>
                  </w:pPr>
                </w:p>
              </w:tc>
            </w:tr>
            <w:tr w14:paraId="48A35215">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F835D">
                  <w:pPr>
                    <w:widowControl/>
                    <w:spacing w:line="288" w:lineRule="auto"/>
                    <w:jc w:val="left"/>
                    <w:textAlignment w:val="center"/>
                    <w:rPr>
                      <w:color w:val="000000"/>
                    </w:rPr>
                  </w:pPr>
                  <w:r>
                    <w:rPr>
                      <w:color w:val="000000"/>
                      <w:kern w:val="0"/>
                      <w:lang w:bidi="ar"/>
                    </w:rPr>
                    <w:t>12. 白鹡鸰</w:t>
                  </w:r>
                  <w:r>
                    <w:rPr>
                      <w:rFonts w:hint="eastAsia"/>
                      <w:color w:val="000000"/>
                      <w:kern w:val="0"/>
                      <w:lang w:bidi="ar"/>
                    </w:rPr>
                    <w:t xml:space="preserve"> </w:t>
                  </w:r>
                  <w:r>
                    <w:rPr>
                      <w:i/>
                      <w:iCs/>
                      <w:color w:val="000000"/>
                      <w:kern w:val="0"/>
                      <w:lang w:bidi="ar"/>
                    </w:rPr>
                    <w:t>Motacilla alba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41A18">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31091">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18711">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06BA1">
                  <w:pPr>
                    <w:widowControl/>
                    <w:spacing w:line="288" w:lineRule="auto"/>
                    <w:jc w:val="center"/>
                    <w:textAlignment w:val="center"/>
                    <w:rPr>
                      <w:color w:val="000000"/>
                    </w:rPr>
                  </w:pPr>
                  <w:r>
                    <w:rPr>
                      <w:color w:val="000000"/>
                      <w:kern w:val="0"/>
                      <w:lang w:bidi="ar"/>
                    </w:rPr>
                    <w:t>LC</w:t>
                  </w:r>
                </w:p>
              </w:tc>
            </w:tr>
            <w:tr w14:paraId="6661F69C">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2418F">
                  <w:pPr>
                    <w:widowControl/>
                    <w:spacing w:line="288" w:lineRule="auto"/>
                    <w:jc w:val="left"/>
                    <w:textAlignment w:val="center"/>
                    <w:rPr>
                      <w:color w:val="000000"/>
                    </w:rPr>
                  </w:pPr>
                  <w:r>
                    <w:rPr>
                      <w:b/>
                      <w:color w:val="000000"/>
                      <w:kern w:val="0"/>
                      <w:lang w:bidi="ar"/>
                    </w:rPr>
                    <w:t>山椒鸟科 Campephagidae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9F34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CD03E">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08A18">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5864D">
                  <w:pPr>
                    <w:spacing w:line="288" w:lineRule="auto"/>
                    <w:jc w:val="center"/>
                    <w:rPr>
                      <w:color w:val="000000"/>
                    </w:rPr>
                  </w:pPr>
                </w:p>
              </w:tc>
            </w:tr>
            <w:tr w14:paraId="24366A53">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DC73C">
                  <w:pPr>
                    <w:widowControl/>
                    <w:spacing w:line="288" w:lineRule="auto"/>
                    <w:jc w:val="left"/>
                    <w:textAlignment w:val="center"/>
                    <w:rPr>
                      <w:color w:val="000000"/>
                    </w:rPr>
                  </w:pPr>
                  <w:r>
                    <w:rPr>
                      <w:color w:val="000000"/>
                      <w:kern w:val="0"/>
                      <w:lang w:bidi="ar"/>
                    </w:rPr>
                    <w:t>13. 长尾山椒鸟</w:t>
                  </w:r>
                  <w:r>
                    <w:rPr>
                      <w:rFonts w:hint="eastAsia"/>
                      <w:color w:val="000000"/>
                      <w:kern w:val="0"/>
                      <w:lang w:bidi="ar"/>
                    </w:rPr>
                    <w:t xml:space="preserve"> </w:t>
                  </w:r>
                  <w:r>
                    <w:rPr>
                      <w:i/>
                      <w:iCs/>
                      <w:color w:val="000000"/>
                      <w:kern w:val="0"/>
                      <w:lang w:bidi="ar"/>
                    </w:rPr>
                    <w:t>Pericrocotus ethologus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0E527">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4F912">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5D40F">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D8EA6">
                  <w:pPr>
                    <w:widowControl/>
                    <w:spacing w:line="288" w:lineRule="auto"/>
                    <w:jc w:val="center"/>
                    <w:textAlignment w:val="center"/>
                    <w:rPr>
                      <w:color w:val="000000"/>
                    </w:rPr>
                  </w:pPr>
                  <w:r>
                    <w:rPr>
                      <w:color w:val="000000"/>
                      <w:kern w:val="0"/>
                      <w:lang w:bidi="ar"/>
                    </w:rPr>
                    <w:t>LC</w:t>
                  </w:r>
                </w:p>
              </w:tc>
            </w:tr>
            <w:tr w14:paraId="718C2D69">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14221">
                  <w:pPr>
                    <w:widowControl/>
                    <w:spacing w:line="288" w:lineRule="auto"/>
                    <w:jc w:val="left"/>
                    <w:textAlignment w:val="center"/>
                    <w:rPr>
                      <w:color w:val="000000"/>
                    </w:rPr>
                  </w:pPr>
                  <w:r>
                    <w:rPr>
                      <w:color w:val="000000"/>
                      <w:kern w:val="0"/>
                      <w:lang w:bidi="ar"/>
                    </w:rPr>
                    <w:t>14. 赤红山椒鸟</w:t>
                  </w:r>
                  <w:r>
                    <w:rPr>
                      <w:rFonts w:hint="eastAsia"/>
                      <w:color w:val="000000"/>
                      <w:kern w:val="0"/>
                      <w:lang w:bidi="ar"/>
                    </w:rPr>
                    <w:t xml:space="preserve"> </w:t>
                  </w:r>
                  <w:r>
                    <w:rPr>
                      <w:i/>
                      <w:iCs/>
                      <w:color w:val="000000"/>
                      <w:kern w:val="0"/>
                      <w:lang w:bidi="ar"/>
                    </w:rPr>
                    <w:t>Pericrocotus flammeus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C21D6">
                  <w:pPr>
                    <w:widowControl/>
                    <w:spacing w:line="288" w:lineRule="auto"/>
                    <w:jc w:val="center"/>
                    <w:textAlignment w:val="center"/>
                    <w:rPr>
                      <w:color w:val="000000"/>
                    </w:rPr>
                  </w:pPr>
                  <w:r>
                    <w:rPr>
                      <w:color w:val="000000"/>
                      <w:kern w:val="0"/>
                      <w:lang w:bidi="ar"/>
                    </w:rPr>
                    <w:t>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4828C">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1403E">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0D6FF">
                  <w:pPr>
                    <w:widowControl/>
                    <w:spacing w:line="288" w:lineRule="auto"/>
                    <w:jc w:val="center"/>
                    <w:textAlignment w:val="center"/>
                    <w:rPr>
                      <w:color w:val="000000"/>
                    </w:rPr>
                  </w:pPr>
                  <w:r>
                    <w:rPr>
                      <w:color w:val="000000"/>
                      <w:kern w:val="0"/>
                      <w:lang w:bidi="ar"/>
                    </w:rPr>
                    <w:t>LC</w:t>
                  </w:r>
                </w:p>
              </w:tc>
            </w:tr>
            <w:tr w14:paraId="068C26BE">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D6ECF">
                  <w:pPr>
                    <w:widowControl/>
                    <w:spacing w:line="288" w:lineRule="auto"/>
                    <w:jc w:val="left"/>
                    <w:textAlignment w:val="center"/>
                    <w:rPr>
                      <w:color w:val="000000"/>
                    </w:rPr>
                  </w:pPr>
                  <w:r>
                    <w:rPr>
                      <w:b/>
                      <w:color w:val="000000"/>
                      <w:kern w:val="0"/>
                      <w:lang w:bidi="ar"/>
                    </w:rPr>
                    <w:t>鹎科 Pycnontidae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F6F46">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0D71A">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78162">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09C189">
                  <w:pPr>
                    <w:spacing w:line="288" w:lineRule="auto"/>
                    <w:jc w:val="center"/>
                    <w:rPr>
                      <w:color w:val="000000"/>
                    </w:rPr>
                  </w:pPr>
                </w:p>
              </w:tc>
            </w:tr>
            <w:tr w14:paraId="2CDF2465">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E7CDD">
                  <w:pPr>
                    <w:widowControl/>
                    <w:spacing w:line="288" w:lineRule="auto"/>
                    <w:jc w:val="left"/>
                    <w:textAlignment w:val="center"/>
                    <w:rPr>
                      <w:color w:val="000000"/>
                    </w:rPr>
                  </w:pPr>
                  <w:r>
                    <w:rPr>
                      <w:color w:val="000000"/>
                      <w:kern w:val="0"/>
                      <w:lang w:bidi="ar"/>
                    </w:rPr>
                    <w:t>15. 凤头雀嘴鹎</w:t>
                  </w:r>
                  <w:r>
                    <w:rPr>
                      <w:rFonts w:hint="eastAsia"/>
                      <w:color w:val="000000"/>
                      <w:kern w:val="0"/>
                      <w:lang w:bidi="ar"/>
                    </w:rPr>
                    <w:t xml:space="preserve"> </w:t>
                  </w:r>
                  <w:r>
                    <w:rPr>
                      <w:i/>
                      <w:iCs/>
                      <w:color w:val="000000"/>
                      <w:kern w:val="0"/>
                      <w:lang w:bidi="ar"/>
                    </w:rPr>
                    <w:t>Spizixos canifrons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0A2C2">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1F9165">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4E8EE">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18B57">
                  <w:pPr>
                    <w:widowControl/>
                    <w:spacing w:line="288" w:lineRule="auto"/>
                    <w:jc w:val="center"/>
                    <w:textAlignment w:val="center"/>
                    <w:rPr>
                      <w:color w:val="000000"/>
                    </w:rPr>
                  </w:pPr>
                  <w:r>
                    <w:rPr>
                      <w:color w:val="000000"/>
                      <w:kern w:val="0"/>
                      <w:lang w:bidi="ar"/>
                    </w:rPr>
                    <w:t>LC</w:t>
                  </w:r>
                </w:p>
              </w:tc>
            </w:tr>
            <w:tr w14:paraId="4A17635A">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1615F">
                  <w:pPr>
                    <w:widowControl/>
                    <w:spacing w:line="288" w:lineRule="auto"/>
                    <w:jc w:val="left"/>
                    <w:textAlignment w:val="center"/>
                    <w:rPr>
                      <w:color w:val="000000"/>
                    </w:rPr>
                  </w:pPr>
                  <w:r>
                    <w:rPr>
                      <w:color w:val="000000"/>
                      <w:kern w:val="0"/>
                      <w:lang w:bidi="ar"/>
                    </w:rPr>
                    <w:t>16. 黑短脚鹎</w:t>
                  </w:r>
                  <w:r>
                    <w:rPr>
                      <w:rFonts w:hint="eastAsia"/>
                      <w:color w:val="000000"/>
                      <w:kern w:val="0"/>
                      <w:lang w:bidi="ar"/>
                    </w:rPr>
                    <w:t xml:space="preserve"> </w:t>
                  </w:r>
                  <w:r>
                    <w:rPr>
                      <w:i/>
                      <w:iCs/>
                      <w:color w:val="000000"/>
                      <w:kern w:val="0"/>
                      <w:lang w:bidi="ar"/>
                    </w:rPr>
                    <w:t>Hypsipetes leucocephalus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97188">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21923">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AFED8">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2952C">
                  <w:pPr>
                    <w:widowControl/>
                    <w:spacing w:line="288" w:lineRule="auto"/>
                    <w:jc w:val="center"/>
                    <w:textAlignment w:val="center"/>
                    <w:rPr>
                      <w:color w:val="000000"/>
                    </w:rPr>
                  </w:pPr>
                  <w:r>
                    <w:rPr>
                      <w:color w:val="000000"/>
                      <w:kern w:val="0"/>
                      <w:lang w:bidi="ar"/>
                    </w:rPr>
                    <w:t>LC</w:t>
                  </w:r>
                </w:p>
              </w:tc>
            </w:tr>
            <w:tr w14:paraId="0843C180">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7FD7C">
                  <w:pPr>
                    <w:widowControl/>
                    <w:spacing w:line="288" w:lineRule="auto"/>
                    <w:jc w:val="left"/>
                    <w:textAlignment w:val="center"/>
                    <w:rPr>
                      <w:color w:val="000000"/>
                    </w:rPr>
                  </w:pPr>
                  <w:r>
                    <w:rPr>
                      <w:b/>
                      <w:color w:val="000000"/>
                      <w:kern w:val="0"/>
                      <w:lang w:bidi="ar"/>
                    </w:rPr>
                    <w:t>伯劳科 Laniidae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815A4">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7595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F6BE8">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8021D">
                  <w:pPr>
                    <w:spacing w:line="288" w:lineRule="auto"/>
                    <w:jc w:val="center"/>
                    <w:rPr>
                      <w:color w:val="000000"/>
                    </w:rPr>
                  </w:pPr>
                </w:p>
              </w:tc>
            </w:tr>
            <w:tr w14:paraId="0A0E003F">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D1EBC">
                  <w:pPr>
                    <w:widowControl/>
                    <w:spacing w:line="288" w:lineRule="auto"/>
                    <w:jc w:val="left"/>
                    <w:textAlignment w:val="center"/>
                    <w:rPr>
                      <w:color w:val="000000"/>
                    </w:rPr>
                  </w:pPr>
                  <w:r>
                    <w:rPr>
                      <w:color w:val="000000"/>
                      <w:kern w:val="0"/>
                      <w:lang w:bidi="ar"/>
                    </w:rPr>
                    <w:t>17. 棕背伯劳</w:t>
                  </w:r>
                  <w:r>
                    <w:rPr>
                      <w:rFonts w:hint="eastAsia"/>
                      <w:color w:val="000000"/>
                      <w:kern w:val="0"/>
                      <w:lang w:bidi="ar"/>
                    </w:rPr>
                    <w:t xml:space="preserve"> </w:t>
                  </w:r>
                  <w:r>
                    <w:rPr>
                      <w:i/>
                      <w:iCs/>
                      <w:color w:val="000000"/>
                      <w:kern w:val="0"/>
                      <w:lang w:bidi="ar"/>
                    </w:rPr>
                    <w:t>Lanius schach</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115C0">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38BEC">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B131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3DC8C">
                  <w:pPr>
                    <w:widowControl/>
                    <w:spacing w:line="288" w:lineRule="auto"/>
                    <w:jc w:val="center"/>
                    <w:textAlignment w:val="center"/>
                    <w:rPr>
                      <w:color w:val="000000"/>
                    </w:rPr>
                  </w:pPr>
                  <w:r>
                    <w:rPr>
                      <w:color w:val="000000"/>
                      <w:kern w:val="0"/>
                      <w:lang w:bidi="ar"/>
                    </w:rPr>
                    <w:t>LC</w:t>
                  </w:r>
                </w:p>
              </w:tc>
            </w:tr>
            <w:tr w14:paraId="4E36F8BA">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2007E">
                  <w:pPr>
                    <w:widowControl/>
                    <w:spacing w:line="288" w:lineRule="auto"/>
                    <w:jc w:val="left"/>
                    <w:textAlignment w:val="center"/>
                    <w:rPr>
                      <w:color w:val="000000"/>
                    </w:rPr>
                  </w:pPr>
                  <w:r>
                    <w:rPr>
                      <w:b/>
                      <w:color w:val="000000"/>
                      <w:kern w:val="0"/>
                      <w:lang w:bidi="ar"/>
                    </w:rPr>
                    <w:t>卷尾科 Dicruridae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D4511">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574E3">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54028">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2B3EE">
                  <w:pPr>
                    <w:spacing w:line="288" w:lineRule="auto"/>
                    <w:jc w:val="center"/>
                    <w:rPr>
                      <w:color w:val="000000"/>
                    </w:rPr>
                  </w:pPr>
                </w:p>
              </w:tc>
            </w:tr>
            <w:tr w14:paraId="0D360067">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F82E9">
                  <w:pPr>
                    <w:widowControl/>
                    <w:spacing w:line="288" w:lineRule="auto"/>
                    <w:jc w:val="left"/>
                    <w:textAlignment w:val="center"/>
                    <w:rPr>
                      <w:color w:val="000000"/>
                    </w:rPr>
                  </w:pPr>
                  <w:r>
                    <w:rPr>
                      <w:color w:val="000000"/>
                      <w:kern w:val="0"/>
                      <w:lang w:bidi="ar"/>
                    </w:rPr>
                    <w:t>18. 黑卷尾</w:t>
                  </w:r>
                  <w:r>
                    <w:rPr>
                      <w:rFonts w:hint="eastAsia"/>
                      <w:color w:val="000000"/>
                      <w:kern w:val="0"/>
                      <w:lang w:bidi="ar"/>
                    </w:rPr>
                    <w:t xml:space="preserve"> </w:t>
                  </w:r>
                  <w:r>
                    <w:rPr>
                      <w:i/>
                      <w:iCs/>
                      <w:color w:val="000000"/>
                      <w:kern w:val="0"/>
                      <w:lang w:bidi="ar"/>
                    </w:rPr>
                    <w:t>Dicrurus macrocercus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6B9E5">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41381">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DE7FA">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FC117">
                  <w:pPr>
                    <w:widowControl/>
                    <w:spacing w:line="288" w:lineRule="auto"/>
                    <w:jc w:val="center"/>
                    <w:textAlignment w:val="center"/>
                    <w:rPr>
                      <w:color w:val="000000"/>
                    </w:rPr>
                  </w:pPr>
                  <w:r>
                    <w:rPr>
                      <w:color w:val="000000"/>
                      <w:kern w:val="0"/>
                      <w:lang w:bidi="ar"/>
                    </w:rPr>
                    <w:t>LC</w:t>
                  </w:r>
                </w:p>
              </w:tc>
            </w:tr>
            <w:tr w14:paraId="27D1F567">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A7BE8">
                  <w:pPr>
                    <w:widowControl/>
                    <w:spacing w:line="288" w:lineRule="auto"/>
                    <w:jc w:val="left"/>
                    <w:textAlignment w:val="center"/>
                    <w:rPr>
                      <w:color w:val="000000"/>
                    </w:rPr>
                  </w:pPr>
                  <w:r>
                    <w:rPr>
                      <w:b/>
                      <w:color w:val="000000"/>
                      <w:kern w:val="0"/>
                      <w:lang w:bidi="ar"/>
                    </w:rPr>
                    <w:t>鸦科 Corvidae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4AB91">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DAB94">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79800">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54F2F">
                  <w:pPr>
                    <w:spacing w:line="288" w:lineRule="auto"/>
                    <w:jc w:val="center"/>
                    <w:rPr>
                      <w:color w:val="000000"/>
                    </w:rPr>
                  </w:pPr>
                </w:p>
              </w:tc>
            </w:tr>
            <w:tr w14:paraId="4B02300E">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ED3867">
                  <w:pPr>
                    <w:widowControl/>
                    <w:spacing w:line="288" w:lineRule="auto"/>
                    <w:jc w:val="left"/>
                    <w:textAlignment w:val="center"/>
                    <w:rPr>
                      <w:color w:val="000000"/>
                    </w:rPr>
                  </w:pPr>
                  <w:r>
                    <w:rPr>
                      <w:color w:val="000000"/>
                      <w:kern w:val="0"/>
                      <w:lang w:bidi="ar"/>
                    </w:rPr>
                    <w:t>19. 星鸦</w:t>
                  </w:r>
                  <w:r>
                    <w:rPr>
                      <w:rFonts w:hint="eastAsia"/>
                      <w:color w:val="000000"/>
                      <w:kern w:val="0"/>
                      <w:lang w:bidi="ar"/>
                    </w:rPr>
                    <w:t xml:space="preserve"> </w:t>
                  </w:r>
                  <w:r>
                    <w:rPr>
                      <w:i/>
                      <w:iCs/>
                      <w:color w:val="000000"/>
                      <w:kern w:val="0"/>
                      <w:lang w:bidi="ar"/>
                    </w:rPr>
                    <w:t>Nucifraga caryocatactes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C260C">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2FEA3">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245C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D108D">
                  <w:pPr>
                    <w:widowControl/>
                    <w:spacing w:line="288" w:lineRule="auto"/>
                    <w:jc w:val="center"/>
                    <w:textAlignment w:val="center"/>
                    <w:rPr>
                      <w:color w:val="000000"/>
                    </w:rPr>
                  </w:pPr>
                  <w:r>
                    <w:rPr>
                      <w:color w:val="000000"/>
                      <w:kern w:val="0"/>
                      <w:lang w:bidi="ar"/>
                    </w:rPr>
                    <w:t>LC</w:t>
                  </w:r>
                </w:p>
              </w:tc>
            </w:tr>
            <w:tr w14:paraId="7BE98FD4">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4FE82">
                  <w:pPr>
                    <w:widowControl/>
                    <w:spacing w:line="288" w:lineRule="auto"/>
                    <w:jc w:val="left"/>
                    <w:textAlignment w:val="center"/>
                    <w:rPr>
                      <w:color w:val="000000"/>
                    </w:rPr>
                  </w:pPr>
                  <w:r>
                    <w:rPr>
                      <w:color w:val="000000"/>
                      <w:kern w:val="0"/>
                      <w:lang w:bidi="ar"/>
                    </w:rPr>
                    <w:t>20. 红嘴蓝鹊</w:t>
                  </w:r>
                  <w:r>
                    <w:rPr>
                      <w:rFonts w:hint="eastAsia"/>
                      <w:color w:val="000000"/>
                      <w:kern w:val="0"/>
                      <w:lang w:bidi="ar"/>
                    </w:rPr>
                    <w:t xml:space="preserve"> </w:t>
                  </w:r>
                  <w:r>
                    <w:rPr>
                      <w:i/>
                      <w:iCs/>
                      <w:color w:val="000000"/>
                      <w:kern w:val="0"/>
                      <w:lang w:bidi="ar"/>
                    </w:rPr>
                    <w:t>Urocissa erythrorhyncha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DC314">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EC47A">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97E74">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6895F">
                  <w:pPr>
                    <w:widowControl/>
                    <w:spacing w:line="288" w:lineRule="auto"/>
                    <w:jc w:val="center"/>
                    <w:textAlignment w:val="center"/>
                    <w:rPr>
                      <w:color w:val="000000"/>
                    </w:rPr>
                  </w:pPr>
                  <w:r>
                    <w:rPr>
                      <w:color w:val="000000"/>
                      <w:kern w:val="0"/>
                      <w:lang w:bidi="ar"/>
                    </w:rPr>
                    <w:t>LC</w:t>
                  </w:r>
                </w:p>
              </w:tc>
            </w:tr>
            <w:tr w14:paraId="44583E6D">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6DEE8">
                  <w:pPr>
                    <w:widowControl/>
                    <w:spacing w:line="288" w:lineRule="auto"/>
                    <w:jc w:val="left"/>
                    <w:textAlignment w:val="center"/>
                    <w:rPr>
                      <w:color w:val="000000"/>
                    </w:rPr>
                  </w:pPr>
                  <w:r>
                    <w:rPr>
                      <w:color w:val="000000"/>
                      <w:kern w:val="0"/>
                      <w:lang w:bidi="ar"/>
                    </w:rPr>
                    <w:t>21. 喜鹊</w:t>
                  </w:r>
                  <w:r>
                    <w:rPr>
                      <w:rFonts w:hint="eastAsia"/>
                      <w:color w:val="000000"/>
                      <w:kern w:val="0"/>
                      <w:lang w:bidi="ar"/>
                    </w:rPr>
                    <w:t xml:space="preserve"> </w:t>
                  </w:r>
                  <w:r>
                    <w:rPr>
                      <w:i/>
                      <w:iCs/>
                      <w:color w:val="000000"/>
                      <w:kern w:val="0"/>
                      <w:lang w:bidi="ar"/>
                    </w:rPr>
                    <w:t>Pica pica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70E7F">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9BE2F">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93B97">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172FF">
                  <w:pPr>
                    <w:widowControl/>
                    <w:spacing w:line="288" w:lineRule="auto"/>
                    <w:jc w:val="center"/>
                    <w:textAlignment w:val="center"/>
                    <w:rPr>
                      <w:color w:val="000000"/>
                    </w:rPr>
                  </w:pPr>
                  <w:r>
                    <w:rPr>
                      <w:color w:val="000000"/>
                      <w:kern w:val="0"/>
                      <w:lang w:bidi="ar"/>
                    </w:rPr>
                    <w:t>LC</w:t>
                  </w:r>
                </w:p>
              </w:tc>
            </w:tr>
            <w:tr w14:paraId="3046BCA4">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5B9D6">
                  <w:pPr>
                    <w:widowControl/>
                    <w:spacing w:line="288" w:lineRule="auto"/>
                    <w:jc w:val="left"/>
                    <w:textAlignment w:val="center"/>
                    <w:rPr>
                      <w:color w:val="000000"/>
                    </w:rPr>
                  </w:pPr>
                  <w:r>
                    <w:rPr>
                      <w:color w:val="000000"/>
                      <w:kern w:val="0"/>
                      <w:lang w:bidi="ar"/>
                    </w:rPr>
                    <w:t>22. 大嘴乌鸦</w:t>
                  </w:r>
                  <w:r>
                    <w:rPr>
                      <w:rFonts w:hint="eastAsia"/>
                      <w:color w:val="000000"/>
                      <w:kern w:val="0"/>
                      <w:lang w:bidi="ar"/>
                    </w:rPr>
                    <w:t xml:space="preserve"> </w:t>
                  </w:r>
                  <w:r>
                    <w:rPr>
                      <w:i/>
                      <w:iCs/>
                      <w:color w:val="000000"/>
                      <w:kern w:val="0"/>
                      <w:lang w:bidi="ar"/>
                    </w:rPr>
                    <w:t>Corvus macrorhynchos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A00348">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99657">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C0EED">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FDEA3">
                  <w:pPr>
                    <w:widowControl/>
                    <w:spacing w:line="288" w:lineRule="auto"/>
                    <w:jc w:val="center"/>
                    <w:textAlignment w:val="center"/>
                    <w:rPr>
                      <w:color w:val="000000"/>
                    </w:rPr>
                  </w:pPr>
                  <w:r>
                    <w:rPr>
                      <w:color w:val="000000"/>
                      <w:kern w:val="0"/>
                      <w:lang w:bidi="ar"/>
                    </w:rPr>
                    <w:t>LC</w:t>
                  </w:r>
                </w:p>
              </w:tc>
            </w:tr>
            <w:tr w14:paraId="3FC92D02">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000BC">
                  <w:pPr>
                    <w:widowControl/>
                    <w:spacing w:line="288" w:lineRule="auto"/>
                    <w:jc w:val="left"/>
                    <w:textAlignment w:val="center"/>
                    <w:rPr>
                      <w:color w:val="000000"/>
                    </w:rPr>
                  </w:pPr>
                  <w:r>
                    <w:rPr>
                      <w:b/>
                      <w:color w:val="000000"/>
                      <w:kern w:val="0"/>
                      <w:lang w:bidi="ar"/>
                    </w:rPr>
                    <w:t>鹟科 Muscicapidae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F2085">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C9157">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41F67">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1B66B">
                  <w:pPr>
                    <w:spacing w:line="288" w:lineRule="auto"/>
                    <w:jc w:val="center"/>
                    <w:rPr>
                      <w:color w:val="000000"/>
                    </w:rPr>
                  </w:pPr>
                </w:p>
              </w:tc>
            </w:tr>
            <w:tr w14:paraId="63988A0C">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7AF8D">
                  <w:pPr>
                    <w:widowControl/>
                    <w:spacing w:line="288" w:lineRule="auto"/>
                    <w:jc w:val="left"/>
                    <w:textAlignment w:val="center"/>
                    <w:rPr>
                      <w:color w:val="000000"/>
                    </w:rPr>
                  </w:pPr>
                  <w:r>
                    <w:rPr>
                      <w:color w:val="000000"/>
                      <w:kern w:val="0"/>
                      <w:lang w:bidi="ar"/>
                    </w:rPr>
                    <w:t>23. 黑喉石鵖</w:t>
                  </w:r>
                  <w:r>
                    <w:rPr>
                      <w:rFonts w:hint="eastAsia"/>
                      <w:color w:val="000000"/>
                      <w:kern w:val="0"/>
                      <w:lang w:bidi="ar"/>
                    </w:rPr>
                    <w:t xml:space="preserve"> </w:t>
                  </w:r>
                  <w:r>
                    <w:rPr>
                      <w:i/>
                      <w:iCs/>
                      <w:color w:val="000000"/>
                      <w:kern w:val="0"/>
                      <w:lang w:bidi="ar"/>
                    </w:rPr>
                    <w:t>Saxicola torquata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A74B1">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F5361">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924B6">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4FBA3">
                  <w:pPr>
                    <w:widowControl/>
                    <w:spacing w:line="288" w:lineRule="auto"/>
                    <w:jc w:val="center"/>
                    <w:textAlignment w:val="center"/>
                    <w:rPr>
                      <w:color w:val="000000"/>
                    </w:rPr>
                  </w:pPr>
                  <w:r>
                    <w:rPr>
                      <w:color w:val="000000"/>
                      <w:kern w:val="0"/>
                      <w:lang w:bidi="ar"/>
                    </w:rPr>
                    <w:t>NR</w:t>
                  </w:r>
                </w:p>
              </w:tc>
            </w:tr>
            <w:tr w14:paraId="18657F41">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A1C23">
                  <w:pPr>
                    <w:widowControl/>
                    <w:spacing w:line="288" w:lineRule="auto"/>
                    <w:jc w:val="left"/>
                    <w:textAlignment w:val="center"/>
                    <w:rPr>
                      <w:color w:val="000000"/>
                    </w:rPr>
                  </w:pPr>
                  <w:r>
                    <w:rPr>
                      <w:color w:val="000000"/>
                      <w:kern w:val="0"/>
                      <w:lang w:bidi="ar"/>
                    </w:rPr>
                    <w:t>24. 灰林鵖</w:t>
                  </w:r>
                  <w:r>
                    <w:rPr>
                      <w:rFonts w:hint="eastAsia"/>
                      <w:color w:val="000000"/>
                      <w:kern w:val="0"/>
                      <w:lang w:bidi="ar"/>
                    </w:rPr>
                    <w:t xml:space="preserve"> </w:t>
                  </w:r>
                  <w:r>
                    <w:rPr>
                      <w:i/>
                      <w:iCs/>
                      <w:color w:val="000000"/>
                      <w:kern w:val="0"/>
                      <w:lang w:bidi="ar"/>
                    </w:rPr>
                    <w:t>Saxicola ferrea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62E54">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2EC11">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4803A">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EBD2C">
                  <w:pPr>
                    <w:widowControl/>
                    <w:spacing w:line="288" w:lineRule="auto"/>
                    <w:jc w:val="center"/>
                    <w:textAlignment w:val="center"/>
                    <w:rPr>
                      <w:color w:val="000000"/>
                    </w:rPr>
                  </w:pPr>
                  <w:r>
                    <w:rPr>
                      <w:color w:val="000000"/>
                      <w:kern w:val="0"/>
                      <w:lang w:bidi="ar"/>
                    </w:rPr>
                    <w:t>LC</w:t>
                  </w:r>
                </w:p>
              </w:tc>
            </w:tr>
            <w:tr w14:paraId="0A2C2FE8">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9A617">
                  <w:pPr>
                    <w:widowControl/>
                    <w:spacing w:line="288" w:lineRule="auto"/>
                    <w:jc w:val="left"/>
                    <w:textAlignment w:val="center"/>
                    <w:rPr>
                      <w:color w:val="000000"/>
                    </w:rPr>
                  </w:pPr>
                  <w:r>
                    <w:rPr>
                      <w:b/>
                      <w:color w:val="000000"/>
                      <w:kern w:val="0"/>
                      <w:lang w:bidi="ar"/>
                    </w:rPr>
                    <w:t>噪鹛科 Leiothrichidae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332D3">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CDB8C">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7CF54">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9AF78">
                  <w:pPr>
                    <w:spacing w:line="288" w:lineRule="auto"/>
                    <w:jc w:val="center"/>
                    <w:rPr>
                      <w:color w:val="000000"/>
                    </w:rPr>
                  </w:pPr>
                </w:p>
              </w:tc>
            </w:tr>
            <w:tr w14:paraId="7EBB6BC7">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E7190">
                  <w:pPr>
                    <w:widowControl/>
                    <w:spacing w:line="288" w:lineRule="auto"/>
                    <w:jc w:val="left"/>
                    <w:textAlignment w:val="center"/>
                    <w:rPr>
                      <w:color w:val="000000"/>
                    </w:rPr>
                  </w:pPr>
                  <w:r>
                    <w:rPr>
                      <w:color w:val="000000"/>
                      <w:kern w:val="0"/>
                      <w:lang w:bidi="ar"/>
                    </w:rPr>
                    <w:t>25. 白颊噪鹛</w:t>
                  </w:r>
                  <w:r>
                    <w:rPr>
                      <w:rFonts w:hint="eastAsia"/>
                      <w:color w:val="000000"/>
                      <w:kern w:val="0"/>
                      <w:lang w:bidi="ar"/>
                    </w:rPr>
                    <w:t xml:space="preserve"> </w:t>
                  </w:r>
                  <w:r>
                    <w:rPr>
                      <w:i/>
                      <w:iCs/>
                      <w:color w:val="000000"/>
                      <w:kern w:val="0"/>
                      <w:lang w:bidi="ar"/>
                    </w:rPr>
                    <w:t>Pterorhinus sannio</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43C27">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5DB8E">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3692F">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88ED5">
                  <w:pPr>
                    <w:widowControl/>
                    <w:spacing w:line="288" w:lineRule="auto"/>
                    <w:jc w:val="center"/>
                    <w:textAlignment w:val="center"/>
                    <w:rPr>
                      <w:color w:val="000000"/>
                    </w:rPr>
                  </w:pPr>
                  <w:r>
                    <w:rPr>
                      <w:color w:val="000000"/>
                      <w:kern w:val="0"/>
                      <w:lang w:bidi="ar"/>
                    </w:rPr>
                    <w:t>LC</w:t>
                  </w:r>
                </w:p>
              </w:tc>
            </w:tr>
            <w:tr w14:paraId="5C27BCA1">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FE6A4">
                  <w:pPr>
                    <w:widowControl/>
                    <w:spacing w:line="288" w:lineRule="auto"/>
                    <w:jc w:val="left"/>
                    <w:textAlignment w:val="center"/>
                    <w:rPr>
                      <w:color w:val="000000"/>
                    </w:rPr>
                  </w:pPr>
                  <w:r>
                    <w:rPr>
                      <w:color w:val="000000"/>
                      <w:kern w:val="0"/>
                      <w:lang w:bidi="ar"/>
                    </w:rPr>
                    <w:t>26. 蓝翅希鹛</w:t>
                  </w:r>
                  <w:r>
                    <w:rPr>
                      <w:rFonts w:hint="eastAsia"/>
                      <w:color w:val="000000"/>
                      <w:kern w:val="0"/>
                      <w:lang w:bidi="ar"/>
                    </w:rPr>
                    <w:t xml:space="preserve"> </w:t>
                  </w:r>
                  <w:r>
                    <w:rPr>
                      <w:i/>
                      <w:iCs/>
                      <w:color w:val="000000"/>
                      <w:kern w:val="0"/>
                      <w:lang w:bidi="ar"/>
                    </w:rPr>
                    <w:t>Minla cyanouroptera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4C380">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E0AEE">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31030">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55216">
                  <w:pPr>
                    <w:widowControl/>
                    <w:spacing w:line="288" w:lineRule="auto"/>
                    <w:jc w:val="center"/>
                    <w:textAlignment w:val="center"/>
                    <w:rPr>
                      <w:color w:val="000000"/>
                    </w:rPr>
                  </w:pPr>
                  <w:r>
                    <w:rPr>
                      <w:color w:val="000000"/>
                      <w:kern w:val="0"/>
                      <w:lang w:bidi="ar"/>
                    </w:rPr>
                    <w:t>LC</w:t>
                  </w:r>
                </w:p>
              </w:tc>
            </w:tr>
            <w:tr w14:paraId="17729862">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457BB">
                  <w:pPr>
                    <w:widowControl/>
                    <w:spacing w:line="288" w:lineRule="auto"/>
                    <w:jc w:val="left"/>
                    <w:textAlignment w:val="center"/>
                    <w:rPr>
                      <w:color w:val="000000"/>
                    </w:rPr>
                  </w:pPr>
                  <w:r>
                    <w:rPr>
                      <w:b/>
                      <w:color w:val="000000"/>
                      <w:kern w:val="0"/>
                      <w:lang w:bidi="ar"/>
                    </w:rPr>
                    <w:t>柳莺科 Phylloscopidae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ECE04">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A0185">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0ADF2">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EDEC3">
                  <w:pPr>
                    <w:spacing w:line="288" w:lineRule="auto"/>
                    <w:jc w:val="center"/>
                    <w:rPr>
                      <w:color w:val="000000"/>
                    </w:rPr>
                  </w:pPr>
                </w:p>
              </w:tc>
            </w:tr>
            <w:tr w14:paraId="680E0510">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7FF09">
                  <w:pPr>
                    <w:widowControl/>
                    <w:spacing w:line="288" w:lineRule="auto"/>
                    <w:jc w:val="left"/>
                    <w:textAlignment w:val="center"/>
                    <w:rPr>
                      <w:color w:val="000000"/>
                    </w:rPr>
                  </w:pPr>
                  <w:r>
                    <w:rPr>
                      <w:color w:val="000000"/>
                      <w:kern w:val="0"/>
                      <w:lang w:bidi="ar"/>
                    </w:rPr>
                    <w:t>27. 黄眉柳莺</w:t>
                  </w:r>
                  <w:r>
                    <w:rPr>
                      <w:rFonts w:hint="eastAsia"/>
                      <w:color w:val="000000"/>
                      <w:kern w:val="0"/>
                      <w:lang w:bidi="ar"/>
                    </w:rPr>
                    <w:t xml:space="preserve"> </w:t>
                  </w:r>
                  <w:r>
                    <w:rPr>
                      <w:i/>
                      <w:iCs/>
                      <w:color w:val="000000"/>
                      <w:kern w:val="0"/>
                      <w:lang w:bidi="ar"/>
                    </w:rPr>
                    <w:t>Phylloscopus inornatus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F966A">
                  <w:pPr>
                    <w:widowControl/>
                    <w:spacing w:line="288" w:lineRule="auto"/>
                    <w:jc w:val="center"/>
                    <w:textAlignment w:val="center"/>
                    <w:rPr>
                      <w:color w:val="000000"/>
                    </w:rPr>
                  </w:pPr>
                  <w:r>
                    <w:rPr>
                      <w:color w:val="000000"/>
                      <w:kern w:val="0"/>
                      <w:lang w:bidi="ar"/>
                    </w:rPr>
                    <w:t>W</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94AF2">
                  <w:pPr>
                    <w:widowControl/>
                    <w:spacing w:line="288" w:lineRule="auto"/>
                    <w:jc w:val="center"/>
                    <w:textAlignment w:val="center"/>
                    <w:rPr>
                      <w:color w:val="000000"/>
                    </w:rPr>
                  </w:pPr>
                  <w:r>
                    <w:rPr>
                      <w:color w:val="000000"/>
                      <w:kern w:val="0"/>
                      <w:lang w:bidi="ar"/>
                    </w:rPr>
                    <w:t>古北</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36294">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20D1C">
                  <w:pPr>
                    <w:widowControl/>
                    <w:spacing w:line="288" w:lineRule="auto"/>
                    <w:jc w:val="center"/>
                    <w:textAlignment w:val="center"/>
                    <w:rPr>
                      <w:color w:val="000000"/>
                    </w:rPr>
                  </w:pPr>
                  <w:r>
                    <w:rPr>
                      <w:color w:val="000000"/>
                      <w:kern w:val="0"/>
                      <w:lang w:bidi="ar"/>
                    </w:rPr>
                    <w:t>LC</w:t>
                  </w:r>
                </w:p>
              </w:tc>
            </w:tr>
            <w:tr w14:paraId="18E21051">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9BAF7">
                  <w:pPr>
                    <w:widowControl/>
                    <w:spacing w:line="288" w:lineRule="auto"/>
                    <w:jc w:val="left"/>
                    <w:textAlignment w:val="center"/>
                    <w:rPr>
                      <w:color w:val="000000"/>
                    </w:rPr>
                  </w:pPr>
                  <w:r>
                    <w:rPr>
                      <w:color w:val="000000"/>
                      <w:kern w:val="0"/>
                      <w:lang w:bidi="ar"/>
                    </w:rPr>
                    <w:t>28. 黄腰柳莺</w:t>
                  </w:r>
                  <w:r>
                    <w:rPr>
                      <w:rFonts w:hint="eastAsia"/>
                      <w:color w:val="000000"/>
                      <w:kern w:val="0"/>
                      <w:lang w:bidi="ar"/>
                    </w:rPr>
                    <w:t xml:space="preserve"> </w:t>
                  </w:r>
                  <w:r>
                    <w:rPr>
                      <w:i/>
                      <w:iCs/>
                      <w:color w:val="000000"/>
                      <w:kern w:val="0"/>
                      <w:lang w:bidi="ar"/>
                    </w:rPr>
                    <w:t>Phylloscopus proregulus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68C4EB">
                  <w:pPr>
                    <w:widowControl/>
                    <w:spacing w:line="288" w:lineRule="auto"/>
                    <w:jc w:val="center"/>
                    <w:textAlignment w:val="center"/>
                    <w:rPr>
                      <w:color w:val="000000"/>
                    </w:rPr>
                  </w:pPr>
                  <w:r>
                    <w:rPr>
                      <w:color w:val="000000"/>
                      <w:kern w:val="0"/>
                      <w:lang w:bidi="ar"/>
                    </w:rPr>
                    <w:t>W</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5F947">
                  <w:pPr>
                    <w:widowControl/>
                    <w:spacing w:line="288" w:lineRule="auto"/>
                    <w:jc w:val="center"/>
                    <w:textAlignment w:val="center"/>
                    <w:rPr>
                      <w:color w:val="000000"/>
                    </w:rPr>
                  </w:pPr>
                  <w:r>
                    <w:rPr>
                      <w:color w:val="000000"/>
                      <w:kern w:val="0"/>
                      <w:lang w:bidi="ar"/>
                    </w:rPr>
                    <w:t>古北</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735C5">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468D9">
                  <w:pPr>
                    <w:widowControl/>
                    <w:spacing w:line="288" w:lineRule="auto"/>
                    <w:jc w:val="center"/>
                    <w:textAlignment w:val="center"/>
                    <w:rPr>
                      <w:color w:val="000000"/>
                    </w:rPr>
                  </w:pPr>
                  <w:r>
                    <w:rPr>
                      <w:color w:val="000000"/>
                      <w:kern w:val="0"/>
                      <w:lang w:bidi="ar"/>
                    </w:rPr>
                    <w:t>LC</w:t>
                  </w:r>
                </w:p>
              </w:tc>
            </w:tr>
            <w:tr w14:paraId="4141A945">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61655">
                  <w:pPr>
                    <w:widowControl/>
                    <w:spacing w:line="288" w:lineRule="auto"/>
                    <w:jc w:val="left"/>
                    <w:textAlignment w:val="center"/>
                    <w:rPr>
                      <w:color w:val="000000"/>
                    </w:rPr>
                  </w:pPr>
                  <w:r>
                    <w:rPr>
                      <w:b/>
                      <w:color w:val="000000"/>
                      <w:kern w:val="0"/>
                      <w:lang w:bidi="ar"/>
                    </w:rPr>
                    <w:t>梅花雀科 Estrildidae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5F218">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0E6A3">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D16A9">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BE33C">
                  <w:pPr>
                    <w:spacing w:line="288" w:lineRule="auto"/>
                    <w:jc w:val="center"/>
                    <w:rPr>
                      <w:color w:val="000000"/>
                    </w:rPr>
                  </w:pPr>
                </w:p>
              </w:tc>
            </w:tr>
            <w:tr w14:paraId="6991411C">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79EBF">
                  <w:pPr>
                    <w:widowControl/>
                    <w:spacing w:line="288" w:lineRule="auto"/>
                    <w:jc w:val="left"/>
                    <w:textAlignment w:val="center"/>
                    <w:rPr>
                      <w:color w:val="000000"/>
                    </w:rPr>
                  </w:pPr>
                  <w:r>
                    <w:rPr>
                      <w:color w:val="000000"/>
                      <w:kern w:val="0"/>
                      <w:lang w:bidi="ar"/>
                    </w:rPr>
                    <w:t>29. 白腰文鸟</w:t>
                  </w:r>
                  <w:r>
                    <w:rPr>
                      <w:rFonts w:hint="eastAsia"/>
                      <w:color w:val="000000"/>
                      <w:kern w:val="0"/>
                      <w:lang w:bidi="ar"/>
                    </w:rPr>
                    <w:t xml:space="preserve"> </w:t>
                  </w:r>
                  <w:r>
                    <w:rPr>
                      <w:i/>
                      <w:iCs/>
                      <w:color w:val="000000"/>
                      <w:kern w:val="0"/>
                      <w:lang w:bidi="ar"/>
                    </w:rPr>
                    <w:t>Lonchura striata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85BC9">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3E404">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E678E">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05605">
                  <w:pPr>
                    <w:widowControl/>
                    <w:spacing w:line="288" w:lineRule="auto"/>
                    <w:jc w:val="center"/>
                    <w:textAlignment w:val="center"/>
                    <w:rPr>
                      <w:color w:val="000000"/>
                    </w:rPr>
                  </w:pPr>
                  <w:r>
                    <w:rPr>
                      <w:color w:val="000000"/>
                      <w:kern w:val="0"/>
                      <w:lang w:bidi="ar"/>
                    </w:rPr>
                    <w:t>LC</w:t>
                  </w:r>
                </w:p>
              </w:tc>
            </w:tr>
            <w:tr w14:paraId="56195AB3">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934A7">
                  <w:pPr>
                    <w:widowControl/>
                    <w:spacing w:line="288" w:lineRule="auto"/>
                    <w:jc w:val="left"/>
                    <w:textAlignment w:val="center"/>
                    <w:rPr>
                      <w:color w:val="000000"/>
                    </w:rPr>
                  </w:pPr>
                  <w:r>
                    <w:rPr>
                      <w:b/>
                      <w:color w:val="000000"/>
                      <w:kern w:val="0"/>
                      <w:lang w:bidi="ar"/>
                    </w:rPr>
                    <w:t>雀科 Passeridae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51E1D">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28CA1">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DFD6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08C8B">
                  <w:pPr>
                    <w:spacing w:line="288" w:lineRule="auto"/>
                    <w:jc w:val="center"/>
                    <w:rPr>
                      <w:color w:val="000000"/>
                    </w:rPr>
                  </w:pPr>
                </w:p>
              </w:tc>
            </w:tr>
            <w:tr w14:paraId="09B28822">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06CE6">
                  <w:pPr>
                    <w:widowControl/>
                    <w:spacing w:line="288" w:lineRule="auto"/>
                    <w:jc w:val="left"/>
                    <w:textAlignment w:val="center"/>
                    <w:rPr>
                      <w:color w:val="000000"/>
                    </w:rPr>
                  </w:pPr>
                  <w:r>
                    <w:rPr>
                      <w:color w:val="000000"/>
                      <w:kern w:val="0"/>
                      <w:lang w:bidi="ar"/>
                    </w:rPr>
                    <w:t>30. 麻雀</w:t>
                  </w:r>
                  <w:r>
                    <w:rPr>
                      <w:rFonts w:hint="eastAsia"/>
                      <w:color w:val="000000"/>
                      <w:kern w:val="0"/>
                      <w:lang w:bidi="ar"/>
                    </w:rPr>
                    <w:t xml:space="preserve"> </w:t>
                  </w:r>
                  <w:r>
                    <w:rPr>
                      <w:i/>
                      <w:iCs/>
                      <w:color w:val="000000"/>
                      <w:kern w:val="0"/>
                      <w:lang w:bidi="ar"/>
                    </w:rPr>
                    <w:t>Passer montanus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AEC37">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1CB52">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AE6E0">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212C4">
                  <w:pPr>
                    <w:widowControl/>
                    <w:spacing w:line="288" w:lineRule="auto"/>
                    <w:jc w:val="center"/>
                    <w:textAlignment w:val="center"/>
                    <w:rPr>
                      <w:color w:val="000000"/>
                    </w:rPr>
                  </w:pPr>
                  <w:r>
                    <w:rPr>
                      <w:color w:val="000000"/>
                      <w:kern w:val="0"/>
                      <w:lang w:bidi="ar"/>
                    </w:rPr>
                    <w:t>LC</w:t>
                  </w:r>
                </w:p>
              </w:tc>
            </w:tr>
            <w:tr w14:paraId="5749AB2C">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D7E11">
                  <w:pPr>
                    <w:widowControl/>
                    <w:spacing w:line="288" w:lineRule="auto"/>
                    <w:jc w:val="left"/>
                    <w:textAlignment w:val="center"/>
                    <w:rPr>
                      <w:color w:val="000000"/>
                    </w:rPr>
                  </w:pPr>
                  <w:r>
                    <w:rPr>
                      <w:color w:val="000000"/>
                      <w:kern w:val="0"/>
                      <w:lang w:bidi="ar"/>
                    </w:rPr>
                    <w:t>31. 山麻雀</w:t>
                  </w:r>
                  <w:r>
                    <w:rPr>
                      <w:rFonts w:hint="eastAsia"/>
                      <w:color w:val="000000"/>
                      <w:kern w:val="0"/>
                      <w:lang w:bidi="ar"/>
                    </w:rPr>
                    <w:t xml:space="preserve"> </w:t>
                  </w:r>
                  <w:r>
                    <w:rPr>
                      <w:i/>
                      <w:iCs/>
                      <w:color w:val="000000"/>
                      <w:kern w:val="0"/>
                      <w:lang w:bidi="ar"/>
                    </w:rPr>
                    <w:t>Passer rutilans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CD565">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99619">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64E49">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34AF5">
                  <w:pPr>
                    <w:widowControl/>
                    <w:spacing w:line="288" w:lineRule="auto"/>
                    <w:jc w:val="center"/>
                    <w:textAlignment w:val="center"/>
                    <w:rPr>
                      <w:color w:val="000000"/>
                    </w:rPr>
                  </w:pPr>
                  <w:r>
                    <w:rPr>
                      <w:color w:val="000000"/>
                      <w:kern w:val="0"/>
                      <w:lang w:bidi="ar"/>
                    </w:rPr>
                    <w:t>LC</w:t>
                  </w:r>
                </w:p>
              </w:tc>
            </w:tr>
            <w:tr w14:paraId="57BD72DD">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5AFF9">
                  <w:pPr>
                    <w:widowControl/>
                    <w:spacing w:line="288" w:lineRule="auto"/>
                    <w:jc w:val="left"/>
                    <w:textAlignment w:val="center"/>
                    <w:rPr>
                      <w:color w:val="000000"/>
                    </w:rPr>
                  </w:pPr>
                  <w:r>
                    <w:rPr>
                      <w:b/>
                      <w:color w:val="000000"/>
                      <w:kern w:val="0"/>
                      <w:lang w:bidi="ar"/>
                    </w:rPr>
                    <w:t>雀鹛科 Alcippeidae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07C3E">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9AB22">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3BED9">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986D1">
                  <w:pPr>
                    <w:spacing w:line="288" w:lineRule="auto"/>
                    <w:jc w:val="center"/>
                    <w:rPr>
                      <w:color w:val="000000"/>
                    </w:rPr>
                  </w:pPr>
                </w:p>
              </w:tc>
            </w:tr>
            <w:tr w14:paraId="36064B4D">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BAA0E">
                  <w:pPr>
                    <w:widowControl/>
                    <w:spacing w:line="288" w:lineRule="auto"/>
                    <w:jc w:val="left"/>
                    <w:textAlignment w:val="center"/>
                    <w:rPr>
                      <w:color w:val="000000"/>
                    </w:rPr>
                  </w:pPr>
                  <w:r>
                    <w:rPr>
                      <w:color w:val="000000"/>
                      <w:kern w:val="0"/>
                      <w:lang w:bidi="ar"/>
                    </w:rPr>
                    <w:t>32 灰眶雀鹛</w:t>
                  </w:r>
                  <w:r>
                    <w:rPr>
                      <w:rFonts w:hint="eastAsia"/>
                      <w:color w:val="000000"/>
                      <w:kern w:val="0"/>
                      <w:lang w:bidi="ar"/>
                    </w:rPr>
                    <w:t xml:space="preserve"> </w:t>
                  </w:r>
                  <w:r>
                    <w:rPr>
                      <w:i/>
                      <w:iCs/>
                      <w:color w:val="000000"/>
                      <w:kern w:val="0"/>
                      <w:lang w:bidi="ar"/>
                    </w:rPr>
                    <w:t>Alcippe morrisonia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87662">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6DEAF">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CD53C">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7AEEA">
                  <w:pPr>
                    <w:widowControl/>
                    <w:spacing w:line="288" w:lineRule="auto"/>
                    <w:jc w:val="center"/>
                    <w:textAlignment w:val="center"/>
                    <w:rPr>
                      <w:color w:val="000000"/>
                    </w:rPr>
                  </w:pPr>
                  <w:r>
                    <w:rPr>
                      <w:color w:val="000000"/>
                      <w:kern w:val="0"/>
                      <w:lang w:bidi="ar"/>
                    </w:rPr>
                    <w:t>NR</w:t>
                  </w:r>
                </w:p>
              </w:tc>
            </w:tr>
            <w:tr w14:paraId="6744E38E">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B3578">
                  <w:pPr>
                    <w:widowControl/>
                    <w:spacing w:line="288" w:lineRule="auto"/>
                    <w:jc w:val="left"/>
                    <w:textAlignment w:val="center"/>
                    <w:rPr>
                      <w:color w:val="000000"/>
                    </w:rPr>
                  </w:pPr>
                  <w:r>
                    <w:rPr>
                      <w:b/>
                      <w:color w:val="000000"/>
                      <w:kern w:val="0"/>
                      <w:lang w:bidi="ar"/>
                    </w:rPr>
                    <w:t>扇尾莺科 Cisticolidae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6AC24">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94BA4">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A56F7">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2FF6F">
                  <w:pPr>
                    <w:spacing w:line="288" w:lineRule="auto"/>
                    <w:jc w:val="center"/>
                    <w:rPr>
                      <w:color w:val="000000"/>
                    </w:rPr>
                  </w:pPr>
                </w:p>
              </w:tc>
            </w:tr>
            <w:tr w14:paraId="140E1230">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56E5A">
                  <w:pPr>
                    <w:widowControl/>
                    <w:spacing w:line="288" w:lineRule="auto"/>
                    <w:jc w:val="left"/>
                    <w:textAlignment w:val="center"/>
                    <w:rPr>
                      <w:color w:val="000000"/>
                    </w:rPr>
                  </w:pPr>
                  <w:r>
                    <w:rPr>
                      <w:color w:val="000000"/>
                      <w:kern w:val="0"/>
                      <w:lang w:bidi="ar"/>
                    </w:rPr>
                    <w:t>33. 纯色山鹪莺</w:t>
                  </w:r>
                  <w:r>
                    <w:rPr>
                      <w:rFonts w:hint="eastAsia"/>
                      <w:color w:val="000000"/>
                      <w:kern w:val="0"/>
                      <w:lang w:bidi="ar"/>
                    </w:rPr>
                    <w:t xml:space="preserve"> </w:t>
                  </w:r>
                  <w:r>
                    <w:rPr>
                      <w:i/>
                      <w:iCs/>
                      <w:color w:val="000000"/>
                      <w:kern w:val="0"/>
                      <w:lang w:bidi="ar"/>
                    </w:rPr>
                    <w:t>Prinia inornata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59654">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E1C09">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73DC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52BF5">
                  <w:pPr>
                    <w:widowControl/>
                    <w:spacing w:line="288" w:lineRule="auto"/>
                    <w:jc w:val="center"/>
                    <w:textAlignment w:val="center"/>
                    <w:rPr>
                      <w:color w:val="000000"/>
                    </w:rPr>
                  </w:pPr>
                  <w:r>
                    <w:rPr>
                      <w:color w:val="000000"/>
                      <w:kern w:val="0"/>
                      <w:lang w:bidi="ar"/>
                    </w:rPr>
                    <w:t>LC</w:t>
                  </w:r>
                </w:p>
              </w:tc>
            </w:tr>
            <w:tr w14:paraId="443C2B5B">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B2C4B">
                  <w:pPr>
                    <w:widowControl/>
                    <w:spacing w:line="288" w:lineRule="auto"/>
                    <w:jc w:val="left"/>
                    <w:textAlignment w:val="center"/>
                    <w:rPr>
                      <w:color w:val="000000"/>
                    </w:rPr>
                  </w:pPr>
                  <w:r>
                    <w:rPr>
                      <w:b/>
                      <w:color w:val="000000"/>
                      <w:kern w:val="0"/>
                      <w:lang w:bidi="ar"/>
                    </w:rPr>
                    <w:t>绣眼鸟科 Zosteropidae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E14E0">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2E57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C2D7D">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E83B3">
                  <w:pPr>
                    <w:spacing w:line="288" w:lineRule="auto"/>
                    <w:jc w:val="center"/>
                    <w:rPr>
                      <w:color w:val="000000"/>
                    </w:rPr>
                  </w:pPr>
                </w:p>
              </w:tc>
            </w:tr>
            <w:tr w14:paraId="07351C23">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F9EC9">
                  <w:pPr>
                    <w:widowControl/>
                    <w:spacing w:line="288" w:lineRule="auto"/>
                    <w:jc w:val="left"/>
                    <w:textAlignment w:val="center"/>
                    <w:rPr>
                      <w:color w:val="000000"/>
                    </w:rPr>
                  </w:pPr>
                  <w:r>
                    <w:rPr>
                      <w:color w:val="000000"/>
                      <w:kern w:val="0"/>
                      <w:lang w:bidi="ar"/>
                    </w:rPr>
                    <w:t>34. 灰腹绣眼鸟</w:t>
                  </w:r>
                  <w:r>
                    <w:rPr>
                      <w:rFonts w:hint="eastAsia"/>
                      <w:color w:val="000000"/>
                      <w:kern w:val="0"/>
                      <w:lang w:bidi="ar"/>
                    </w:rPr>
                    <w:t xml:space="preserve"> </w:t>
                  </w:r>
                  <w:r>
                    <w:rPr>
                      <w:i/>
                      <w:iCs/>
                      <w:color w:val="000000"/>
                      <w:kern w:val="0"/>
                      <w:lang w:bidi="ar"/>
                    </w:rPr>
                    <w:t>Zosterops palpebrosus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B3434">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468FB">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51EB4">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9DD2B">
                  <w:pPr>
                    <w:widowControl/>
                    <w:spacing w:line="288" w:lineRule="auto"/>
                    <w:jc w:val="center"/>
                    <w:textAlignment w:val="center"/>
                    <w:rPr>
                      <w:color w:val="000000"/>
                    </w:rPr>
                  </w:pPr>
                  <w:r>
                    <w:rPr>
                      <w:color w:val="000000"/>
                      <w:kern w:val="0"/>
                      <w:lang w:bidi="ar"/>
                    </w:rPr>
                    <w:t>LC</w:t>
                  </w:r>
                </w:p>
              </w:tc>
            </w:tr>
            <w:tr w14:paraId="744E3C34">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47A42">
                  <w:pPr>
                    <w:widowControl/>
                    <w:spacing w:line="288" w:lineRule="auto"/>
                    <w:jc w:val="left"/>
                    <w:textAlignment w:val="center"/>
                    <w:rPr>
                      <w:color w:val="000000"/>
                    </w:rPr>
                  </w:pPr>
                  <w:r>
                    <w:rPr>
                      <w:color w:val="000000"/>
                      <w:kern w:val="0"/>
                      <w:lang w:bidi="ar"/>
                    </w:rPr>
                    <w:t>35. 白领凤鹛</w:t>
                  </w:r>
                  <w:r>
                    <w:rPr>
                      <w:rFonts w:hint="eastAsia"/>
                      <w:color w:val="000000"/>
                      <w:kern w:val="0"/>
                      <w:lang w:bidi="ar"/>
                    </w:rPr>
                    <w:t xml:space="preserve"> </w:t>
                  </w:r>
                  <w:r>
                    <w:rPr>
                      <w:i/>
                      <w:iCs/>
                      <w:color w:val="000000"/>
                      <w:kern w:val="0"/>
                      <w:lang w:bidi="ar"/>
                    </w:rPr>
                    <w:t>Yuhina diademata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751D5">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2E587">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D934D">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3E601">
                  <w:pPr>
                    <w:widowControl/>
                    <w:spacing w:line="288" w:lineRule="auto"/>
                    <w:jc w:val="center"/>
                    <w:textAlignment w:val="center"/>
                    <w:rPr>
                      <w:color w:val="000000"/>
                    </w:rPr>
                  </w:pPr>
                  <w:r>
                    <w:rPr>
                      <w:color w:val="000000"/>
                      <w:kern w:val="0"/>
                      <w:lang w:bidi="ar"/>
                    </w:rPr>
                    <w:t>LC</w:t>
                  </w:r>
                </w:p>
              </w:tc>
            </w:tr>
            <w:tr w14:paraId="29D37F59">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83B8F">
                  <w:pPr>
                    <w:widowControl/>
                    <w:spacing w:line="288" w:lineRule="auto"/>
                    <w:jc w:val="left"/>
                    <w:textAlignment w:val="center"/>
                    <w:rPr>
                      <w:color w:val="000000"/>
                    </w:rPr>
                  </w:pPr>
                  <w:r>
                    <w:rPr>
                      <w:b/>
                      <w:color w:val="000000"/>
                      <w:kern w:val="0"/>
                      <w:lang w:bidi="ar"/>
                    </w:rPr>
                    <w:t>鸫科 Turdidae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EA2C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477B2">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CC5CC">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1A081C">
                  <w:pPr>
                    <w:spacing w:line="288" w:lineRule="auto"/>
                    <w:jc w:val="center"/>
                    <w:rPr>
                      <w:color w:val="000000"/>
                    </w:rPr>
                  </w:pPr>
                </w:p>
              </w:tc>
            </w:tr>
            <w:tr w14:paraId="298F93A8">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AF2E3">
                  <w:pPr>
                    <w:widowControl/>
                    <w:spacing w:line="288" w:lineRule="auto"/>
                    <w:jc w:val="left"/>
                    <w:textAlignment w:val="center"/>
                    <w:rPr>
                      <w:color w:val="000000"/>
                    </w:rPr>
                  </w:pPr>
                  <w:r>
                    <w:rPr>
                      <w:color w:val="000000"/>
                      <w:kern w:val="0"/>
                      <w:lang w:bidi="ar"/>
                    </w:rPr>
                    <w:t>36. 乌鸫</w:t>
                  </w:r>
                  <w:r>
                    <w:rPr>
                      <w:rFonts w:hint="eastAsia"/>
                      <w:color w:val="000000"/>
                      <w:kern w:val="0"/>
                      <w:lang w:bidi="ar"/>
                    </w:rPr>
                    <w:t xml:space="preserve"> </w:t>
                  </w:r>
                  <w:r>
                    <w:rPr>
                      <w:i/>
                      <w:iCs/>
                      <w:color w:val="000000"/>
                      <w:kern w:val="0"/>
                      <w:lang w:bidi="ar"/>
                    </w:rPr>
                    <w:t>Turdus merula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E1449">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7D34B">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00191">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25091">
                  <w:pPr>
                    <w:widowControl/>
                    <w:spacing w:line="288" w:lineRule="auto"/>
                    <w:jc w:val="center"/>
                    <w:textAlignment w:val="center"/>
                    <w:rPr>
                      <w:color w:val="000000"/>
                    </w:rPr>
                  </w:pPr>
                  <w:r>
                    <w:rPr>
                      <w:color w:val="000000"/>
                      <w:kern w:val="0"/>
                      <w:lang w:bidi="ar"/>
                    </w:rPr>
                    <w:t>LC</w:t>
                  </w:r>
                </w:p>
              </w:tc>
            </w:tr>
            <w:tr w14:paraId="7A97F87F">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16BCC">
                  <w:pPr>
                    <w:widowControl/>
                    <w:spacing w:line="288" w:lineRule="auto"/>
                    <w:jc w:val="left"/>
                    <w:textAlignment w:val="center"/>
                    <w:rPr>
                      <w:color w:val="000000"/>
                    </w:rPr>
                  </w:pPr>
                  <w:r>
                    <w:rPr>
                      <w:color w:val="000000"/>
                      <w:kern w:val="0"/>
                      <w:lang w:bidi="ar"/>
                    </w:rPr>
                    <w:t>37. 斑鸫</w:t>
                  </w:r>
                  <w:r>
                    <w:rPr>
                      <w:rFonts w:hint="eastAsia"/>
                      <w:color w:val="000000"/>
                      <w:kern w:val="0"/>
                      <w:lang w:bidi="ar"/>
                    </w:rPr>
                    <w:t xml:space="preserve"> </w:t>
                  </w:r>
                  <w:r>
                    <w:rPr>
                      <w:i/>
                      <w:iCs/>
                      <w:color w:val="000000"/>
                      <w:kern w:val="0"/>
                      <w:lang w:bidi="ar"/>
                    </w:rPr>
                    <w:t>Turdus naumanni</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D2AED">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536A3">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71DAA">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8A8DD">
                  <w:pPr>
                    <w:widowControl/>
                    <w:spacing w:line="288" w:lineRule="auto"/>
                    <w:jc w:val="center"/>
                    <w:textAlignment w:val="center"/>
                    <w:rPr>
                      <w:color w:val="000000"/>
                    </w:rPr>
                  </w:pPr>
                  <w:r>
                    <w:rPr>
                      <w:color w:val="000000"/>
                      <w:kern w:val="0"/>
                      <w:lang w:bidi="ar"/>
                    </w:rPr>
                    <w:t>LC</w:t>
                  </w:r>
                </w:p>
              </w:tc>
            </w:tr>
            <w:tr w14:paraId="585E7DD3">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9CB2A">
                  <w:pPr>
                    <w:widowControl/>
                    <w:spacing w:line="288" w:lineRule="auto"/>
                    <w:jc w:val="left"/>
                    <w:textAlignment w:val="center"/>
                    <w:rPr>
                      <w:color w:val="000000"/>
                    </w:rPr>
                  </w:pPr>
                  <w:r>
                    <w:rPr>
                      <w:b/>
                      <w:color w:val="000000"/>
                      <w:kern w:val="0"/>
                      <w:lang w:bidi="ar"/>
                    </w:rPr>
                    <w:t>燕雀科 Fringillidae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369D2">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073FD">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F1DF3">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17CEA">
                  <w:pPr>
                    <w:spacing w:line="288" w:lineRule="auto"/>
                    <w:jc w:val="center"/>
                    <w:rPr>
                      <w:color w:val="000000"/>
                    </w:rPr>
                  </w:pPr>
                </w:p>
              </w:tc>
            </w:tr>
            <w:tr w14:paraId="0A62E13A">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3E67D">
                  <w:pPr>
                    <w:widowControl/>
                    <w:spacing w:line="288" w:lineRule="auto"/>
                    <w:jc w:val="left"/>
                    <w:textAlignment w:val="center"/>
                    <w:rPr>
                      <w:color w:val="000000"/>
                    </w:rPr>
                  </w:pPr>
                  <w:r>
                    <w:rPr>
                      <w:color w:val="000000"/>
                      <w:kern w:val="0"/>
                      <w:lang w:bidi="ar"/>
                    </w:rPr>
                    <w:t>38. 燕雀</w:t>
                  </w:r>
                  <w:r>
                    <w:rPr>
                      <w:rFonts w:hint="eastAsia"/>
                      <w:color w:val="000000"/>
                      <w:kern w:val="0"/>
                      <w:lang w:bidi="ar"/>
                    </w:rPr>
                    <w:t xml:space="preserve"> </w:t>
                  </w:r>
                  <w:r>
                    <w:rPr>
                      <w:i/>
                      <w:iCs/>
                      <w:color w:val="000000"/>
                      <w:kern w:val="0"/>
                      <w:lang w:bidi="ar"/>
                    </w:rPr>
                    <w:t>Fringilla montifringilla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3476E">
                  <w:pPr>
                    <w:widowControl/>
                    <w:spacing w:line="288" w:lineRule="auto"/>
                    <w:jc w:val="center"/>
                    <w:textAlignment w:val="center"/>
                    <w:rPr>
                      <w:color w:val="000000"/>
                    </w:rPr>
                  </w:pPr>
                  <w:r>
                    <w:rPr>
                      <w:color w:val="000000"/>
                      <w:kern w:val="0"/>
                      <w:lang w:bidi="ar"/>
                    </w:rPr>
                    <w:t>W</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F50AD">
                  <w:pPr>
                    <w:widowControl/>
                    <w:spacing w:line="288" w:lineRule="auto"/>
                    <w:jc w:val="center"/>
                    <w:textAlignment w:val="center"/>
                    <w:rPr>
                      <w:color w:val="000000"/>
                    </w:rPr>
                  </w:pPr>
                  <w:r>
                    <w:rPr>
                      <w:color w:val="000000"/>
                      <w:kern w:val="0"/>
                      <w:lang w:bidi="ar"/>
                    </w:rPr>
                    <w:t>古北</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74D1E">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A8BC5">
                  <w:pPr>
                    <w:widowControl/>
                    <w:spacing w:line="288" w:lineRule="auto"/>
                    <w:jc w:val="center"/>
                    <w:textAlignment w:val="center"/>
                    <w:rPr>
                      <w:color w:val="000000"/>
                    </w:rPr>
                  </w:pPr>
                  <w:r>
                    <w:rPr>
                      <w:color w:val="000000"/>
                      <w:kern w:val="0"/>
                      <w:lang w:bidi="ar"/>
                    </w:rPr>
                    <w:t>LC</w:t>
                  </w:r>
                </w:p>
              </w:tc>
            </w:tr>
            <w:tr w14:paraId="09DDAD28">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9A4B3">
                  <w:pPr>
                    <w:widowControl/>
                    <w:spacing w:line="288" w:lineRule="auto"/>
                    <w:jc w:val="left"/>
                    <w:textAlignment w:val="center"/>
                    <w:rPr>
                      <w:color w:val="000000"/>
                    </w:rPr>
                  </w:pPr>
                  <w:r>
                    <w:rPr>
                      <w:color w:val="000000"/>
                      <w:kern w:val="0"/>
                      <w:lang w:bidi="ar"/>
                    </w:rPr>
                    <w:t>39. 黑头金翅雀</w:t>
                  </w:r>
                  <w:r>
                    <w:rPr>
                      <w:rFonts w:hint="eastAsia"/>
                      <w:color w:val="000000"/>
                      <w:kern w:val="0"/>
                      <w:lang w:bidi="ar"/>
                    </w:rPr>
                    <w:t xml:space="preserve"> </w:t>
                  </w:r>
                  <w:r>
                    <w:rPr>
                      <w:i/>
                      <w:iCs/>
                      <w:color w:val="000000"/>
                      <w:kern w:val="0"/>
                      <w:lang w:bidi="ar"/>
                    </w:rPr>
                    <w:t>Chloris ambigua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AE48C">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6A41E">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CB237">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CF7C9">
                  <w:pPr>
                    <w:widowControl/>
                    <w:spacing w:line="288" w:lineRule="auto"/>
                    <w:jc w:val="center"/>
                    <w:textAlignment w:val="center"/>
                    <w:rPr>
                      <w:color w:val="000000"/>
                    </w:rPr>
                  </w:pPr>
                  <w:r>
                    <w:rPr>
                      <w:color w:val="000000"/>
                      <w:kern w:val="0"/>
                      <w:lang w:bidi="ar"/>
                    </w:rPr>
                    <w:t>LC</w:t>
                  </w:r>
                </w:p>
              </w:tc>
            </w:tr>
            <w:tr w14:paraId="62365FD7">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92BA5">
                  <w:pPr>
                    <w:widowControl/>
                    <w:spacing w:line="288" w:lineRule="auto"/>
                    <w:jc w:val="left"/>
                    <w:textAlignment w:val="center"/>
                    <w:rPr>
                      <w:color w:val="000000"/>
                    </w:rPr>
                  </w:pPr>
                  <w:r>
                    <w:rPr>
                      <w:b/>
                      <w:color w:val="000000"/>
                      <w:kern w:val="0"/>
                      <w:lang w:bidi="ar"/>
                    </w:rPr>
                    <w:t>山雀科 Paridae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20FC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6724A">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5E73D">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79509">
                  <w:pPr>
                    <w:spacing w:line="288" w:lineRule="auto"/>
                    <w:jc w:val="center"/>
                    <w:rPr>
                      <w:color w:val="000000"/>
                    </w:rPr>
                  </w:pPr>
                </w:p>
              </w:tc>
            </w:tr>
            <w:tr w14:paraId="1B4FDD4C">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793952">
                  <w:pPr>
                    <w:widowControl/>
                    <w:spacing w:line="288" w:lineRule="auto"/>
                    <w:jc w:val="left"/>
                    <w:textAlignment w:val="center"/>
                    <w:rPr>
                      <w:color w:val="000000"/>
                    </w:rPr>
                  </w:pPr>
                  <w:r>
                    <w:rPr>
                      <w:color w:val="000000"/>
                      <w:kern w:val="0"/>
                      <w:lang w:bidi="ar"/>
                    </w:rPr>
                    <w:t>40. 大山雀</w:t>
                  </w:r>
                  <w:r>
                    <w:rPr>
                      <w:rFonts w:hint="eastAsia"/>
                      <w:color w:val="000000"/>
                      <w:kern w:val="0"/>
                      <w:lang w:bidi="ar"/>
                    </w:rPr>
                    <w:t xml:space="preserve"> </w:t>
                  </w:r>
                  <w:r>
                    <w:rPr>
                      <w:i/>
                      <w:iCs/>
                      <w:color w:val="000000"/>
                      <w:kern w:val="0"/>
                      <w:lang w:bidi="ar"/>
                    </w:rPr>
                    <w:t>Parus major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2960C">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F4F43">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71C98A">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11F04">
                  <w:pPr>
                    <w:widowControl/>
                    <w:spacing w:line="288" w:lineRule="auto"/>
                    <w:jc w:val="center"/>
                    <w:textAlignment w:val="center"/>
                    <w:rPr>
                      <w:color w:val="000000"/>
                    </w:rPr>
                  </w:pPr>
                  <w:r>
                    <w:rPr>
                      <w:color w:val="000000"/>
                      <w:kern w:val="0"/>
                      <w:lang w:bidi="ar"/>
                    </w:rPr>
                    <w:t>NR</w:t>
                  </w:r>
                </w:p>
              </w:tc>
            </w:tr>
            <w:tr w14:paraId="46374D0C">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C26DD">
                  <w:pPr>
                    <w:widowControl/>
                    <w:spacing w:line="288" w:lineRule="auto"/>
                    <w:jc w:val="left"/>
                    <w:textAlignment w:val="center"/>
                    <w:rPr>
                      <w:color w:val="000000"/>
                    </w:rPr>
                  </w:pPr>
                  <w:r>
                    <w:rPr>
                      <w:color w:val="000000"/>
                      <w:kern w:val="0"/>
                      <w:lang w:bidi="ar"/>
                    </w:rPr>
                    <w:t>41. 绿背山雀</w:t>
                  </w:r>
                  <w:r>
                    <w:rPr>
                      <w:rFonts w:hint="eastAsia"/>
                      <w:color w:val="000000"/>
                      <w:kern w:val="0"/>
                      <w:lang w:bidi="ar"/>
                    </w:rPr>
                    <w:t xml:space="preserve"> </w:t>
                  </w:r>
                  <w:r>
                    <w:rPr>
                      <w:i/>
                      <w:iCs/>
                      <w:color w:val="000000"/>
                      <w:kern w:val="0"/>
                      <w:lang w:bidi="ar"/>
                    </w:rPr>
                    <w:t>Parus monticolus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C71B0">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85C603">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8C366">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F983C">
                  <w:pPr>
                    <w:widowControl/>
                    <w:spacing w:line="288" w:lineRule="auto"/>
                    <w:jc w:val="center"/>
                    <w:textAlignment w:val="center"/>
                    <w:rPr>
                      <w:color w:val="000000"/>
                    </w:rPr>
                  </w:pPr>
                  <w:r>
                    <w:rPr>
                      <w:color w:val="000000"/>
                      <w:kern w:val="0"/>
                      <w:lang w:bidi="ar"/>
                    </w:rPr>
                    <w:t>LC</w:t>
                  </w:r>
                </w:p>
              </w:tc>
            </w:tr>
            <w:tr w14:paraId="47C3810E">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BEBC5">
                  <w:pPr>
                    <w:widowControl/>
                    <w:spacing w:line="288" w:lineRule="auto"/>
                    <w:jc w:val="left"/>
                    <w:textAlignment w:val="center"/>
                    <w:rPr>
                      <w:color w:val="000000"/>
                    </w:rPr>
                  </w:pPr>
                  <w:r>
                    <w:rPr>
                      <w:b/>
                      <w:color w:val="000000"/>
                      <w:kern w:val="0"/>
                      <w:lang w:bidi="ar"/>
                    </w:rPr>
                    <w:t>䴓科 Sittidae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DED64">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6333B">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A0A47">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09DA7">
                  <w:pPr>
                    <w:spacing w:line="288" w:lineRule="auto"/>
                    <w:jc w:val="center"/>
                    <w:rPr>
                      <w:color w:val="000000"/>
                    </w:rPr>
                  </w:pPr>
                </w:p>
              </w:tc>
            </w:tr>
            <w:tr w14:paraId="7C66F3F1">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8189B">
                  <w:pPr>
                    <w:widowControl/>
                    <w:spacing w:line="288" w:lineRule="auto"/>
                    <w:jc w:val="left"/>
                    <w:textAlignment w:val="center"/>
                    <w:rPr>
                      <w:color w:val="000000"/>
                    </w:rPr>
                  </w:pPr>
                  <w:r>
                    <w:rPr>
                      <w:color w:val="000000"/>
                      <w:kern w:val="0"/>
                      <w:lang w:bidi="ar"/>
                    </w:rPr>
                    <w:t>42. 栗臀䴓</w:t>
                  </w:r>
                  <w:r>
                    <w:rPr>
                      <w:rFonts w:hint="eastAsia"/>
                      <w:color w:val="000000"/>
                      <w:kern w:val="0"/>
                      <w:lang w:bidi="ar"/>
                    </w:rPr>
                    <w:t xml:space="preserve"> </w:t>
                  </w:r>
                  <w:r>
                    <w:rPr>
                      <w:i/>
                      <w:iCs/>
                      <w:color w:val="000000"/>
                      <w:kern w:val="0"/>
                      <w:lang w:bidi="ar"/>
                    </w:rPr>
                    <w:t>Sitta nagaensis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FFD55">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F1953">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33BB4">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B102C">
                  <w:pPr>
                    <w:widowControl/>
                    <w:spacing w:line="288" w:lineRule="auto"/>
                    <w:jc w:val="center"/>
                    <w:textAlignment w:val="center"/>
                    <w:rPr>
                      <w:color w:val="000000"/>
                    </w:rPr>
                  </w:pPr>
                  <w:r>
                    <w:rPr>
                      <w:color w:val="000000"/>
                      <w:kern w:val="0"/>
                      <w:lang w:bidi="ar"/>
                    </w:rPr>
                    <w:t>LC</w:t>
                  </w:r>
                </w:p>
              </w:tc>
            </w:tr>
            <w:tr w14:paraId="1625714C">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55544">
                  <w:pPr>
                    <w:widowControl/>
                    <w:spacing w:line="288" w:lineRule="auto"/>
                    <w:jc w:val="left"/>
                    <w:textAlignment w:val="center"/>
                    <w:rPr>
                      <w:color w:val="000000"/>
                    </w:rPr>
                  </w:pPr>
                  <w:r>
                    <w:rPr>
                      <w:b/>
                      <w:color w:val="000000"/>
                      <w:kern w:val="0"/>
                      <w:lang w:bidi="ar"/>
                    </w:rPr>
                    <w:t>鹀科 Emberizidae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3F80C">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DF450">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68760">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984D0">
                  <w:pPr>
                    <w:spacing w:line="288" w:lineRule="auto"/>
                    <w:jc w:val="center"/>
                    <w:rPr>
                      <w:color w:val="000000"/>
                    </w:rPr>
                  </w:pPr>
                </w:p>
              </w:tc>
            </w:tr>
            <w:tr w14:paraId="02060153">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8877AF">
                  <w:pPr>
                    <w:widowControl/>
                    <w:spacing w:line="288" w:lineRule="auto"/>
                    <w:jc w:val="left"/>
                    <w:textAlignment w:val="center"/>
                    <w:rPr>
                      <w:color w:val="000000"/>
                    </w:rPr>
                  </w:pPr>
                  <w:r>
                    <w:rPr>
                      <w:color w:val="000000"/>
                      <w:kern w:val="0"/>
                      <w:lang w:bidi="ar"/>
                    </w:rPr>
                    <w:t>43. 灰头鹀</w:t>
                  </w:r>
                  <w:r>
                    <w:rPr>
                      <w:rFonts w:hint="eastAsia"/>
                      <w:color w:val="000000"/>
                      <w:kern w:val="0"/>
                      <w:lang w:bidi="ar"/>
                    </w:rPr>
                    <w:t xml:space="preserve"> </w:t>
                  </w:r>
                  <w:r>
                    <w:rPr>
                      <w:i/>
                      <w:iCs/>
                      <w:color w:val="000000"/>
                      <w:kern w:val="0"/>
                      <w:lang w:bidi="ar"/>
                    </w:rPr>
                    <w:t>Emberiza spodocephala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8C937">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24B1E">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98498">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564AE">
                  <w:pPr>
                    <w:widowControl/>
                    <w:spacing w:line="288" w:lineRule="auto"/>
                    <w:jc w:val="center"/>
                    <w:textAlignment w:val="center"/>
                    <w:rPr>
                      <w:color w:val="000000"/>
                    </w:rPr>
                  </w:pPr>
                  <w:r>
                    <w:rPr>
                      <w:color w:val="000000"/>
                      <w:kern w:val="0"/>
                      <w:lang w:bidi="ar"/>
                    </w:rPr>
                    <w:t>LC</w:t>
                  </w:r>
                </w:p>
              </w:tc>
            </w:tr>
            <w:tr w14:paraId="498172FA">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7C480">
                  <w:pPr>
                    <w:widowControl/>
                    <w:spacing w:line="288" w:lineRule="auto"/>
                    <w:jc w:val="left"/>
                    <w:textAlignment w:val="center"/>
                    <w:rPr>
                      <w:color w:val="000000"/>
                    </w:rPr>
                  </w:pPr>
                  <w:r>
                    <w:rPr>
                      <w:color w:val="000000"/>
                      <w:kern w:val="0"/>
                      <w:lang w:bidi="ar"/>
                    </w:rPr>
                    <w:t>44. 灰眉岩鹀</w:t>
                  </w:r>
                  <w:r>
                    <w:rPr>
                      <w:rFonts w:hint="eastAsia"/>
                      <w:color w:val="000000"/>
                      <w:kern w:val="0"/>
                      <w:lang w:bidi="ar"/>
                    </w:rPr>
                    <w:t xml:space="preserve"> </w:t>
                  </w:r>
                  <w:r>
                    <w:rPr>
                      <w:i/>
                      <w:iCs/>
                      <w:color w:val="000000"/>
                      <w:kern w:val="0"/>
                      <w:lang w:bidi="ar"/>
                    </w:rPr>
                    <w:t>Emberiza cia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BFB88">
                  <w:pPr>
                    <w:widowControl/>
                    <w:spacing w:line="288" w:lineRule="auto"/>
                    <w:jc w:val="center"/>
                    <w:textAlignment w:val="center"/>
                    <w:rPr>
                      <w:color w:val="000000"/>
                    </w:rPr>
                  </w:pPr>
                  <w:r>
                    <w:rPr>
                      <w:color w:val="000000"/>
                      <w:kern w:val="0"/>
                      <w:lang w:bidi="ar"/>
                    </w:rPr>
                    <w:t>W</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20E20">
                  <w:pPr>
                    <w:widowControl/>
                    <w:spacing w:line="288" w:lineRule="auto"/>
                    <w:jc w:val="center"/>
                    <w:textAlignment w:val="center"/>
                    <w:rPr>
                      <w:color w:val="000000"/>
                    </w:rPr>
                  </w:pPr>
                  <w:r>
                    <w:rPr>
                      <w:color w:val="000000"/>
                      <w:kern w:val="0"/>
                      <w:lang w:bidi="ar"/>
                    </w:rPr>
                    <w:t>古北</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24F7D">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9C2D4">
                  <w:pPr>
                    <w:widowControl/>
                    <w:spacing w:line="288" w:lineRule="auto"/>
                    <w:jc w:val="center"/>
                    <w:textAlignment w:val="center"/>
                    <w:rPr>
                      <w:color w:val="000000"/>
                    </w:rPr>
                  </w:pPr>
                  <w:r>
                    <w:rPr>
                      <w:color w:val="000000"/>
                      <w:kern w:val="0"/>
                      <w:lang w:bidi="ar"/>
                    </w:rPr>
                    <w:t>LC</w:t>
                  </w:r>
                </w:p>
              </w:tc>
            </w:tr>
            <w:tr w14:paraId="4D8E5018">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DE167">
                  <w:pPr>
                    <w:widowControl/>
                    <w:spacing w:line="288" w:lineRule="auto"/>
                    <w:jc w:val="left"/>
                    <w:textAlignment w:val="center"/>
                    <w:rPr>
                      <w:color w:val="000000"/>
                    </w:rPr>
                  </w:pPr>
                  <w:r>
                    <w:rPr>
                      <w:color w:val="000000"/>
                      <w:kern w:val="0"/>
                      <w:lang w:bidi="ar"/>
                    </w:rPr>
                    <w:t>45. 小鹀</w:t>
                  </w:r>
                  <w:r>
                    <w:rPr>
                      <w:rFonts w:hint="eastAsia"/>
                      <w:color w:val="000000"/>
                      <w:kern w:val="0"/>
                      <w:lang w:bidi="ar"/>
                    </w:rPr>
                    <w:t xml:space="preserve"> </w:t>
                  </w:r>
                  <w:r>
                    <w:rPr>
                      <w:i/>
                      <w:iCs/>
                      <w:color w:val="000000"/>
                      <w:kern w:val="0"/>
                      <w:lang w:bidi="ar"/>
                    </w:rPr>
                    <w:t>Emberiza pusilla</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D6C82">
                  <w:pPr>
                    <w:widowControl/>
                    <w:spacing w:line="288" w:lineRule="auto"/>
                    <w:jc w:val="center"/>
                    <w:textAlignment w:val="center"/>
                    <w:rPr>
                      <w:color w:val="000000"/>
                    </w:rPr>
                  </w:pPr>
                  <w:r>
                    <w:rPr>
                      <w:color w:val="000000"/>
                      <w:kern w:val="0"/>
                      <w:lang w:bidi="ar"/>
                    </w:rPr>
                    <w:t>W</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4FEB4">
                  <w:pPr>
                    <w:widowControl/>
                    <w:spacing w:line="288" w:lineRule="auto"/>
                    <w:jc w:val="center"/>
                    <w:textAlignment w:val="center"/>
                    <w:rPr>
                      <w:color w:val="000000"/>
                    </w:rPr>
                  </w:pPr>
                  <w:r>
                    <w:rPr>
                      <w:color w:val="000000"/>
                      <w:kern w:val="0"/>
                      <w:lang w:bidi="ar"/>
                    </w:rPr>
                    <w:t>古北</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42C42">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CBF41">
                  <w:pPr>
                    <w:widowControl/>
                    <w:spacing w:line="288" w:lineRule="auto"/>
                    <w:jc w:val="center"/>
                    <w:textAlignment w:val="center"/>
                    <w:rPr>
                      <w:color w:val="000000"/>
                    </w:rPr>
                  </w:pPr>
                  <w:r>
                    <w:rPr>
                      <w:color w:val="000000"/>
                      <w:kern w:val="0"/>
                      <w:lang w:bidi="ar"/>
                    </w:rPr>
                    <w:t>LC</w:t>
                  </w:r>
                </w:p>
              </w:tc>
            </w:tr>
            <w:tr w14:paraId="1C906115">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3E82A">
                  <w:pPr>
                    <w:widowControl/>
                    <w:spacing w:line="288" w:lineRule="auto"/>
                    <w:jc w:val="left"/>
                    <w:textAlignment w:val="center"/>
                    <w:rPr>
                      <w:color w:val="000000"/>
                    </w:rPr>
                  </w:pPr>
                  <w:r>
                    <w:rPr>
                      <w:color w:val="000000"/>
                      <w:kern w:val="0"/>
                      <w:lang w:bidi="ar"/>
                    </w:rPr>
                    <w:t>46. 黄喉鹀</w:t>
                  </w:r>
                  <w:r>
                    <w:rPr>
                      <w:rFonts w:hint="eastAsia"/>
                      <w:color w:val="000000"/>
                      <w:kern w:val="0"/>
                      <w:lang w:bidi="ar"/>
                    </w:rPr>
                    <w:t xml:space="preserve"> </w:t>
                  </w:r>
                  <w:r>
                    <w:rPr>
                      <w:i/>
                      <w:iCs/>
                      <w:color w:val="000000"/>
                      <w:kern w:val="0"/>
                      <w:lang w:bidi="ar"/>
                    </w:rPr>
                    <w:t>Emberiza elegans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1FCE0">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1F57D">
                  <w:pPr>
                    <w:widowControl/>
                    <w:spacing w:line="288" w:lineRule="auto"/>
                    <w:jc w:val="center"/>
                    <w:textAlignment w:val="center"/>
                    <w:rPr>
                      <w:color w:val="000000"/>
                    </w:rPr>
                  </w:pPr>
                  <w:r>
                    <w:rPr>
                      <w:color w:val="000000"/>
                      <w:kern w:val="0"/>
                      <w:lang w:bidi="ar"/>
                    </w:rPr>
                    <w:t>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48E36">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68E95">
                  <w:pPr>
                    <w:widowControl/>
                    <w:spacing w:line="288" w:lineRule="auto"/>
                    <w:jc w:val="center"/>
                    <w:textAlignment w:val="center"/>
                    <w:rPr>
                      <w:color w:val="000000"/>
                    </w:rPr>
                  </w:pPr>
                  <w:r>
                    <w:rPr>
                      <w:color w:val="000000"/>
                      <w:kern w:val="0"/>
                      <w:lang w:bidi="ar"/>
                    </w:rPr>
                    <w:t>LC</w:t>
                  </w:r>
                </w:p>
              </w:tc>
            </w:tr>
            <w:tr w14:paraId="7C4BEA7F">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FAC77">
                  <w:pPr>
                    <w:widowControl/>
                    <w:spacing w:line="288" w:lineRule="auto"/>
                    <w:jc w:val="left"/>
                    <w:textAlignment w:val="center"/>
                    <w:rPr>
                      <w:color w:val="000000"/>
                    </w:rPr>
                  </w:pPr>
                  <w:r>
                    <w:rPr>
                      <w:b/>
                      <w:color w:val="000000"/>
                      <w:kern w:val="0"/>
                      <w:lang w:bidi="ar"/>
                    </w:rPr>
                    <w:t>长尾山雀科 Aegithalidae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EB3F0">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4C725">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C09E0">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F184E">
                  <w:pPr>
                    <w:spacing w:line="288" w:lineRule="auto"/>
                    <w:jc w:val="center"/>
                    <w:rPr>
                      <w:color w:val="000000"/>
                    </w:rPr>
                  </w:pPr>
                </w:p>
              </w:tc>
            </w:tr>
            <w:tr w14:paraId="769677DC">
              <w:tblPrEx>
                <w:tblCellMar>
                  <w:top w:w="0" w:type="dxa"/>
                  <w:left w:w="108" w:type="dxa"/>
                  <w:bottom w:w="0" w:type="dxa"/>
                  <w:right w:w="108" w:type="dxa"/>
                </w:tblCellMar>
              </w:tblPrEx>
              <w:trPr>
                <w:trHeight w:val="270" w:hRule="atLeast"/>
                <w:jc w:val="center"/>
              </w:trPr>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8AE94B">
                  <w:pPr>
                    <w:widowControl/>
                    <w:spacing w:line="288" w:lineRule="auto"/>
                    <w:jc w:val="left"/>
                    <w:textAlignment w:val="center"/>
                    <w:rPr>
                      <w:color w:val="000000"/>
                    </w:rPr>
                  </w:pPr>
                  <w:r>
                    <w:rPr>
                      <w:color w:val="000000"/>
                      <w:kern w:val="0"/>
                      <w:lang w:bidi="ar"/>
                    </w:rPr>
                    <w:t>47. 红头长尾山雀</w:t>
                  </w:r>
                  <w:r>
                    <w:rPr>
                      <w:rFonts w:hint="eastAsia"/>
                      <w:color w:val="000000"/>
                      <w:kern w:val="0"/>
                      <w:lang w:bidi="ar"/>
                    </w:rPr>
                    <w:t xml:space="preserve"> </w:t>
                  </w:r>
                  <w:r>
                    <w:rPr>
                      <w:i/>
                      <w:iCs/>
                      <w:color w:val="000000"/>
                      <w:kern w:val="0"/>
                      <w:lang w:bidi="ar"/>
                    </w:rPr>
                    <w:t>Aegithalos concinnus</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7E96E">
                  <w:pPr>
                    <w:widowControl/>
                    <w:spacing w:line="288" w:lineRule="auto"/>
                    <w:jc w:val="center"/>
                    <w:textAlignment w:val="center"/>
                    <w:rPr>
                      <w:color w:val="000000"/>
                    </w:rPr>
                  </w:pPr>
                  <w:r>
                    <w:rPr>
                      <w:color w:val="000000"/>
                      <w:kern w:val="0"/>
                      <w:lang w:bidi="ar"/>
                    </w:rPr>
                    <w:t>R</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9929E">
                  <w:pPr>
                    <w:widowControl/>
                    <w:spacing w:line="288" w:lineRule="auto"/>
                    <w:jc w:val="center"/>
                    <w:textAlignment w:val="center"/>
                    <w:rPr>
                      <w:color w:val="000000"/>
                    </w:rPr>
                  </w:pPr>
                  <w:r>
                    <w:rPr>
                      <w:color w:val="000000"/>
                      <w:kern w:val="0"/>
                      <w:lang w:bidi="ar"/>
                    </w:rPr>
                    <w:t>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50E03A">
                  <w:pPr>
                    <w:spacing w:line="288" w:lineRule="auto"/>
                    <w:jc w:val="center"/>
                    <w:rPr>
                      <w:color w:val="000000"/>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55F4F">
                  <w:pPr>
                    <w:widowControl/>
                    <w:spacing w:line="288" w:lineRule="auto"/>
                    <w:jc w:val="center"/>
                    <w:textAlignment w:val="center"/>
                    <w:rPr>
                      <w:color w:val="000000"/>
                    </w:rPr>
                  </w:pPr>
                  <w:r>
                    <w:rPr>
                      <w:color w:val="000000"/>
                      <w:kern w:val="0"/>
                      <w:lang w:bidi="ar"/>
                    </w:rPr>
                    <w:t>LC</w:t>
                  </w:r>
                </w:p>
              </w:tc>
            </w:tr>
          </w:tbl>
          <w:p w14:paraId="77D9D4BA">
            <w:pPr>
              <w:spacing w:line="360" w:lineRule="auto"/>
              <w:ind w:firstLine="559"/>
              <w:rPr>
                <w:rFonts w:hint="eastAsia"/>
                <w:sz w:val="24"/>
              </w:rPr>
            </w:pPr>
            <w:r>
              <w:rPr>
                <w:rFonts w:hint="eastAsia"/>
                <w:sz w:val="24"/>
              </w:rPr>
              <w:t>此次调查47种鸟类，有留鸟40种，占鸟类总数的85.10%；有夏候鸟2种，占鸟类总数的4.26%；有冬候鸟5种，占鸟类总数的10.64%，可见该区域鸟类组成以当地留鸟为主，该区域山地、河谷、灌丛、农田生境稳定，全年可提供食物、栖息繁殖位点，本地原生鸟类资源丰富，绝大多数鸟类可常年定居。</w:t>
            </w:r>
          </w:p>
          <w:p w14:paraId="689B2267">
            <w:pPr>
              <w:spacing w:line="360" w:lineRule="auto"/>
              <w:ind w:firstLine="559"/>
              <w:rPr>
                <w:rFonts w:hint="eastAsia" w:ascii="宋体" w:hAnsi="宋体" w:cs="宋体"/>
                <w:spacing w:val="-4"/>
                <w:sz w:val="24"/>
                <w:szCs w:val="24"/>
              </w:rPr>
            </w:pPr>
            <w:r>
              <w:rPr>
                <w:rFonts w:hint="eastAsia"/>
                <w:sz w:val="24"/>
              </w:rPr>
              <w:t>从区系成分来看，东洋界物种22种，占鸟类总数的46.81%，古北界物种5种，占鸟类总数的10.64%，广布种20种，占鸟类总数的42.55%。东洋界物种占比最高，以鹛类、山椒鸟、鹎科、凤鹛、绣眼鸟、各类林栖小型雀类为主，是云贵高原南缘干热河谷山地原生代表性鸟类，反映区域气候、植被属于东洋界亚热带山地植被类型。</w:t>
            </w:r>
          </w:p>
          <w:p w14:paraId="3C6A34DA">
            <w:pPr>
              <w:widowControl/>
              <w:spacing w:line="360" w:lineRule="auto"/>
              <w:ind w:firstLine="559"/>
              <w:rPr>
                <w:sz w:val="24"/>
                <w:szCs w:val="24"/>
              </w:rPr>
            </w:pPr>
            <w:r>
              <w:rPr>
                <w:rFonts w:hint="eastAsia"/>
                <w:sz w:val="24"/>
                <w:szCs w:val="24"/>
              </w:rPr>
              <w:t>④哺乳动物</w:t>
            </w:r>
          </w:p>
          <w:p w14:paraId="02AB8B87">
            <w:pPr>
              <w:spacing w:line="360" w:lineRule="auto"/>
              <w:ind w:firstLine="480" w:firstLineChars="200"/>
              <w:rPr>
                <w:sz w:val="24"/>
                <w:szCs w:val="24"/>
              </w:rPr>
            </w:pPr>
            <w:r>
              <w:rPr>
                <w:rFonts w:hint="eastAsia"/>
                <w:sz w:val="24"/>
                <w:szCs w:val="24"/>
              </w:rPr>
              <w:t>项目调查区域内</w:t>
            </w:r>
            <w:r>
              <w:rPr>
                <w:sz w:val="24"/>
                <w:szCs w:val="24"/>
              </w:rPr>
              <w:t>记录到的哺乳动物以小型哺乳动物为主，其中以啮齿类动物居多，常见的有赤腹松鼠、黄鼬、黄胸鼠、大足鼠、白腹鼠、云南兔等，均为当地草地和农田周边常见种类。</w:t>
            </w:r>
          </w:p>
          <w:p w14:paraId="7EB46C5E">
            <w:pPr>
              <w:numPr>
                <w:ilvl w:val="0"/>
                <w:numId w:val="8"/>
              </w:numPr>
              <w:spacing w:line="360" w:lineRule="auto"/>
              <w:ind w:firstLine="480" w:firstLineChars="200"/>
              <w:rPr>
                <w:rFonts w:hint="eastAsia"/>
                <w:sz w:val="24"/>
              </w:rPr>
            </w:pPr>
            <w:r>
              <w:rPr>
                <w:rFonts w:hint="eastAsia"/>
                <w:sz w:val="24"/>
              </w:rPr>
              <w:t>重要动物</w:t>
            </w:r>
          </w:p>
          <w:p w14:paraId="4254A9DD">
            <w:pPr>
              <w:spacing w:line="360" w:lineRule="auto"/>
              <w:ind w:firstLine="480" w:firstLineChars="200"/>
              <w:jc w:val="left"/>
              <w:rPr>
                <w:sz w:val="24"/>
              </w:rPr>
            </w:pPr>
            <w:r>
              <w:rPr>
                <w:rFonts w:hint="eastAsia"/>
                <w:sz w:val="24"/>
              </w:rPr>
              <w:t>经查询《</w:t>
            </w:r>
            <w:r>
              <w:rPr>
                <w:rFonts w:ascii="宋体" w:hAnsi="宋体" w:cs="宋体"/>
                <w:spacing w:val="-3"/>
                <w:sz w:val="24"/>
                <w:szCs w:val="24"/>
              </w:rPr>
              <w:t>国家重点保护野生</w:t>
            </w:r>
            <w:r>
              <w:rPr>
                <w:rFonts w:hint="eastAsia" w:ascii="宋体" w:hAnsi="宋体" w:cs="宋体"/>
                <w:spacing w:val="-3"/>
                <w:sz w:val="24"/>
                <w:szCs w:val="24"/>
              </w:rPr>
              <w:t>动物</w:t>
            </w:r>
            <w:r>
              <w:rPr>
                <w:rFonts w:ascii="宋体" w:hAnsi="宋体" w:cs="宋体"/>
                <w:spacing w:val="-3"/>
                <w:sz w:val="24"/>
                <w:szCs w:val="24"/>
              </w:rPr>
              <w:t>名录</w:t>
            </w:r>
            <w:r>
              <w:rPr>
                <w:rFonts w:hint="eastAsia"/>
                <w:sz w:val="24"/>
              </w:rPr>
              <w:t>》（2021年）、《云南省</w:t>
            </w:r>
            <w:r>
              <w:rPr>
                <w:rFonts w:ascii="宋体" w:hAnsi="宋体" w:cs="宋体"/>
                <w:spacing w:val="-3"/>
                <w:sz w:val="24"/>
                <w:szCs w:val="24"/>
              </w:rPr>
              <w:t>重点保护</w:t>
            </w:r>
            <w:r>
              <w:rPr>
                <w:rFonts w:hint="eastAsia" w:ascii="宋体" w:hAnsi="宋体" w:cs="宋体"/>
                <w:spacing w:val="-3"/>
                <w:sz w:val="24"/>
                <w:szCs w:val="24"/>
              </w:rPr>
              <w:t>陆生</w:t>
            </w:r>
            <w:r>
              <w:rPr>
                <w:rFonts w:ascii="宋体" w:hAnsi="宋体" w:cs="宋体"/>
                <w:spacing w:val="-3"/>
                <w:sz w:val="24"/>
                <w:szCs w:val="24"/>
              </w:rPr>
              <w:t>野生</w:t>
            </w:r>
            <w:r>
              <w:rPr>
                <w:rFonts w:hint="eastAsia" w:ascii="宋体" w:hAnsi="宋体" w:cs="宋体"/>
                <w:spacing w:val="-3"/>
                <w:sz w:val="24"/>
                <w:szCs w:val="24"/>
              </w:rPr>
              <w:t>动物</w:t>
            </w:r>
            <w:r>
              <w:rPr>
                <w:rFonts w:ascii="宋体" w:hAnsi="宋体" w:cs="宋体"/>
                <w:spacing w:val="-3"/>
                <w:sz w:val="24"/>
                <w:szCs w:val="24"/>
              </w:rPr>
              <w:t>名录</w:t>
            </w:r>
            <w:r>
              <w:rPr>
                <w:rFonts w:hint="eastAsia"/>
                <w:sz w:val="24"/>
              </w:rPr>
              <w:t>》（2023年）及《</w:t>
            </w:r>
            <w:r>
              <w:rPr>
                <w:rFonts w:hint="eastAsia"/>
                <w:spacing w:val="4"/>
                <w:sz w:val="24"/>
              </w:rPr>
              <w:t>中国生物多样性红色名录—脊椎动物卷（2020年）</w:t>
            </w:r>
            <w:r>
              <w:rPr>
                <w:rFonts w:hint="eastAsia"/>
                <w:sz w:val="24"/>
              </w:rPr>
              <w:t>》，结合</w:t>
            </w:r>
            <w:r>
              <w:rPr>
                <w:rFonts w:ascii="宋体" w:hAnsi="宋体" w:cs="宋体"/>
                <w:spacing w:val="1"/>
                <w:sz w:val="24"/>
                <w:szCs w:val="24"/>
              </w:rPr>
              <w:t>现场调查，</w:t>
            </w:r>
            <w:r>
              <w:rPr>
                <w:rFonts w:hint="eastAsia" w:ascii="宋体" w:hAnsi="宋体" w:cs="宋体"/>
                <w:spacing w:val="1"/>
                <w:sz w:val="24"/>
                <w:szCs w:val="24"/>
              </w:rPr>
              <w:t>调查范围内共分布国家二级重点保护野生动物3种，分别为普通鵟、松雀鹰、红隼</w:t>
            </w:r>
            <w:r>
              <w:rPr>
                <w:rFonts w:hint="eastAsia"/>
                <w:sz w:val="24"/>
              </w:rPr>
              <w:t>。</w:t>
            </w:r>
          </w:p>
          <w:p w14:paraId="6358892B">
            <w:pPr>
              <w:spacing w:line="360" w:lineRule="auto"/>
              <w:ind w:firstLine="478" w:firstLineChars="200"/>
              <w:rPr>
                <w:rFonts w:eastAsia="Times New Roman"/>
                <w:b/>
                <w:bCs/>
                <w:sz w:val="24"/>
                <w:szCs w:val="24"/>
              </w:rPr>
            </w:pPr>
            <w:r>
              <w:rPr>
                <w:b/>
                <w:bCs/>
                <w:spacing w:val="-1"/>
                <w:sz w:val="24"/>
                <w:szCs w:val="24"/>
              </w:rPr>
              <w:t>松雀鹰</w:t>
            </w:r>
            <w:r>
              <w:rPr>
                <w:b/>
                <w:bCs/>
                <w:spacing w:val="-56"/>
                <w:sz w:val="24"/>
                <w:szCs w:val="24"/>
              </w:rPr>
              <w:t xml:space="preserve"> </w:t>
            </w:r>
            <w:r>
              <w:rPr>
                <w:rFonts w:eastAsia="Times New Roman"/>
                <w:b/>
                <w:bCs/>
                <w:i/>
                <w:iCs/>
                <w:spacing w:val="-1"/>
                <w:sz w:val="24"/>
                <w:szCs w:val="24"/>
              </w:rPr>
              <w:t>Accipiter virgatus</w:t>
            </w:r>
          </w:p>
          <w:p w14:paraId="49E85E6F">
            <w:pPr>
              <w:spacing w:line="360" w:lineRule="auto"/>
              <w:ind w:firstLine="478"/>
              <w:rPr>
                <w:spacing w:val="-4"/>
                <w:sz w:val="24"/>
                <w:szCs w:val="24"/>
              </w:rPr>
            </w:pPr>
            <w:r>
              <w:rPr>
                <w:b/>
                <w:bCs/>
                <w:spacing w:val="-4"/>
                <w:sz w:val="24"/>
                <w:szCs w:val="24"/>
              </w:rPr>
              <w:t>俗名：</w:t>
            </w:r>
            <w:r>
              <w:rPr>
                <w:spacing w:val="-4"/>
                <w:sz w:val="24"/>
                <w:szCs w:val="24"/>
              </w:rPr>
              <w:t>鹞鹰</w:t>
            </w:r>
          </w:p>
          <w:p w14:paraId="7AC7F7FA">
            <w:pPr>
              <w:spacing w:line="360" w:lineRule="auto"/>
              <w:ind w:firstLine="478"/>
              <w:rPr>
                <w:spacing w:val="-4"/>
                <w:sz w:val="24"/>
                <w:szCs w:val="24"/>
              </w:rPr>
            </w:pPr>
            <w:r>
              <w:rPr>
                <w:rFonts w:hint="eastAsia"/>
                <w:b/>
                <w:bCs/>
                <w:spacing w:val="-4"/>
                <w:sz w:val="24"/>
                <w:szCs w:val="24"/>
              </w:rPr>
              <w:t>英文名</w:t>
            </w:r>
            <w:r>
              <w:rPr>
                <w:b/>
                <w:bCs/>
                <w:spacing w:val="-4"/>
                <w:sz w:val="24"/>
                <w:szCs w:val="24"/>
              </w:rPr>
              <w:t>：</w:t>
            </w:r>
            <w:r>
              <w:rPr>
                <w:spacing w:val="-4"/>
                <w:sz w:val="24"/>
                <w:szCs w:val="24"/>
              </w:rPr>
              <w:t>Besra Sparrow Hawk</w:t>
            </w:r>
          </w:p>
          <w:p w14:paraId="380266B9">
            <w:pPr>
              <w:spacing w:line="360" w:lineRule="auto"/>
              <w:ind w:firstLine="478"/>
              <w:rPr>
                <w:spacing w:val="-4"/>
                <w:sz w:val="24"/>
                <w:szCs w:val="24"/>
              </w:rPr>
            </w:pPr>
            <w:r>
              <w:rPr>
                <w:b/>
                <w:bCs/>
                <w:spacing w:val="-4"/>
                <w:sz w:val="24"/>
                <w:szCs w:val="24"/>
              </w:rPr>
              <w:t>形态特征：</w:t>
            </w:r>
            <w:r>
              <w:rPr>
                <w:spacing w:val="-4"/>
                <w:sz w:val="24"/>
                <w:szCs w:val="24"/>
              </w:rPr>
              <w:t>中等体型（33cm）的深色鹰。似凤头鹰但体型较小并缺少冠羽。</w:t>
            </w:r>
          </w:p>
          <w:p w14:paraId="4E93E327">
            <w:pPr>
              <w:spacing w:line="360" w:lineRule="auto"/>
              <w:ind w:firstLine="478"/>
              <w:rPr>
                <w:spacing w:val="-4"/>
                <w:sz w:val="24"/>
                <w:szCs w:val="24"/>
              </w:rPr>
            </w:pPr>
            <w:r>
              <w:rPr>
                <w:spacing w:val="-4"/>
                <w:sz w:val="24"/>
                <w:szCs w:val="24"/>
              </w:rPr>
              <w:t>成年雄鸟：上体深灰色，尾具粗横斑，下体白，两胁棕色且具褐色横斑，喉白而具黑色喉中线，有黑色髭纹。雌鸟及亚成鸟：两胁棕色少，下体多具红褐色横斑，背褐，尾褐而具深色横纹。亚成鸟胸部具纵纹。虹膜－黄色；嘴－黑色，蜡膜灰色；腿及脚－黄色。与雀鹰相似，但喉部具显著的中央喉纹；第6枚初级飞羽外翈无缺刻。两性基本相似，但雌性成鸟体形稍大，上体多褐色，下体棕褐色的斑纹更</w:t>
            </w:r>
            <w:r>
              <w:rPr>
                <w:rFonts w:hint="eastAsia"/>
                <w:spacing w:val="-4"/>
                <w:sz w:val="24"/>
                <w:szCs w:val="24"/>
              </w:rPr>
              <w:t>显著</w:t>
            </w:r>
            <w:r>
              <w:rPr>
                <w:spacing w:val="-4"/>
                <w:sz w:val="24"/>
                <w:szCs w:val="24"/>
              </w:rPr>
              <w:t>。</w:t>
            </w:r>
          </w:p>
          <w:p w14:paraId="670D5BF3">
            <w:pPr>
              <w:spacing w:line="360" w:lineRule="auto"/>
              <w:ind w:firstLine="478"/>
              <w:rPr>
                <w:spacing w:val="-4"/>
                <w:sz w:val="24"/>
                <w:szCs w:val="24"/>
              </w:rPr>
            </w:pPr>
            <w:r>
              <w:rPr>
                <w:b/>
                <w:bCs/>
                <w:spacing w:val="-4"/>
                <w:sz w:val="24"/>
                <w:szCs w:val="24"/>
              </w:rPr>
              <w:t>生态习性：</w:t>
            </w:r>
            <w:r>
              <w:rPr>
                <w:spacing w:val="-4"/>
                <w:sz w:val="24"/>
                <w:szCs w:val="24"/>
              </w:rPr>
              <w:t>栖息于山地林区，多见单个盘旋于空中或停歇在突出的枝头或枯树枝上。飞翔于高空时，两翅鼓动数次后即直线滑翔一段距离，有时作圈状翱翔。以捕食小型动物如小鸟、昆虫等为食。捕食时先用锐爪捕捉，然后用嘴撕碎，将不能消化的食物残块由口中吐出。在乔木上营巢，巢小而坚固，由树枝等筑成，每产4-5枚近白色卵。</w:t>
            </w:r>
          </w:p>
          <w:p w14:paraId="38F32ACD">
            <w:pPr>
              <w:spacing w:line="360" w:lineRule="auto"/>
              <w:ind w:firstLine="478"/>
              <w:rPr>
                <w:spacing w:val="-4"/>
                <w:sz w:val="24"/>
                <w:szCs w:val="24"/>
              </w:rPr>
            </w:pPr>
            <w:r>
              <w:rPr>
                <w:b/>
                <w:bCs/>
                <w:spacing w:val="-4"/>
                <w:sz w:val="24"/>
                <w:szCs w:val="24"/>
              </w:rPr>
              <w:t>地理分布：</w:t>
            </w:r>
            <w:r>
              <w:rPr>
                <w:spacing w:val="-4"/>
                <w:sz w:val="24"/>
                <w:szCs w:val="24"/>
              </w:rPr>
              <w:t>广布于云南全省各地，留鸟。省外分布于西藏东南部察隅，四川西部万源、秀山、峨嵋、马边，贵州东部江口、贵阳，广西，海南岛。国外在克什米尔以东的喜马拉雅山至缅甸北部繁殖，冬季迁至缅甸南部、泰国和印度支那地区越冬。</w:t>
            </w:r>
          </w:p>
          <w:p w14:paraId="25E42ABA">
            <w:pPr>
              <w:spacing w:line="360" w:lineRule="auto"/>
              <w:ind w:firstLine="478"/>
              <w:rPr>
                <w:spacing w:val="-4"/>
                <w:sz w:val="24"/>
                <w:szCs w:val="24"/>
              </w:rPr>
            </w:pPr>
            <w:r>
              <w:rPr>
                <w:b/>
                <w:bCs/>
                <w:spacing w:val="-4"/>
                <w:sz w:val="24"/>
                <w:szCs w:val="24"/>
              </w:rPr>
              <w:t>保护级别：</w:t>
            </w:r>
            <w:r>
              <w:rPr>
                <w:rFonts w:hint="eastAsia"/>
                <w:spacing w:val="-4"/>
                <w:sz w:val="24"/>
                <w:szCs w:val="24"/>
              </w:rPr>
              <w:t>《国家重点保护野生动物名录》（2021年）中列为</w:t>
            </w:r>
            <w:r>
              <w:rPr>
                <w:spacing w:val="-4"/>
                <w:sz w:val="24"/>
                <w:szCs w:val="24"/>
              </w:rPr>
              <w:t>国家</w:t>
            </w:r>
            <w:r>
              <w:rPr>
                <w:rFonts w:hint="eastAsia"/>
                <w:spacing w:val="-4"/>
                <w:sz w:val="24"/>
                <w:szCs w:val="24"/>
              </w:rPr>
              <w:t>二</w:t>
            </w:r>
            <w:r>
              <w:rPr>
                <w:spacing w:val="-4"/>
                <w:sz w:val="24"/>
                <w:szCs w:val="24"/>
              </w:rPr>
              <w:t>级重点保护野生动物。</w:t>
            </w:r>
          </w:p>
          <w:p w14:paraId="708FFA19">
            <w:pPr>
              <w:spacing w:line="360" w:lineRule="auto"/>
              <w:ind w:firstLine="478" w:firstLineChars="200"/>
              <w:rPr>
                <w:rFonts w:eastAsia="Times New Roman"/>
                <w:b/>
                <w:bCs/>
                <w:sz w:val="24"/>
                <w:szCs w:val="24"/>
              </w:rPr>
            </w:pPr>
            <w:r>
              <w:rPr>
                <w:b/>
                <w:bCs/>
                <w:spacing w:val="-1"/>
                <w:position w:val="1"/>
                <w:sz w:val="24"/>
                <w:szCs w:val="24"/>
              </w:rPr>
              <w:t>普通鵟</w:t>
            </w:r>
            <w:r>
              <w:rPr>
                <w:b/>
                <w:bCs/>
                <w:spacing w:val="-54"/>
                <w:position w:val="1"/>
                <w:sz w:val="24"/>
                <w:szCs w:val="24"/>
              </w:rPr>
              <w:t xml:space="preserve"> </w:t>
            </w:r>
            <w:r>
              <w:rPr>
                <w:rFonts w:eastAsia="Times New Roman"/>
                <w:b/>
                <w:bCs/>
                <w:i/>
                <w:iCs/>
                <w:spacing w:val="-1"/>
                <w:position w:val="1"/>
                <w:sz w:val="24"/>
                <w:szCs w:val="24"/>
              </w:rPr>
              <w:t>Buteo buteo</w:t>
            </w:r>
          </w:p>
          <w:p w14:paraId="062076CF">
            <w:pPr>
              <w:spacing w:line="360" w:lineRule="auto"/>
              <w:ind w:firstLine="478"/>
              <w:rPr>
                <w:spacing w:val="-4"/>
                <w:sz w:val="24"/>
                <w:szCs w:val="24"/>
              </w:rPr>
            </w:pPr>
            <w:r>
              <w:rPr>
                <w:b/>
                <w:bCs/>
                <w:spacing w:val="-4"/>
                <w:sz w:val="24"/>
                <w:szCs w:val="24"/>
              </w:rPr>
              <w:t>俗名：</w:t>
            </w:r>
            <w:r>
              <w:rPr>
                <w:spacing w:val="-4"/>
                <w:sz w:val="24"/>
                <w:szCs w:val="24"/>
              </w:rPr>
              <w:t>饿老鹰，土豹，奇哈（藏语）</w:t>
            </w:r>
          </w:p>
          <w:p w14:paraId="6C8B8C56">
            <w:pPr>
              <w:spacing w:line="360" w:lineRule="auto"/>
              <w:ind w:firstLine="478"/>
              <w:rPr>
                <w:spacing w:val="-4"/>
                <w:sz w:val="24"/>
                <w:szCs w:val="24"/>
              </w:rPr>
            </w:pPr>
            <w:r>
              <w:rPr>
                <w:rFonts w:hint="eastAsia"/>
                <w:b/>
                <w:bCs/>
                <w:spacing w:val="-4"/>
                <w:sz w:val="24"/>
                <w:szCs w:val="24"/>
              </w:rPr>
              <w:t>英文名</w:t>
            </w:r>
            <w:r>
              <w:rPr>
                <w:spacing w:val="-4"/>
                <w:sz w:val="24"/>
                <w:szCs w:val="24"/>
              </w:rPr>
              <w:t>：Common Buzzard</w:t>
            </w:r>
          </w:p>
          <w:p w14:paraId="1FBB7E43">
            <w:pPr>
              <w:spacing w:line="360" w:lineRule="auto"/>
              <w:ind w:firstLine="478"/>
              <w:rPr>
                <w:spacing w:val="-4"/>
                <w:sz w:val="24"/>
                <w:szCs w:val="24"/>
              </w:rPr>
            </w:pPr>
            <w:r>
              <w:rPr>
                <w:b/>
                <w:bCs/>
                <w:spacing w:val="-4"/>
                <w:sz w:val="24"/>
                <w:szCs w:val="24"/>
              </w:rPr>
              <w:t>形态特征：</w:t>
            </w:r>
            <w:r>
              <w:rPr>
                <w:spacing w:val="-4"/>
                <w:sz w:val="24"/>
                <w:szCs w:val="24"/>
              </w:rPr>
              <w:t>全长480</w:t>
            </w:r>
            <w:r>
              <w:rPr>
                <w:rFonts w:hint="eastAsia"/>
                <w:spacing w:val="-4"/>
                <w:sz w:val="24"/>
                <w:szCs w:val="24"/>
              </w:rPr>
              <w:t>mm</w:t>
            </w:r>
            <w:r>
              <w:rPr>
                <w:spacing w:val="-4"/>
                <w:sz w:val="24"/>
                <w:szCs w:val="24"/>
              </w:rPr>
              <w:t>-530mm。羽色变化较大，有黑色型、棕色型及中间型。上体暗褐色；头顶、颈及颈侧具红棕色羽缘；下体暗褐色或淡褐色，具深棕色横斑；尾羽通常灰褐色，具4-5条不显著的黑褐色横斑，跗蹠和趾为黄色。全身体色大致为暗褐或灰褐色。飞行时腹面淡色，初级飞羽末端黑色、翼角黑色，喉暗褐色、胸及腹部淡褐色，腹部有黑褐色纵斑，尾羽褐色呈扇形，并有数条黑褐色横纹。</w:t>
            </w:r>
          </w:p>
          <w:p w14:paraId="21079C73">
            <w:pPr>
              <w:spacing w:line="360" w:lineRule="auto"/>
              <w:ind w:firstLine="478"/>
              <w:rPr>
                <w:spacing w:val="-4"/>
                <w:sz w:val="24"/>
                <w:szCs w:val="24"/>
              </w:rPr>
            </w:pPr>
            <w:r>
              <w:rPr>
                <w:b/>
                <w:bCs/>
                <w:spacing w:val="-4"/>
                <w:sz w:val="24"/>
                <w:szCs w:val="24"/>
              </w:rPr>
              <w:t>生态习性：</w:t>
            </w:r>
            <w:r>
              <w:rPr>
                <w:spacing w:val="-4"/>
                <w:sz w:val="24"/>
                <w:szCs w:val="24"/>
              </w:rPr>
              <w:t>栖息于海拔3700m以下的各类生境中，多停息在高大的乔木等突出部位，也常见单独在稀疏林中和农田等多种生境的上空翱翔，食物以鼠类为主，也捕食野兔、小型鸟类、蜥蜴、蛙类和昆虫等。</w:t>
            </w:r>
          </w:p>
          <w:p w14:paraId="7B2E831B">
            <w:pPr>
              <w:spacing w:line="360" w:lineRule="auto"/>
              <w:ind w:firstLine="478"/>
              <w:rPr>
                <w:spacing w:val="-4"/>
                <w:sz w:val="24"/>
                <w:szCs w:val="24"/>
              </w:rPr>
            </w:pPr>
            <w:r>
              <w:rPr>
                <w:b/>
                <w:bCs/>
                <w:spacing w:val="-4"/>
                <w:sz w:val="24"/>
                <w:szCs w:val="24"/>
              </w:rPr>
              <w:t>地理分布：</w:t>
            </w:r>
            <w:r>
              <w:rPr>
                <w:spacing w:val="-4"/>
                <w:sz w:val="24"/>
                <w:szCs w:val="24"/>
              </w:rPr>
              <w:t>分布于昆明、昭通、绥江、永善、寻甸、师宗、新平、通海、景东、思茅、临沧、耿马、沧源、腾冲、丽江、蒙自、盈江、潞西、大理、剑川、景洪、泸水、贡山等县，几遍布全省，冬候鸟。省外在内蒙古及东北地区繁殖；新疆、甘肃、青海、河北、河南、山东等地；旅鸟；西藏东南部、四川及长江以南各省区、海南岛和台湾，冬候鸟。国外在库页岛和日本等地为繁殖鸟，南迁到印度、印度支那、马来亚等地越冬。</w:t>
            </w:r>
          </w:p>
          <w:p w14:paraId="67A8968B">
            <w:pPr>
              <w:spacing w:line="360" w:lineRule="auto"/>
              <w:ind w:firstLine="478"/>
              <w:rPr>
                <w:spacing w:val="-4"/>
                <w:sz w:val="24"/>
                <w:szCs w:val="24"/>
              </w:rPr>
            </w:pPr>
            <w:r>
              <w:rPr>
                <w:b/>
                <w:bCs/>
                <w:spacing w:val="-4"/>
                <w:sz w:val="24"/>
                <w:szCs w:val="24"/>
              </w:rPr>
              <w:t>保护级别：</w:t>
            </w:r>
            <w:r>
              <w:rPr>
                <w:rFonts w:hint="eastAsia"/>
                <w:spacing w:val="-4"/>
                <w:sz w:val="24"/>
                <w:szCs w:val="24"/>
              </w:rPr>
              <w:t>《国家重点保护野生动物名录》（2021年）中列为</w:t>
            </w:r>
            <w:r>
              <w:rPr>
                <w:spacing w:val="-4"/>
                <w:sz w:val="24"/>
                <w:szCs w:val="24"/>
              </w:rPr>
              <w:t>国家</w:t>
            </w:r>
            <w:r>
              <w:rPr>
                <w:rFonts w:hint="eastAsia"/>
                <w:spacing w:val="-4"/>
                <w:sz w:val="24"/>
                <w:szCs w:val="24"/>
              </w:rPr>
              <w:t>二</w:t>
            </w:r>
            <w:r>
              <w:rPr>
                <w:spacing w:val="-4"/>
                <w:sz w:val="24"/>
                <w:szCs w:val="24"/>
              </w:rPr>
              <w:t>级重点保护野生动物。</w:t>
            </w:r>
          </w:p>
          <w:p w14:paraId="4432F65C">
            <w:pPr>
              <w:spacing w:line="360" w:lineRule="auto"/>
              <w:ind w:firstLine="478" w:firstLineChars="200"/>
              <w:rPr>
                <w:rFonts w:eastAsia="Times New Roman"/>
                <w:b/>
                <w:bCs/>
                <w:sz w:val="24"/>
                <w:szCs w:val="24"/>
              </w:rPr>
            </w:pPr>
            <w:r>
              <w:rPr>
                <w:b/>
                <w:bCs/>
                <w:spacing w:val="-1"/>
                <w:position w:val="1"/>
                <w:sz w:val="24"/>
                <w:szCs w:val="24"/>
              </w:rPr>
              <w:t>红隼</w:t>
            </w:r>
            <w:r>
              <w:rPr>
                <w:b/>
                <w:bCs/>
                <w:spacing w:val="-49"/>
                <w:position w:val="1"/>
                <w:sz w:val="24"/>
                <w:szCs w:val="24"/>
              </w:rPr>
              <w:t xml:space="preserve"> </w:t>
            </w:r>
            <w:r>
              <w:rPr>
                <w:rFonts w:eastAsia="Times New Roman"/>
                <w:b/>
                <w:bCs/>
                <w:i/>
                <w:iCs/>
                <w:spacing w:val="-1"/>
                <w:position w:val="1"/>
                <w:sz w:val="24"/>
                <w:szCs w:val="24"/>
              </w:rPr>
              <w:t>Falco tinnunculus</w:t>
            </w:r>
          </w:p>
          <w:p w14:paraId="6851105D">
            <w:pPr>
              <w:spacing w:line="360" w:lineRule="auto"/>
              <w:ind w:firstLine="478"/>
              <w:rPr>
                <w:spacing w:val="-4"/>
                <w:sz w:val="24"/>
                <w:szCs w:val="24"/>
              </w:rPr>
            </w:pPr>
            <w:r>
              <w:rPr>
                <w:b/>
                <w:bCs/>
                <w:spacing w:val="-4"/>
                <w:sz w:val="24"/>
                <w:szCs w:val="24"/>
              </w:rPr>
              <w:t>俗名：</w:t>
            </w:r>
            <w:r>
              <w:rPr>
                <w:spacing w:val="-4"/>
                <w:sz w:val="24"/>
                <w:szCs w:val="24"/>
              </w:rPr>
              <w:t>茶隼</w:t>
            </w:r>
          </w:p>
          <w:p w14:paraId="4C641E4C">
            <w:pPr>
              <w:spacing w:line="360" w:lineRule="auto"/>
              <w:ind w:firstLine="478"/>
              <w:rPr>
                <w:spacing w:val="-4"/>
                <w:sz w:val="24"/>
                <w:szCs w:val="24"/>
              </w:rPr>
            </w:pPr>
            <w:r>
              <w:rPr>
                <w:rFonts w:hint="eastAsia"/>
                <w:b/>
                <w:bCs/>
                <w:spacing w:val="-4"/>
                <w:sz w:val="24"/>
                <w:szCs w:val="24"/>
              </w:rPr>
              <w:t>英文名</w:t>
            </w:r>
            <w:r>
              <w:rPr>
                <w:spacing w:val="-4"/>
                <w:sz w:val="24"/>
                <w:szCs w:val="24"/>
              </w:rPr>
              <w:t>：Eurasian Kestrel</w:t>
            </w:r>
          </w:p>
          <w:p w14:paraId="2D8A5E7F">
            <w:pPr>
              <w:spacing w:line="360" w:lineRule="auto"/>
              <w:ind w:firstLine="478"/>
              <w:rPr>
                <w:spacing w:val="-4"/>
                <w:sz w:val="24"/>
                <w:szCs w:val="24"/>
              </w:rPr>
            </w:pPr>
            <w:r>
              <w:rPr>
                <w:b/>
                <w:bCs/>
                <w:spacing w:val="-4"/>
                <w:sz w:val="24"/>
                <w:szCs w:val="24"/>
              </w:rPr>
              <w:t>形态特征</w:t>
            </w:r>
            <w:r>
              <w:rPr>
                <w:spacing w:val="-4"/>
                <w:sz w:val="24"/>
                <w:szCs w:val="24"/>
              </w:rPr>
              <w:t>：体长350mm左右，雄鸟头顶至后颈灰，并具黑色条纹；背羽砖红色，布有黑色粗斑；尾羽青灰色，具宽阔的黑色次端斑及棕白色端缘，外侧尾羽较中央尾羽短甚，呈凸尾型。雌鸟上体砖红色，头顶满布黑色纵纹，背具黑色横斑，爪黑色。雌雄鸟胸和腹均呈淡棕黄色，具黑色纵纹和点斑。</w:t>
            </w:r>
          </w:p>
          <w:p w14:paraId="637DC67C">
            <w:pPr>
              <w:spacing w:line="360" w:lineRule="auto"/>
              <w:ind w:firstLine="478"/>
              <w:rPr>
                <w:spacing w:val="-4"/>
                <w:sz w:val="24"/>
                <w:szCs w:val="24"/>
              </w:rPr>
            </w:pPr>
            <w:r>
              <w:rPr>
                <w:b/>
                <w:bCs/>
                <w:spacing w:val="-4"/>
                <w:sz w:val="24"/>
                <w:szCs w:val="24"/>
              </w:rPr>
              <w:t>生态习性</w:t>
            </w:r>
            <w:r>
              <w:rPr>
                <w:spacing w:val="-4"/>
                <w:sz w:val="24"/>
                <w:szCs w:val="24"/>
              </w:rPr>
              <w:t>：栖息于林缘、灌丛、田野等开阔地及居民区。常单独或成对活动。飞行速度快，有时会在空中振翅定点停留，主要捕食地面上的食物，如昆虫、两栖类、小型爬行类、小型鸟类和小型兽类等，有时也取食少量植物性食物。</w:t>
            </w:r>
          </w:p>
          <w:p w14:paraId="18A0D9A0">
            <w:pPr>
              <w:spacing w:line="360" w:lineRule="auto"/>
              <w:ind w:firstLine="478"/>
              <w:rPr>
                <w:spacing w:val="-4"/>
                <w:sz w:val="24"/>
                <w:szCs w:val="24"/>
              </w:rPr>
            </w:pPr>
            <w:r>
              <w:rPr>
                <w:b/>
                <w:bCs/>
                <w:spacing w:val="-4"/>
                <w:sz w:val="24"/>
                <w:szCs w:val="24"/>
              </w:rPr>
              <w:t>地理分布：</w:t>
            </w:r>
            <w:r>
              <w:rPr>
                <w:spacing w:val="-4"/>
                <w:sz w:val="24"/>
                <w:szCs w:val="24"/>
              </w:rPr>
              <w:t>分布范围很广，非洲、古北界、印度及中国；越冬于菲律宾及东南亚。甚常见留鸟及季候鸟，除干旱沙漠外遍及各地。</w:t>
            </w:r>
          </w:p>
          <w:p w14:paraId="2A50B779">
            <w:pPr>
              <w:spacing w:line="360" w:lineRule="auto"/>
              <w:ind w:firstLine="466" w:firstLineChars="200"/>
              <w:jc w:val="left"/>
              <w:rPr>
                <w:spacing w:val="-4"/>
                <w:sz w:val="24"/>
                <w:szCs w:val="24"/>
              </w:rPr>
            </w:pPr>
            <w:r>
              <w:rPr>
                <w:b/>
                <w:bCs/>
                <w:spacing w:val="-4"/>
                <w:sz w:val="24"/>
                <w:szCs w:val="24"/>
              </w:rPr>
              <w:t>保护级别：</w:t>
            </w:r>
            <w:r>
              <w:rPr>
                <w:rFonts w:hint="eastAsia"/>
                <w:spacing w:val="-4"/>
                <w:sz w:val="24"/>
                <w:szCs w:val="24"/>
              </w:rPr>
              <w:t>《国家重点保护野生动物名录》（2021年）中列为</w:t>
            </w:r>
            <w:r>
              <w:rPr>
                <w:spacing w:val="-4"/>
                <w:sz w:val="24"/>
                <w:szCs w:val="24"/>
              </w:rPr>
              <w:t>国家</w:t>
            </w:r>
            <w:r>
              <w:rPr>
                <w:rFonts w:hint="eastAsia"/>
                <w:spacing w:val="-4"/>
                <w:sz w:val="24"/>
                <w:szCs w:val="24"/>
              </w:rPr>
              <w:t>二</w:t>
            </w:r>
            <w:r>
              <w:rPr>
                <w:spacing w:val="-4"/>
                <w:sz w:val="24"/>
                <w:szCs w:val="24"/>
              </w:rPr>
              <w:t>级重点保护野生动物。</w:t>
            </w:r>
          </w:p>
          <w:p w14:paraId="7BA02EEF">
            <w:pPr>
              <w:spacing w:line="360" w:lineRule="auto"/>
              <w:jc w:val="left"/>
              <w:rPr>
                <w:b/>
                <w:bCs/>
                <w:kern w:val="0"/>
                <w:sz w:val="24"/>
              </w:rPr>
            </w:pPr>
            <w:r>
              <w:rPr>
                <w:rFonts w:hint="eastAsia"/>
                <w:b/>
                <w:bCs/>
                <w:kern w:val="0"/>
                <w:sz w:val="24"/>
              </w:rPr>
              <w:t>3.1.3 水土流失现状</w:t>
            </w:r>
          </w:p>
          <w:p w14:paraId="360EE02C">
            <w:pPr>
              <w:spacing w:line="360" w:lineRule="auto"/>
              <w:ind w:firstLine="480" w:firstLineChars="200"/>
              <w:rPr>
                <w:rFonts w:hint="eastAsia"/>
                <w:sz w:val="24"/>
              </w:rPr>
            </w:pPr>
            <w:r>
              <w:rPr>
                <w:rFonts w:hint="eastAsia"/>
                <w:sz w:val="24"/>
              </w:rPr>
              <w:t>根据《云南省水土保持公报（2024年）》（云南省水利厅2025年7月），会泽县国土总面积6077km</w:t>
            </w:r>
            <w:r>
              <w:rPr>
                <w:rFonts w:hint="eastAsia"/>
                <w:sz w:val="24"/>
                <w:vertAlign w:val="superscript"/>
              </w:rPr>
              <w:t>2</w:t>
            </w:r>
            <w:r>
              <w:rPr>
                <w:rFonts w:hint="eastAsia"/>
                <w:sz w:val="24"/>
              </w:rPr>
              <w:t>，其中微度侵蚀面积为4426.86km</w:t>
            </w:r>
            <w:r>
              <w:rPr>
                <w:rFonts w:hint="eastAsia"/>
                <w:sz w:val="24"/>
                <w:vertAlign w:val="superscript"/>
              </w:rPr>
              <w:t>2</w:t>
            </w:r>
            <w:r>
              <w:rPr>
                <w:rFonts w:hint="eastAsia"/>
                <w:sz w:val="24"/>
              </w:rPr>
              <w:t>，占土地面积的72.85%；水土流失面积为1650.14km</w:t>
            </w:r>
            <w:r>
              <w:rPr>
                <w:rFonts w:hint="eastAsia"/>
                <w:sz w:val="24"/>
                <w:vertAlign w:val="superscript"/>
              </w:rPr>
              <w:t>2</w:t>
            </w:r>
            <w:r>
              <w:rPr>
                <w:rFonts w:hint="eastAsia"/>
                <w:sz w:val="24"/>
              </w:rPr>
              <w:t>，占土地面积的27.15%。水土流失面积中，轻度侵蚀面积为913.062km</w:t>
            </w:r>
            <w:r>
              <w:rPr>
                <w:rFonts w:hint="eastAsia"/>
                <w:sz w:val="24"/>
                <w:vertAlign w:val="superscript"/>
              </w:rPr>
              <w:t>2</w:t>
            </w:r>
            <w:r>
              <w:rPr>
                <w:rFonts w:hint="eastAsia"/>
                <w:sz w:val="24"/>
              </w:rPr>
              <w:t>，占水土流失面积的55.34%；中度侵蚀面积为456.51km</w:t>
            </w:r>
            <w:r>
              <w:rPr>
                <w:rFonts w:hint="eastAsia"/>
                <w:sz w:val="24"/>
                <w:vertAlign w:val="superscript"/>
              </w:rPr>
              <w:t>2</w:t>
            </w:r>
            <w:r>
              <w:rPr>
                <w:rFonts w:hint="eastAsia"/>
                <w:sz w:val="24"/>
              </w:rPr>
              <w:t>，占水土流失面积的27.66%；强烈侵蚀面积为181.73km</w:t>
            </w:r>
            <w:r>
              <w:rPr>
                <w:rFonts w:hint="eastAsia"/>
                <w:sz w:val="24"/>
                <w:vertAlign w:val="superscript"/>
              </w:rPr>
              <w:t>2</w:t>
            </w:r>
            <w:r>
              <w:rPr>
                <w:rFonts w:hint="eastAsia"/>
                <w:sz w:val="24"/>
              </w:rPr>
              <w:t>，占水土流失面积的11.01%；极强烈侵蚀面积为75.29km</w:t>
            </w:r>
            <w:r>
              <w:rPr>
                <w:rFonts w:hint="eastAsia"/>
                <w:sz w:val="24"/>
                <w:vertAlign w:val="superscript"/>
              </w:rPr>
              <w:t>2</w:t>
            </w:r>
            <w:r>
              <w:rPr>
                <w:rFonts w:hint="eastAsia"/>
                <w:sz w:val="24"/>
              </w:rPr>
              <w:t>，占水土流失面积的4.56%；剧烈侵蚀面积为23.55km</w:t>
            </w:r>
            <w:r>
              <w:rPr>
                <w:rFonts w:hint="eastAsia"/>
                <w:sz w:val="24"/>
                <w:vertAlign w:val="superscript"/>
              </w:rPr>
              <w:t>2</w:t>
            </w:r>
            <w:r>
              <w:rPr>
                <w:rFonts w:hint="eastAsia"/>
                <w:sz w:val="24"/>
              </w:rPr>
              <w:t>，占水土流失面积的1.43%。</w:t>
            </w:r>
          </w:p>
          <w:p w14:paraId="7F3AF4E8">
            <w:pPr>
              <w:spacing w:line="360" w:lineRule="auto"/>
              <w:ind w:firstLine="480" w:firstLineChars="200"/>
            </w:pPr>
            <w:r>
              <w:rPr>
                <w:sz w:val="24"/>
              </w:rPr>
              <w:t>本项目</w:t>
            </w:r>
            <w:r>
              <w:rPr>
                <w:rFonts w:hint="eastAsia"/>
                <w:sz w:val="24"/>
              </w:rPr>
              <w:t>占用草地和园地</w:t>
            </w:r>
            <w:r>
              <w:rPr>
                <w:sz w:val="24"/>
              </w:rPr>
              <w:t>，光伏方阵区、集电线路区、施工生产生活区以及升压站区的现状土壤侵蚀强度为微度；交通运输用地现状为土质道路，土壤侵蚀强度为轻度。经计算加权平均后，可知项目区整体土壤侵蚀强度为轻度。项目区内的侵蚀类型主要为水力侵蚀，现状土壤流失强度以轻度为主。依据《全国水土保持区划（试行）》，本项目区隶属于二级区划中的西南岩溶区（Ⅶ）。土壤侵蚀模数容许值为500t/（km</w:t>
            </w:r>
            <w:r>
              <w:rPr>
                <w:sz w:val="24"/>
                <w:vertAlign w:val="superscript"/>
              </w:rPr>
              <w:t>2</w:t>
            </w:r>
            <w:r>
              <w:rPr>
                <w:sz w:val="24"/>
              </w:rPr>
              <w:t>·a），侵蚀类型以水力侵蚀为主，水土流失主要呈现为溅蚀、面蚀、细沟侵蚀等。根据项目区的土地类型、降雨状况、土壤母质、植被覆盖等因素分析，经加权平均计算得出，项目区原生土壤侵蚀模数为554.52t/（km</w:t>
            </w:r>
            <w:r>
              <w:rPr>
                <w:sz w:val="24"/>
                <w:vertAlign w:val="superscript"/>
              </w:rPr>
              <w:t>2</w:t>
            </w:r>
            <w:r>
              <w:rPr>
                <w:sz w:val="24"/>
              </w:rPr>
              <w:t>·a），原生土壤侵蚀强度总体为轻度侵蚀。</w:t>
            </w:r>
          </w:p>
          <w:p w14:paraId="37C1229D">
            <w:pPr>
              <w:spacing w:line="360" w:lineRule="auto"/>
              <w:rPr>
                <w:b/>
                <w:bCs/>
                <w:kern w:val="0"/>
                <w:sz w:val="24"/>
                <w:szCs w:val="24"/>
              </w:rPr>
            </w:pPr>
            <w:r>
              <w:rPr>
                <w:rFonts w:hint="eastAsia"/>
                <w:b/>
                <w:bCs/>
                <w:kern w:val="0"/>
                <w:sz w:val="24"/>
                <w:szCs w:val="24"/>
              </w:rPr>
              <w:t>3.</w:t>
            </w:r>
            <w:r>
              <w:rPr>
                <w:b/>
                <w:bCs/>
                <w:kern w:val="0"/>
                <w:sz w:val="24"/>
                <w:szCs w:val="24"/>
              </w:rPr>
              <w:t>2</w:t>
            </w:r>
            <w:r>
              <w:rPr>
                <w:rFonts w:hint="eastAsia"/>
                <w:b/>
                <w:bCs/>
                <w:kern w:val="0"/>
                <w:sz w:val="24"/>
                <w:szCs w:val="24"/>
              </w:rPr>
              <w:t xml:space="preserve"> </w:t>
            </w:r>
            <w:r>
              <w:rPr>
                <w:b/>
                <w:bCs/>
                <w:kern w:val="0"/>
                <w:sz w:val="24"/>
                <w:szCs w:val="24"/>
              </w:rPr>
              <w:t>环境质量现状</w:t>
            </w:r>
          </w:p>
          <w:p w14:paraId="15A41C15">
            <w:pPr>
              <w:spacing w:line="360" w:lineRule="auto"/>
              <w:rPr>
                <w:b/>
                <w:bCs/>
                <w:sz w:val="24"/>
              </w:rPr>
            </w:pPr>
            <w:r>
              <w:rPr>
                <w:rFonts w:hint="eastAsia"/>
                <w:b/>
                <w:bCs/>
                <w:sz w:val="24"/>
              </w:rPr>
              <w:t xml:space="preserve">3.2.1 </w:t>
            </w:r>
            <w:r>
              <w:rPr>
                <w:b/>
                <w:bCs/>
                <w:sz w:val="24"/>
              </w:rPr>
              <w:t>环境空气质量现状</w:t>
            </w:r>
          </w:p>
          <w:p w14:paraId="25C2F36C">
            <w:pPr>
              <w:widowControl/>
              <w:topLinePunct/>
              <w:spacing w:line="360" w:lineRule="auto"/>
              <w:ind w:firstLine="480" w:firstLineChars="200"/>
              <w:rPr>
                <w:rFonts w:hint="eastAsia"/>
                <w:color w:val="000000"/>
                <w:sz w:val="24"/>
              </w:rPr>
            </w:pPr>
            <w:r>
              <w:rPr>
                <w:rFonts w:hint="eastAsia"/>
                <w:color w:val="000000"/>
                <w:sz w:val="24"/>
              </w:rPr>
              <w:t>本项目位于</w:t>
            </w:r>
            <w:r>
              <w:rPr>
                <w:rFonts w:hint="eastAsia"/>
                <w:sz w:val="24"/>
              </w:rPr>
              <w:t>云南省曲靖市会泽县娜姑镇大闸村、石门坎村、红泥村、绿坪村、盐水村、牛泥塘村、发基卡村和干海子村</w:t>
            </w:r>
            <w:r>
              <w:rPr>
                <w:rFonts w:hint="eastAsia"/>
                <w:color w:val="000000"/>
                <w:sz w:val="24"/>
              </w:rPr>
              <w:t>，所在区域属于环境空气二类功能区，环境空气执行《</w:t>
            </w:r>
            <w:bookmarkStart w:id="111" w:name="OLE_LINK31"/>
            <w:r>
              <w:rPr>
                <w:rFonts w:hint="eastAsia"/>
                <w:color w:val="000000"/>
                <w:sz w:val="24"/>
              </w:rPr>
              <w:t>环境空气质量标准</w:t>
            </w:r>
            <w:bookmarkEnd w:id="111"/>
            <w:r>
              <w:rPr>
                <w:rFonts w:hint="eastAsia"/>
                <w:color w:val="000000"/>
                <w:sz w:val="24"/>
              </w:rPr>
              <w:t>》（GB</w:t>
            </w:r>
            <w:r>
              <w:rPr>
                <w:color w:val="000000"/>
                <w:sz w:val="24"/>
              </w:rPr>
              <w:t xml:space="preserve"> </w:t>
            </w:r>
            <w:r>
              <w:rPr>
                <w:rFonts w:hint="eastAsia"/>
                <w:color w:val="000000"/>
                <w:sz w:val="24"/>
              </w:rPr>
              <w:t>3095-20</w:t>
            </w:r>
            <w:r>
              <w:rPr>
                <w:color w:val="000000"/>
                <w:sz w:val="24"/>
              </w:rPr>
              <w:t>26</w:t>
            </w:r>
            <w:r>
              <w:rPr>
                <w:rFonts w:hint="eastAsia"/>
                <w:color w:val="000000"/>
                <w:sz w:val="24"/>
              </w:rPr>
              <w:t>）过渡阶段二级浓度限值标准。</w:t>
            </w:r>
          </w:p>
          <w:p w14:paraId="7501AB63">
            <w:pPr>
              <w:topLinePunct/>
              <w:spacing w:line="360" w:lineRule="auto"/>
              <w:ind w:firstLine="480" w:firstLineChars="200"/>
              <w:rPr>
                <w:b/>
                <w:bCs/>
                <w:sz w:val="24"/>
                <w:szCs w:val="24"/>
              </w:rPr>
            </w:pPr>
            <w:r>
              <w:rPr>
                <w:rFonts w:hint="eastAsia"/>
                <w:color w:val="000000"/>
                <w:sz w:val="24"/>
              </w:rPr>
              <w:t>根据曲靖市人民政府发布的曲靖市中心城区2024年各月环境空气质量，以及曲靖市生态环境局会泽分局公布在人民政府网站的2024年各月环境空气质量，2024年曲靖市中心城区和会泽县环境空气质量优良率达100%，项目区为达标区，会泽县环境空气质量满足《环境空气质量标准》（GB</w:t>
            </w:r>
            <w:r>
              <w:rPr>
                <w:color w:val="000000"/>
                <w:sz w:val="24"/>
              </w:rPr>
              <w:t xml:space="preserve"> </w:t>
            </w:r>
            <w:r>
              <w:rPr>
                <w:rFonts w:hint="eastAsia"/>
                <w:color w:val="000000"/>
                <w:sz w:val="24"/>
              </w:rPr>
              <w:t>3095-2012）二级标准，并同时满足《环境空气质量标准》（GB</w:t>
            </w:r>
            <w:r>
              <w:rPr>
                <w:color w:val="000000"/>
                <w:sz w:val="24"/>
              </w:rPr>
              <w:t xml:space="preserve"> </w:t>
            </w:r>
            <w:r>
              <w:rPr>
                <w:rFonts w:hint="eastAsia"/>
                <w:color w:val="000000"/>
                <w:sz w:val="24"/>
              </w:rPr>
              <w:t>3095-2026）二级标准过渡阶段要求。</w:t>
            </w:r>
          </w:p>
          <w:p w14:paraId="1C921E07">
            <w:pPr>
              <w:spacing w:line="360" w:lineRule="auto"/>
              <w:rPr>
                <w:b/>
                <w:bCs/>
                <w:sz w:val="24"/>
                <w:szCs w:val="24"/>
              </w:rPr>
            </w:pPr>
            <w:r>
              <w:rPr>
                <w:rFonts w:hint="eastAsia"/>
                <w:b/>
                <w:bCs/>
                <w:sz w:val="24"/>
              </w:rPr>
              <w:t xml:space="preserve">3.2.2 </w:t>
            </w:r>
            <w:r>
              <w:rPr>
                <w:b/>
                <w:bCs/>
                <w:sz w:val="24"/>
                <w:szCs w:val="24"/>
              </w:rPr>
              <w:t>水环境质量现状</w:t>
            </w:r>
          </w:p>
          <w:p w14:paraId="3A3E73DB">
            <w:pPr>
              <w:widowControl/>
              <w:spacing w:line="360" w:lineRule="auto"/>
              <w:ind w:firstLine="480" w:firstLineChars="200"/>
              <w:rPr>
                <w:color w:val="000000"/>
                <w:sz w:val="24"/>
              </w:rPr>
            </w:pPr>
            <w:r>
              <w:rPr>
                <w:color w:val="000000"/>
                <w:sz w:val="24"/>
              </w:rPr>
              <w:t>根据现场勘查，项目周边水系主要为小江、盐水沟等</w:t>
            </w:r>
            <w:r>
              <w:rPr>
                <w:rFonts w:hint="eastAsia"/>
                <w:color w:val="000000"/>
                <w:sz w:val="24"/>
              </w:rPr>
              <w:t>，与项目区最近距离分别为1km、2</w:t>
            </w:r>
            <w:r>
              <w:rPr>
                <w:color w:val="000000"/>
                <w:sz w:val="24"/>
              </w:rPr>
              <w:t>0</w:t>
            </w:r>
            <w:r>
              <w:rPr>
                <w:rFonts w:hint="eastAsia"/>
                <w:color w:val="000000"/>
                <w:sz w:val="24"/>
              </w:rPr>
              <w:t>m、5m。根据《云南省水功能区划（2014年修订）》，项目区位于小江寻甸-东川保留区，由寻甸县清水海出口至东川区入金沙江口，全长1</w:t>
            </w:r>
            <w:r>
              <w:rPr>
                <w:color w:val="000000"/>
                <w:sz w:val="24"/>
              </w:rPr>
              <w:t>41.0</w:t>
            </w:r>
            <w:r>
              <w:rPr>
                <w:rFonts w:hint="eastAsia"/>
                <w:color w:val="000000"/>
                <w:sz w:val="24"/>
              </w:rPr>
              <w:t>km，</w:t>
            </w:r>
            <w:r>
              <w:rPr>
                <w:color w:val="000000"/>
                <w:sz w:val="24"/>
              </w:rPr>
              <w:t>水质目标为Ⅲ类</w:t>
            </w:r>
            <w:r>
              <w:rPr>
                <w:rFonts w:hint="eastAsia"/>
                <w:color w:val="000000"/>
                <w:sz w:val="24"/>
              </w:rPr>
              <w:t>。</w:t>
            </w:r>
            <w:r>
              <w:rPr>
                <w:color w:val="000000"/>
                <w:sz w:val="24"/>
              </w:rPr>
              <w:t>根据</w:t>
            </w:r>
            <w:r>
              <w:rPr>
                <w:rFonts w:hint="eastAsia"/>
                <w:color w:val="000000"/>
                <w:sz w:val="24"/>
              </w:rPr>
              <w:t>《曲靖市水功能区划（2</w:t>
            </w:r>
            <w:r>
              <w:rPr>
                <w:color w:val="000000"/>
                <w:sz w:val="24"/>
              </w:rPr>
              <w:t>014</w:t>
            </w:r>
            <w:r>
              <w:rPr>
                <w:rFonts w:hint="eastAsia"/>
                <w:color w:val="000000"/>
                <w:sz w:val="24"/>
              </w:rPr>
              <w:t>年修订）》</w:t>
            </w:r>
            <w:r>
              <w:rPr>
                <w:color w:val="000000"/>
                <w:sz w:val="24"/>
              </w:rPr>
              <w:t>，</w:t>
            </w:r>
            <w:r>
              <w:rPr>
                <w:rFonts w:hint="eastAsia"/>
                <w:color w:val="000000"/>
                <w:sz w:val="24"/>
              </w:rPr>
              <w:t>工程区位于小江会泽保留区</w:t>
            </w:r>
            <w:r>
              <w:rPr>
                <w:color w:val="000000"/>
                <w:sz w:val="24"/>
              </w:rPr>
              <w:t>，</w:t>
            </w:r>
            <w:r>
              <w:rPr>
                <w:rFonts w:hint="eastAsia"/>
                <w:color w:val="000000"/>
                <w:sz w:val="24"/>
              </w:rPr>
              <w:t>全长38.7km，</w:t>
            </w:r>
            <w:r>
              <w:rPr>
                <w:color w:val="000000"/>
                <w:sz w:val="24"/>
              </w:rPr>
              <w:t>水质目标为Ⅲ类</w:t>
            </w:r>
            <w:r>
              <w:rPr>
                <w:rFonts w:hint="eastAsia"/>
                <w:color w:val="000000"/>
                <w:sz w:val="24"/>
              </w:rPr>
              <w:t>，</w:t>
            </w:r>
            <w:r>
              <w:rPr>
                <w:color w:val="000000"/>
                <w:sz w:val="24"/>
              </w:rPr>
              <w:t>执行《地表水环境质量标准》（GB 3838-2002）Ⅲ类标准。根据支流保护不低于干流的原则，盐水沟参照小江执行《地表水环境质量标准》（GB 3838-2002）Ⅲ类标准</w:t>
            </w:r>
            <w:r>
              <w:rPr>
                <w:rFonts w:hint="eastAsia"/>
                <w:color w:val="000000"/>
                <w:sz w:val="24"/>
              </w:rPr>
              <w:t>。</w:t>
            </w:r>
          </w:p>
          <w:p w14:paraId="47BB22FF">
            <w:pPr>
              <w:widowControl/>
              <w:spacing w:line="360" w:lineRule="auto"/>
              <w:ind w:firstLine="480" w:firstLineChars="200"/>
              <w:rPr>
                <w:color w:val="000000"/>
                <w:sz w:val="24"/>
              </w:rPr>
            </w:pPr>
            <w:r>
              <w:rPr>
                <w:color w:val="000000"/>
                <w:sz w:val="24"/>
              </w:rPr>
              <w:t>根据曲靖市生态环境局会泽分局公布的</w:t>
            </w:r>
            <w:bookmarkStart w:id="112" w:name="OLE_LINK76"/>
            <w:r>
              <w:rPr>
                <w:color w:val="000000"/>
                <w:sz w:val="24"/>
              </w:rPr>
              <w:t>2024年各季度地表水环境质量</w:t>
            </w:r>
            <w:bookmarkEnd w:id="112"/>
            <w:r>
              <w:rPr>
                <w:color w:val="000000"/>
                <w:sz w:val="24"/>
              </w:rPr>
              <w:t>，2024年会泽县国控、省控、市控、县控水质断面（点位）中，全部达到Ⅰ类或Ⅲ类水质标准。会泽县水质总体</w:t>
            </w:r>
            <w:r>
              <w:rPr>
                <w:rFonts w:hint="eastAsia"/>
                <w:color w:val="000000"/>
                <w:sz w:val="24"/>
              </w:rPr>
              <w:t>“</w:t>
            </w:r>
            <w:r>
              <w:rPr>
                <w:color w:val="000000"/>
                <w:sz w:val="24"/>
              </w:rPr>
              <w:t>良好</w:t>
            </w:r>
            <w:r>
              <w:rPr>
                <w:rFonts w:hint="eastAsia"/>
                <w:color w:val="000000"/>
                <w:sz w:val="24"/>
              </w:rPr>
              <w:t>”</w:t>
            </w:r>
            <w:r>
              <w:rPr>
                <w:color w:val="000000"/>
                <w:sz w:val="24"/>
              </w:rPr>
              <w:t>，</w:t>
            </w:r>
            <w:r>
              <w:rPr>
                <w:rFonts w:hint="eastAsia"/>
                <w:color w:val="000000"/>
                <w:sz w:val="24"/>
              </w:rPr>
              <w:t>距离本项目最近断面为小江入口，</w:t>
            </w:r>
            <w:r>
              <w:rPr>
                <w:color w:val="000000"/>
                <w:sz w:val="24"/>
              </w:rPr>
              <w:t>断面达标率100%。其中市控断面小江各季度全部达到Ⅲ</w:t>
            </w:r>
            <w:r>
              <w:rPr>
                <w:rFonts w:hint="eastAsia"/>
                <w:color w:val="000000"/>
                <w:sz w:val="24"/>
              </w:rPr>
              <w:t>类</w:t>
            </w:r>
            <w:r>
              <w:rPr>
                <w:color w:val="000000"/>
                <w:sz w:val="24"/>
              </w:rPr>
              <w:t>水质标准。</w:t>
            </w:r>
          </w:p>
          <w:p w14:paraId="0DA51403">
            <w:pPr>
              <w:spacing w:line="360" w:lineRule="auto"/>
              <w:rPr>
                <w:b/>
                <w:sz w:val="24"/>
              </w:rPr>
            </w:pPr>
            <w:r>
              <w:rPr>
                <w:rFonts w:hint="eastAsia"/>
                <w:b/>
                <w:bCs/>
                <w:sz w:val="24"/>
              </w:rPr>
              <w:t xml:space="preserve">3.2.3 </w:t>
            </w:r>
            <w:r>
              <w:rPr>
                <w:b/>
                <w:sz w:val="24"/>
              </w:rPr>
              <w:t>声环境质量现状</w:t>
            </w:r>
          </w:p>
          <w:p w14:paraId="22D45126">
            <w:pPr>
              <w:topLinePunct/>
              <w:spacing w:line="360" w:lineRule="auto"/>
              <w:ind w:firstLine="480" w:firstLineChars="200"/>
              <w:rPr>
                <w:rFonts w:hint="eastAsia"/>
                <w:sz w:val="24"/>
              </w:rPr>
            </w:pPr>
            <w:r>
              <w:rPr>
                <w:rFonts w:hint="eastAsia"/>
                <w:sz w:val="24"/>
              </w:rPr>
              <w:t>本项目所在区域属于《声环境质量标准》（GB 3096-2008）中的</w:t>
            </w:r>
            <w:r>
              <w:rPr>
                <w:sz w:val="24"/>
              </w:rPr>
              <w:t>2</w:t>
            </w:r>
            <w:r>
              <w:rPr>
                <w:rFonts w:hint="eastAsia"/>
                <w:sz w:val="24"/>
              </w:rPr>
              <w:t>类区，执行《声环境质量标准》（GB 3096-2008）中的2类标准；新建升压站位于以礼河三级电站厂界内，现状环境噪声执行《</w:t>
            </w:r>
            <w:bookmarkStart w:id="113" w:name="OLE_LINK78"/>
            <w:r>
              <w:rPr>
                <w:rFonts w:hint="eastAsia"/>
                <w:sz w:val="24"/>
              </w:rPr>
              <w:t>工业企业厂界环境噪声排放标准</w:t>
            </w:r>
            <w:bookmarkEnd w:id="113"/>
            <w:r>
              <w:rPr>
                <w:rFonts w:hint="eastAsia"/>
                <w:sz w:val="24"/>
              </w:rPr>
              <w:t>》（GB 12348-2008）中的</w:t>
            </w:r>
            <w:r>
              <w:rPr>
                <w:sz w:val="24"/>
              </w:rPr>
              <w:t>2</w:t>
            </w:r>
            <w:r>
              <w:rPr>
                <w:rFonts w:hint="eastAsia"/>
                <w:sz w:val="24"/>
              </w:rPr>
              <w:t>类标准。</w:t>
            </w:r>
          </w:p>
          <w:p w14:paraId="46869B10">
            <w:pPr>
              <w:topLinePunct/>
              <w:spacing w:line="360" w:lineRule="auto"/>
              <w:ind w:firstLine="480" w:firstLineChars="200"/>
              <w:rPr>
                <w:b/>
                <w:iCs/>
              </w:rPr>
            </w:pPr>
            <w:r>
              <w:rPr>
                <w:rFonts w:hint="eastAsia"/>
                <w:sz w:val="24"/>
              </w:rPr>
              <w:t>针对本次评价，受中国电建集团昆明勘测涉及研究院有限公司（以下称</w:t>
            </w:r>
            <w:bookmarkStart w:id="114" w:name="OLE_LINK60"/>
            <w:r>
              <w:rPr>
                <w:rFonts w:hint="eastAsia"/>
                <w:sz w:val="24"/>
              </w:rPr>
              <w:t>昆明院</w:t>
            </w:r>
            <w:bookmarkEnd w:id="114"/>
            <w:r>
              <w:rPr>
                <w:rFonts w:hint="eastAsia"/>
                <w:sz w:val="24"/>
              </w:rPr>
              <w:t>）委托，</w:t>
            </w:r>
            <w:bookmarkStart w:id="115" w:name="OLE_LINK33"/>
            <w:r>
              <w:rPr>
                <w:rFonts w:hint="eastAsia"/>
                <w:sz w:val="24"/>
              </w:rPr>
              <w:t>云南科环环境工程咨询有限公司</w:t>
            </w:r>
            <w:bookmarkEnd w:id="115"/>
            <w:r>
              <w:rPr>
                <w:rFonts w:hint="eastAsia"/>
                <w:sz w:val="24"/>
              </w:rPr>
              <w:t>于2026年1月7日-</w:t>
            </w:r>
            <w:r>
              <w:rPr>
                <w:sz w:val="24"/>
              </w:rPr>
              <w:t>8</w:t>
            </w:r>
            <w:r>
              <w:rPr>
                <w:rFonts w:hint="eastAsia"/>
                <w:sz w:val="24"/>
              </w:rPr>
              <w:t>日、5月2</w:t>
            </w:r>
            <w:r>
              <w:rPr>
                <w:sz w:val="24"/>
              </w:rPr>
              <w:t>1</w:t>
            </w:r>
            <w:r>
              <w:rPr>
                <w:rFonts w:hint="eastAsia"/>
                <w:sz w:val="24"/>
              </w:rPr>
              <w:t>日-</w:t>
            </w:r>
            <w:r>
              <w:rPr>
                <w:sz w:val="24"/>
              </w:rPr>
              <w:t>22</w:t>
            </w:r>
            <w:r>
              <w:rPr>
                <w:rFonts w:hint="eastAsia"/>
                <w:sz w:val="24"/>
              </w:rPr>
              <w:t>日，对项目区域声环境保护目标和以礼河三级电站厂界开展了声环境现状监测，监测项目为昼夜间等效A声级。监测结果表明，本项目声环境保护目标</w:t>
            </w:r>
            <w:r>
              <w:rPr>
                <w:rFonts w:hint="eastAsia"/>
                <w:bCs/>
                <w:sz w:val="24"/>
              </w:rPr>
              <w:t>处声环境质量现状均满足《声环境质量标准》（GB 3096-2008）</w:t>
            </w:r>
            <w:r>
              <w:rPr>
                <w:bCs/>
                <w:sz w:val="24"/>
              </w:rPr>
              <w:t>2</w:t>
            </w:r>
            <w:r>
              <w:rPr>
                <w:rFonts w:hint="eastAsia"/>
                <w:bCs/>
                <w:sz w:val="24"/>
              </w:rPr>
              <w:t>类标准，</w:t>
            </w:r>
            <w:r>
              <w:rPr>
                <w:rFonts w:hint="eastAsia"/>
                <w:sz w:val="24"/>
              </w:rPr>
              <w:t>以礼河三级电站厂界噪声满足《工业企业厂界环境噪声排放标准》（GB 12348-2008）中的</w:t>
            </w:r>
            <w:r>
              <w:rPr>
                <w:sz w:val="24"/>
              </w:rPr>
              <w:t>2</w:t>
            </w:r>
            <w:r>
              <w:rPr>
                <w:rFonts w:hint="eastAsia"/>
                <w:sz w:val="24"/>
              </w:rPr>
              <w:t>类标准。本项目声环境现状监测见下表。</w:t>
            </w:r>
          </w:p>
          <w:p w14:paraId="12D3D2D3">
            <w:pPr>
              <w:pStyle w:val="219"/>
              <w:spacing w:before="0" w:beforeLines="0"/>
              <w:rPr>
                <w:rFonts w:hint="eastAsia"/>
                <w:sz w:val="24"/>
                <w:szCs w:val="24"/>
              </w:rPr>
            </w:pPr>
            <w:r>
              <w:rPr>
                <w:sz w:val="24"/>
                <w:szCs w:val="24"/>
              </w:rPr>
              <w:t>表3</w:t>
            </w:r>
            <w:r>
              <w:rPr>
                <w:rFonts w:hint="eastAsia"/>
                <w:sz w:val="24"/>
                <w:szCs w:val="24"/>
              </w:rPr>
              <w:t>.2.3</w:t>
            </w:r>
            <w:r>
              <w:rPr>
                <w:sz w:val="24"/>
                <w:szCs w:val="24"/>
              </w:rPr>
              <w:t>-</w:t>
            </w:r>
            <w:r>
              <w:rPr>
                <w:rFonts w:hint="eastAsia"/>
                <w:sz w:val="24"/>
                <w:szCs w:val="24"/>
              </w:rPr>
              <w:t xml:space="preserve">1  </w:t>
            </w:r>
            <w:r>
              <w:rPr>
                <w:sz w:val="24"/>
                <w:szCs w:val="24"/>
              </w:rPr>
              <w:t>本项目声环境现状监测</w:t>
            </w:r>
            <w:r>
              <w:rPr>
                <w:rFonts w:hint="eastAsia"/>
                <w:sz w:val="24"/>
                <w:szCs w:val="24"/>
              </w:rPr>
              <w:t>值</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2548"/>
              <w:gridCol w:w="1841"/>
              <w:gridCol w:w="1676"/>
              <w:gridCol w:w="1722"/>
            </w:tblGrid>
            <w:tr w14:paraId="5114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48FE2B49">
                  <w:pPr>
                    <w:jc w:val="center"/>
                    <w:rPr>
                      <w:b/>
                      <w:bCs/>
                      <w:iCs/>
                    </w:rPr>
                  </w:pPr>
                  <w:r>
                    <w:rPr>
                      <w:rFonts w:hint="eastAsia"/>
                      <w:b/>
                      <w:bCs/>
                      <w:iCs/>
                    </w:rPr>
                    <w:t>点位</w:t>
                  </w:r>
                </w:p>
              </w:tc>
              <w:tc>
                <w:tcPr>
                  <w:tcW w:w="2552" w:type="dxa"/>
                  <w:vMerge w:val="restart"/>
                  <w:vAlign w:val="center"/>
                </w:tcPr>
                <w:p w14:paraId="5C0DE583">
                  <w:pPr>
                    <w:jc w:val="center"/>
                    <w:rPr>
                      <w:rFonts w:hint="eastAsia"/>
                      <w:b/>
                      <w:bCs/>
                      <w:iCs/>
                    </w:rPr>
                  </w:pPr>
                  <w:r>
                    <w:rPr>
                      <w:rFonts w:hint="eastAsia"/>
                      <w:b/>
                      <w:bCs/>
                      <w:iCs/>
                    </w:rPr>
                    <w:t>监测</w:t>
                  </w:r>
                  <w:r>
                    <w:rPr>
                      <w:b/>
                      <w:bCs/>
                      <w:iCs/>
                    </w:rPr>
                    <w:t>点位</w:t>
                  </w:r>
                </w:p>
              </w:tc>
              <w:tc>
                <w:tcPr>
                  <w:tcW w:w="1842" w:type="dxa"/>
                  <w:vMerge w:val="restart"/>
                  <w:vAlign w:val="center"/>
                </w:tcPr>
                <w:p w14:paraId="39C2BA4B">
                  <w:pPr>
                    <w:jc w:val="center"/>
                    <w:rPr>
                      <w:b/>
                      <w:bCs/>
                      <w:iCs/>
                    </w:rPr>
                  </w:pPr>
                  <w:r>
                    <w:rPr>
                      <w:b/>
                      <w:bCs/>
                      <w:iCs/>
                    </w:rPr>
                    <w:t>监测时间</w:t>
                  </w:r>
                </w:p>
              </w:tc>
              <w:tc>
                <w:tcPr>
                  <w:tcW w:w="3398" w:type="dxa"/>
                  <w:gridSpan w:val="2"/>
                  <w:vAlign w:val="center"/>
                </w:tcPr>
                <w:p w14:paraId="134896F2">
                  <w:pPr>
                    <w:jc w:val="center"/>
                    <w:rPr>
                      <w:rFonts w:hint="eastAsia"/>
                      <w:b/>
                      <w:bCs/>
                      <w:iCs/>
                    </w:rPr>
                  </w:pPr>
                  <w:r>
                    <w:rPr>
                      <w:b/>
                      <w:bCs/>
                      <w:iCs/>
                    </w:rPr>
                    <w:t>等效连续A声级</w:t>
                  </w:r>
                  <w:r>
                    <w:rPr>
                      <w:rFonts w:hint="eastAsia"/>
                      <w:b/>
                      <w:bCs/>
                      <w:iCs/>
                    </w:rPr>
                    <w:t>dB(A)</w:t>
                  </w:r>
                </w:p>
              </w:tc>
            </w:tr>
            <w:tr w14:paraId="7C13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67C7F72C">
                  <w:pPr>
                    <w:jc w:val="center"/>
                    <w:rPr>
                      <w:b/>
                      <w:bCs/>
                      <w:iCs/>
                    </w:rPr>
                  </w:pPr>
                </w:p>
              </w:tc>
              <w:tc>
                <w:tcPr>
                  <w:tcW w:w="2552" w:type="dxa"/>
                  <w:vMerge w:val="continue"/>
                  <w:vAlign w:val="center"/>
                </w:tcPr>
                <w:p w14:paraId="284BBC3E">
                  <w:pPr>
                    <w:jc w:val="center"/>
                    <w:rPr>
                      <w:b/>
                      <w:bCs/>
                      <w:iCs/>
                    </w:rPr>
                  </w:pPr>
                </w:p>
              </w:tc>
              <w:tc>
                <w:tcPr>
                  <w:tcW w:w="1842" w:type="dxa"/>
                  <w:vMerge w:val="continue"/>
                  <w:vAlign w:val="center"/>
                </w:tcPr>
                <w:p w14:paraId="2A27F651">
                  <w:pPr>
                    <w:jc w:val="center"/>
                    <w:rPr>
                      <w:b/>
                      <w:bCs/>
                      <w:iCs/>
                    </w:rPr>
                  </w:pPr>
                </w:p>
              </w:tc>
              <w:tc>
                <w:tcPr>
                  <w:tcW w:w="1676" w:type="dxa"/>
                  <w:vAlign w:val="center"/>
                </w:tcPr>
                <w:p w14:paraId="08454DB0">
                  <w:pPr>
                    <w:jc w:val="center"/>
                    <w:rPr>
                      <w:b/>
                      <w:bCs/>
                      <w:iCs/>
                    </w:rPr>
                  </w:pPr>
                  <w:r>
                    <w:rPr>
                      <w:b/>
                      <w:bCs/>
                      <w:iCs/>
                    </w:rPr>
                    <w:t>昼间</w:t>
                  </w:r>
                </w:p>
              </w:tc>
              <w:tc>
                <w:tcPr>
                  <w:tcW w:w="1722" w:type="dxa"/>
                  <w:vAlign w:val="center"/>
                </w:tcPr>
                <w:p w14:paraId="6F81D0DF">
                  <w:pPr>
                    <w:jc w:val="center"/>
                    <w:rPr>
                      <w:b/>
                      <w:bCs/>
                      <w:iCs/>
                    </w:rPr>
                  </w:pPr>
                  <w:r>
                    <w:rPr>
                      <w:b/>
                      <w:bCs/>
                      <w:iCs/>
                    </w:rPr>
                    <w:t>夜间</w:t>
                  </w:r>
                </w:p>
              </w:tc>
            </w:tr>
            <w:tr w14:paraId="77707B6B">
              <w:tblPrEx>
                <w:tblCellMar>
                  <w:top w:w="0" w:type="dxa"/>
                  <w:left w:w="108" w:type="dxa"/>
                  <w:bottom w:w="0" w:type="dxa"/>
                  <w:right w:w="108" w:type="dxa"/>
                </w:tblCellMar>
              </w:tblPrEx>
              <w:trPr>
                <w:trHeight w:val="283" w:hRule="atLeast"/>
                <w:jc w:val="center"/>
              </w:trPr>
              <w:tc>
                <w:tcPr>
                  <w:tcW w:w="8547" w:type="dxa"/>
                  <w:gridSpan w:val="5"/>
                  <w:vAlign w:val="center"/>
                </w:tcPr>
                <w:p w14:paraId="4E331F82">
                  <w:pPr>
                    <w:jc w:val="center"/>
                    <w:rPr>
                      <w:iCs/>
                    </w:rPr>
                  </w:pPr>
                  <w:r>
                    <w:rPr>
                      <w:rFonts w:hint="eastAsia"/>
                      <w:iCs/>
                    </w:rPr>
                    <w:t>声环境保护目标声环境质量</w:t>
                  </w:r>
                </w:p>
              </w:tc>
            </w:tr>
            <w:tr w14:paraId="76BD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19B2D98A">
                  <w:pPr>
                    <w:numPr>
                      <w:ilvl w:val="0"/>
                      <w:numId w:val="9"/>
                    </w:numPr>
                    <w:jc w:val="center"/>
                    <w:rPr>
                      <w:bCs/>
                      <w:iCs/>
                    </w:rPr>
                  </w:pPr>
                </w:p>
              </w:tc>
              <w:tc>
                <w:tcPr>
                  <w:tcW w:w="2552" w:type="dxa"/>
                  <w:vMerge w:val="restart"/>
                  <w:vAlign w:val="center"/>
                </w:tcPr>
                <w:p w14:paraId="489E62E2">
                  <w:pPr>
                    <w:jc w:val="center"/>
                  </w:pPr>
                  <w:r>
                    <w:rPr>
                      <w:rFonts w:hint="eastAsia"/>
                    </w:rPr>
                    <w:t>徐家梁子</w:t>
                  </w:r>
                </w:p>
              </w:tc>
              <w:tc>
                <w:tcPr>
                  <w:tcW w:w="1842" w:type="dxa"/>
                  <w:vAlign w:val="center"/>
                </w:tcPr>
                <w:p w14:paraId="2381BCF6">
                  <w:pPr>
                    <w:jc w:val="center"/>
                    <w:rPr>
                      <w:rFonts w:hint="eastAsia"/>
                    </w:rPr>
                  </w:pPr>
                  <w:r>
                    <w:rPr>
                      <w:bCs/>
                      <w:iCs/>
                    </w:rPr>
                    <w:t>202</w:t>
                  </w:r>
                  <w:r>
                    <w:rPr>
                      <w:rFonts w:hint="eastAsia"/>
                      <w:bCs/>
                      <w:iCs/>
                    </w:rPr>
                    <w:t>6</w:t>
                  </w:r>
                  <w:r>
                    <w:rPr>
                      <w:bCs/>
                      <w:iCs/>
                    </w:rPr>
                    <w:t>.5.21</w:t>
                  </w:r>
                </w:p>
              </w:tc>
              <w:tc>
                <w:tcPr>
                  <w:tcW w:w="1676" w:type="dxa"/>
                  <w:vAlign w:val="center"/>
                </w:tcPr>
                <w:p w14:paraId="10E0C577">
                  <w:pPr>
                    <w:jc w:val="center"/>
                    <w:rPr>
                      <w:bCs/>
                      <w:iCs/>
                    </w:rPr>
                  </w:pPr>
                  <w:r>
                    <w:rPr>
                      <w:rFonts w:hint="eastAsia"/>
                      <w:bCs/>
                      <w:iCs/>
                    </w:rPr>
                    <w:t>4</w:t>
                  </w:r>
                  <w:r>
                    <w:rPr>
                      <w:bCs/>
                      <w:iCs/>
                    </w:rPr>
                    <w:t>4</w:t>
                  </w:r>
                </w:p>
              </w:tc>
              <w:tc>
                <w:tcPr>
                  <w:tcW w:w="1722" w:type="dxa"/>
                  <w:vAlign w:val="center"/>
                </w:tcPr>
                <w:p w14:paraId="4D7CB4A0">
                  <w:pPr>
                    <w:jc w:val="center"/>
                    <w:rPr>
                      <w:bCs/>
                      <w:iCs/>
                    </w:rPr>
                  </w:pPr>
                  <w:r>
                    <w:rPr>
                      <w:rFonts w:hint="eastAsia"/>
                      <w:bCs/>
                      <w:iCs/>
                    </w:rPr>
                    <w:t>4</w:t>
                  </w:r>
                  <w:r>
                    <w:rPr>
                      <w:bCs/>
                      <w:iCs/>
                    </w:rPr>
                    <w:t>0</w:t>
                  </w:r>
                </w:p>
              </w:tc>
            </w:tr>
            <w:tr w14:paraId="61DB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59DA7A28">
                  <w:pPr>
                    <w:numPr>
                      <w:ilvl w:val="0"/>
                      <w:numId w:val="9"/>
                    </w:numPr>
                    <w:jc w:val="center"/>
                  </w:pPr>
                </w:p>
              </w:tc>
              <w:tc>
                <w:tcPr>
                  <w:tcW w:w="2552" w:type="dxa"/>
                  <w:vMerge w:val="continue"/>
                  <w:vAlign w:val="center"/>
                </w:tcPr>
                <w:p w14:paraId="79E8156A">
                  <w:pPr>
                    <w:jc w:val="center"/>
                  </w:pPr>
                </w:p>
              </w:tc>
              <w:tc>
                <w:tcPr>
                  <w:tcW w:w="1842" w:type="dxa"/>
                  <w:vAlign w:val="center"/>
                </w:tcPr>
                <w:p w14:paraId="35FA107A">
                  <w:pPr>
                    <w:jc w:val="center"/>
                    <w:rPr>
                      <w:rFonts w:hint="eastAsia"/>
                    </w:rPr>
                  </w:pPr>
                  <w:r>
                    <w:rPr>
                      <w:bCs/>
                      <w:iCs/>
                    </w:rPr>
                    <w:t>202</w:t>
                  </w:r>
                  <w:r>
                    <w:rPr>
                      <w:rFonts w:hint="eastAsia"/>
                      <w:bCs/>
                      <w:iCs/>
                    </w:rPr>
                    <w:t>6</w:t>
                  </w:r>
                  <w:r>
                    <w:rPr>
                      <w:bCs/>
                      <w:iCs/>
                    </w:rPr>
                    <w:t>.5.22</w:t>
                  </w:r>
                </w:p>
              </w:tc>
              <w:tc>
                <w:tcPr>
                  <w:tcW w:w="1676" w:type="dxa"/>
                  <w:vAlign w:val="center"/>
                </w:tcPr>
                <w:p w14:paraId="33B5F7A3">
                  <w:pPr>
                    <w:jc w:val="center"/>
                  </w:pPr>
                  <w:r>
                    <w:rPr>
                      <w:rFonts w:hint="eastAsia"/>
                    </w:rPr>
                    <w:t>4</w:t>
                  </w:r>
                  <w:r>
                    <w:t>3</w:t>
                  </w:r>
                </w:p>
              </w:tc>
              <w:tc>
                <w:tcPr>
                  <w:tcW w:w="1722" w:type="dxa"/>
                  <w:vAlign w:val="center"/>
                </w:tcPr>
                <w:p w14:paraId="294F188B">
                  <w:pPr>
                    <w:jc w:val="center"/>
                  </w:pPr>
                  <w:r>
                    <w:rPr>
                      <w:rFonts w:hint="eastAsia"/>
                    </w:rPr>
                    <w:t>3</w:t>
                  </w:r>
                  <w:r>
                    <w:t>8</w:t>
                  </w:r>
                </w:p>
              </w:tc>
            </w:tr>
            <w:tr w14:paraId="39F6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48140150">
                  <w:pPr>
                    <w:numPr>
                      <w:ilvl w:val="0"/>
                      <w:numId w:val="9"/>
                    </w:numPr>
                    <w:jc w:val="center"/>
                    <w:rPr>
                      <w:bCs/>
                      <w:iCs/>
                    </w:rPr>
                  </w:pPr>
                </w:p>
              </w:tc>
              <w:tc>
                <w:tcPr>
                  <w:tcW w:w="2552" w:type="dxa"/>
                  <w:vMerge w:val="restart"/>
                  <w:vAlign w:val="center"/>
                </w:tcPr>
                <w:p w14:paraId="1762CF61">
                  <w:pPr>
                    <w:jc w:val="center"/>
                  </w:pPr>
                  <w:r>
                    <w:rPr>
                      <w:rFonts w:hint="eastAsia"/>
                    </w:rPr>
                    <w:t>塔基1ULN6附近居民点</w:t>
                  </w:r>
                </w:p>
              </w:tc>
              <w:tc>
                <w:tcPr>
                  <w:tcW w:w="1842" w:type="dxa"/>
                  <w:vAlign w:val="center"/>
                </w:tcPr>
                <w:p w14:paraId="38E95D1B">
                  <w:pPr>
                    <w:jc w:val="center"/>
                  </w:pPr>
                  <w:r>
                    <w:rPr>
                      <w:bCs/>
                      <w:iCs/>
                    </w:rPr>
                    <w:t>202</w:t>
                  </w:r>
                  <w:r>
                    <w:rPr>
                      <w:rFonts w:hint="eastAsia"/>
                      <w:bCs/>
                      <w:iCs/>
                    </w:rPr>
                    <w:t>6</w:t>
                  </w:r>
                  <w:r>
                    <w:rPr>
                      <w:bCs/>
                      <w:iCs/>
                    </w:rPr>
                    <w:t>.5.21</w:t>
                  </w:r>
                </w:p>
              </w:tc>
              <w:tc>
                <w:tcPr>
                  <w:tcW w:w="1676" w:type="dxa"/>
                  <w:vAlign w:val="center"/>
                </w:tcPr>
                <w:p w14:paraId="633A5522">
                  <w:pPr>
                    <w:jc w:val="center"/>
                    <w:rPr>
                      <w:bCs/>
                      <w:iCs/>
                    </w:rPr>
                  </w:pPr>
                  <w:r>
                    <w:rPr>
                      <w:rFonts w:hint="eastAsia"/>
                    </w:rPr>
                    <w:t>4</w:t>
                  </w:r>
                  <w:r>
                    <w:t>1</w:t>
                  </w:r>
                </w:p>
              </w:tc>
              <w:tc>
                <w:tcPr>
                  <w:tcW w:w="1722" w:type="dxa"/>
                  <w:vAlign w:val="center"/>
                </w:tcPr>
                <w:p w14:paraId="532CE7B5">
                  <w:pPr>
                    <w:jc w:val="center"/>
                    <w:rPr>
                      <w:bCs/>
                      <w:iCs/>
                    </w:rPr>
                  </w:pPr>
                  <w:r>
                    <w:rPr>
                      <w:rFonts w:hint="eastAsia"/>
                    </w:rPr>
                    <w:t>3</w:t>
                  </w:r>
                  <w:r>
                    <w:t>9</w:t>
                  </w:r>
                </w:p>
              </w:tc>
            </w:tr>
            <w:tr w14:paraId="4F90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5E3AE179">
                  <w:pPr>
                    <w:numPr>
                      <w:ilvl w:val="0"/>
                      <w:numId w:val="9"/>
                    </w:numPr>
                    <w:jc w:val="center"/>
                  </w:pPr>
                </w:p>
              </w:tc>
              <w:tc>
                <w:tcPr>
                  <w:tcW w:w="2552" w:type="dxa"/>
                  <w:vMerge w:val="continue"/>
                  <w:vAlign w:val="center"/>
                </w:tcPr>
                <w:p w14:paraId="799E976E">
                  <w:pPr>
                    <w:jc w:val="center"/>
                  </w:pPr>
                </w:p>
              </w:tc>
              <w:tc>
                <w:tcPr>
                  <w:tcW w:w="1842" w:type="dxa"/>
                  <w:vAlign w:val="center"/>
                </w:tcPr>
                <w:p w14:paraId="3300EA34">
                  <w:pPr>
                    <w:jc w:val="center"/>
                  </w:pPr>
                  <w:r>
                    <w:rPr>
                      <w:bCs/>
                      <w:iCs/>
                    </w:rPr>
                    <w:t>202</w:t>
                  </w:r>
                  <w:r>
                    <w:rPr>
                      <w:rFonts w:hint="eastAsia"/>
                      <w:bCs/>
                      <w:iCs/>
                    </w:rPr>
                    <w:t>6</w:t>
                  </w:r>
                  <w:r>
                    <w:rPr>
                      <w:bCs/>
                      <w:iCs/>
                    </w:rPr>
                    <w:t>.5.22</w:t>
                  </w:r>
                </w:p>
              </w:tc>
              <w:tc>
                <w:tcPr>
                  <w:tcW w:w="1676" w:type="dxa"/>
                  <w:vAlign w:val="center"/>
                </w:tcPr>
                <w:p w14:paraId="07C9FC7E">
                  <w:pPr>
                    <w:jc w:val="center"/>
                  </w:pPr>
                  <w:r>
                    <w:rPr>
                      <w:rFonts w:hint="eastAsia"/>
                    </w:rPr>
                    <w:t>4</w:t>
                  </w:r>
                  <w:r>
                    <w:t>2</w:t>
                  </w:r>
                </w:p>
              </w:tc>
              <w:tc>
                <w:tcPr>
                  <w:tcW w:w="1722" w:type="dxa"/>
                  <w:vAlign w:val="center"/>
                </w:tcPr>
                <w:p w14:paraId="12DFACB1">
                  <w:pPr>
                    <w:jc w:val="center"/>
                  </w:pPr>
                  <w:r>
                    <w:rPr>
                      <w:rFonts w:hint="eastAsia"/>
                    </w:rPr>
                    <w:t>3</w:t>
                  </w:r>
                  <w:r>
                    <w:t>7</w:t>
                  </w:r>
                </w:p>
              </w:tc>
            </w:tr>
            <w:tr w14:paraId="432B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4656367B">
                  <w:pPr>
                    <w:numPr>
                      <w:ilvl w:val="0"/>
                      <w:numId w:val="9"/>
                    </w:numPr>
                    <w:jc w:val="center"/>
                    <w:rPr>
                      <w:bCs/>
                      <w:iCs/>
                    </w:rPr>
                  </w:pPr>
                </w:p>
              </w:tc>
              <w:tc>
                <w:tcPr>
                  <w:tcW w:w="2552" w:type="dxa"/>
                  <w:vMerge w:val="restart"/>
                  <w:vAlign w:val="center"/>
                </w:tcPr>
                <w:p w14:paraId="66F968A8">
                  <w:pPr>
                    <w:jc w:val="center"/>
                    <w:rPr>
                      <w:bCs/>
                      <w:iCs/>
                    </w:rPr>
                  </w:pPr>
                  <w:r>
                    <w:rPr>
                      <w:rFonts w:hint="eastAsia"/>
                      <w:bCs/>
                      <w:iCs/>
                    </w:rPr>
                    <w:t>方阵11南侧居民点</w:t>
                  </w:r>
                </w:p>
              </w:tc>
              <w:tc>
                <w:tcPr>
                  <w:tcW w:w="1842" w:type="dxa"/>
                  <w:vAlign w:val="center"/>
                </w:tcPr>
                <w:p w14:paraId="6442CF3B">
                  <w:pPr>
                    <w:jc w:val="center"/>
                  </w:pPr>
                  <w:r>
                    <w:rPr>
                      <w:bCs/>
                      <w:iCs/>
                    </w:rPr>
                    <w:t>202</w:t>
                  </w:r>
                  <w:r>
                    <w:rPr>
                      <w:rFonts w:hint="eastAsia"/>
                      <w:bCs/>
                      <w:iCs/>
                    </w:rPr>
                    <w:t>6</w:t>
                  </w:r>
                  <w:r>
                    <w:rPr>
                      <w:bCs/>
                      <w:iCs/>
                    </w:rPr>
                    <w:t>.5.21</w:t>
                  </w:r>
                </w:p>
              </w:tc>
              <w:tc>
                <w:tcPr>
                  <w:tcW w:w="1676" w:type="dxa"/>
                  <w:vAlign w:val="center"/>
                </w:tcPr>
                <w:p w14:paraId="6F7BD3F3">
                  <w:pPr>
                    <w:jc w:val="center"/>
                    <w:rPr>
                      <w:bCs/>
                      <w:iCs/>
                    </w:rPr>
                  </w:pPr>
                  <w:r>
                    <w:rPr>
                      <w:rFonts w:hint="eastAsia"/>
                      <w:bCs/>
                      <w:iCs/>
                    </w:rPr>
                    <w:t>4</w:t>
                  </w:r>
                  <w:r>
                    <w:rPr>
                      <w:bCs/>
                      <w:iCs/>
                    </w:rPr>
                    <w:t>1</w:t>
                  </w:r>
                </w:p>
              </w:tc>
              <w:tc>
                <w:tcPr>
                  <w:tcW w:w="1722" w:type="dxa"/>
                  <w:vAlign w:val="center"/>
                </w:tcPr>
                <w:p w14:paraId="05BE9302">
                  <w:pPr>
                    <w:jc w:val="center"/>
                    <w:rPr>
                      <w:bCs/>
                      <w:iCs/>
                    </w:rPr>
                  </w:pPr>
                  <w:r>
                    <w:rPr>
                      <w:rFonts w:hint="eastAsia"/>
                      <w:bCs/>
                      <w:iCs/>
                    </w:rPr>
                    <w:t>3</w:t>
                  </w:r>
                  <w:r>
                    <w:rPr>
                      <w:bCs/>
                      <w:iCs/>
                    </w:rPr>
                    <w:t>9</w:t>
                  </w:r>
                </w:p>
              </w:tc>
            </w:tr>
            <w:tr w14:paraId="1DD2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6A31689B">
                  <w:pPr>
                    <w:numPr>
                      <w:ilvl w:val="0"/>
                      <w:numId w:val="9"/>
                    </w:numPr>
                    <w:jc w:val="center"/>
                  </w:pPr>
                </w:p>
              </w:tc>
              <w:tc>
                <w:tcPr>
                  <w:tcW w:w="2552" w:type="dxa"/>
                  <w:vMerge w:val="continue"/>
                  <w:vAlign w:val="center"/>
                </w:tcPr>
                <w:p w14:paraId="652BF45D">
                  <w:pPr>
                    <w:jc w:val="center"/>
                  </w:pPr>
                </w:p>
              </w:tc>
              <w:tc>
                <w:tcPr>
                  <w:tcW w:w="1842" w:type="dxa"/>
                  <w:vAlign w:val="center"/>
                </w:tcPr>
                <w:p w14:paraId="336BF535">
                  <w:pPr>
                    <w:jc w:val="center"/>
                  </w:pPr>
                  <w:r>
                    <w:rPr>
                      <w:bCs/>
                      <w:iCs/>
                    </w:rPr>
                    <w:t>202</w:t>
                  </w:r>
                  <w:r>
                    <w:rPr>
                      <w:rFonts w:hint="eastAsia"/>
                      <w:bCs/>
                      <w:iCs/>
                    </w:rPr>
                    <w:t>6</w:t>
                  </w:r>
                  <w:r>
                    <w:rPr>
                      <w:bCs/>
                      <w:iCs/>
                    </w:rPr>
                    <w:t>.5.22</w:t>
                  </w:r>
                </w:p>
              </w:tc>
              <w:tc>
                <w:tcPr>
                  <w:tcW w:w="1676" w:type="dxa"/>
                  <w:vAlign w:val="center"/>
                </w:tcPr>
                <w:p w14:paraId="77392855">
                  <w:pPr>
                    <w:jc w:val="center"/>
                  </w:pPr>
                  <w:r>
                    <w:rPr>
                      <w:rFonts w:hint="eastAsia"/>
                    </w:rPr>
                    <w:t>4</w:t>
                  </w:r>
                  <w:r>
                    <w:t>1</w:t>
                  </w:r>
                </w:p>
              </w:tc>
              <w:tc>
                <w:tcPr>
                  <w:tcW w:w="1722" w:type="dxa"/>
                  <w:vAlign w:val="center"/>
                </w:tcPr>
                <w:p w14:paraId="0F85D041">
                  <w:pPr>
                    <w:jc w:val="center"/>
                  </w:pPr>
                  <w:r>
                    <w:rPr>
                      <w:rFonts w:hint="eastAsia"/>
                    </w:rPr>
                    <w:t>3</w:t>
                  </w:r>
                  <w:r>
                    <w:t>8</w:t>
                  </w:r>
                </w:p>
              </w:tc>
            </w:tr>
            <w:tr w14:paraId="7A74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20469A13">
                  <w:pPr>
                    <w:numPr>
                      <w:ilvl w:val="0"/>
                      <w:numId w:val="9"/>
                    </w:numPr>
                    <w:jc w:val="center"/>
                    <w:rPr>
                      <w:bCs/>
                      <w:iCs/>
                    </w:rPr>
                  </w:pPr>
                </w:p>
              </w:tc>
              <w:tc>
                <w:tcPr>
                  <w:tcW w:w="2552" w:type="dxa"/>
                  <w:vMerge w:val="restart"/>
                  <w:vAlign w:val="center"/>
                </w:tcPr>
                <w:p w14:paraId="2D4F56A1">
                  <w:pPr>
                    <w:jc w:val="center"/>
                    <w:rPr>
                      <w:bCs/>
                      <w:iCs/>
                    </w:rPr>
                  </w:pPr>
                  <w:r>
                    <w:rPr>
                      <w:rFonts w:hint="eastAsia"/>
                      <w:bCs/>
                      <w:iCs/>
                    </w:rPr>
                    <w:t>杨家村</w:t>
                  </w:r>
                </w:p>
              </w:tc>
              <w:tc>
                <w:tcPr>
                  <w:tcW w:w="1842" w:type="dxa"/>
                  <w:vAlign w:val="center"/>
                </w:tcPr>
                <w:p w14:paraId="511FBE7E">
                  <w:pPr>
                    <w:jc w:val="center"/>
                  </w:pPr>
                  <w:r>
                    <w:rPr>
                      <w:bCs/>
                      <w:iCs/>
                    </w:rPr>
                    <w:t>202</w:t>
                  </w:r>
                  <w:r>
                    <w:rPr>
                      <w:rFonts w:hint="eastAsia"/>
                      <w:bCs/>
                      <w:iCs/>
                    </w:rPr>
                    <w:t>6</w:t>
                  </w:r>
                  <w:r>
                    <w:rPr>
                      <w:bCs/>
                      <w:iCs/>
                    </w:rPr>
                    <w:t>.5.21</w:t>
                  </w:r>
                </w:p>
              </w:tc>
              <w:tc>
                <w:tcPr>
                  <w:tcW w:w="1676" w:type="dxa"/>
                  <w:vAlign w:val="center"/>
                </w:tcPr>
                <w:p w14:paraId="1804CD66">
                  <w:pPr>
                    <w:jc w:val="center"/>
                    <w:rPr>
                      <w:bCs/>
                      <w:iCs/>
                    </w:rPr>
                  </w:pPr>
                  <w:r>
                    <w:rPr>
                      <w:rFonts w:hint="eastAsia"/>
                      <w:bCs/>
                      <w:iCs/>
                    </w:rPr>
                    <w:t>4</w:t>
                  </w:r>
                  <w:r>
                    <w:rPr>
                      <w:bCs/>
                      <w:iCs/>
                    </w:rPr>
                    <w:t>6</w:t>
                  </w:r>
                </w:p>
              </w:tc>
              <w:tc>
                <w:tcPr>
                  <w:tcW w:w="1722" w:type="dxa"/>
                  <w:vAlign w:val="center"/>
                </w:tcPr>
                <w:p w14:paraId="74C1B662">
                  <w:pPr>
                    <w:jc w:val="center"/>
                    <w:rPr>
                      <w:bCs/>
                      <w:iCs/>
                    </w:rPr>
                  </w:pPr>
                  <w:r>
                    <w:rPr>
                      <w:rFonts w:hint="eastAsia"/>
                      <w:bCs/>
                      <w:iCs/>
                    </w:rPr>
                    <w:t>4</w:t>
                  </w:r>
                  <w:r>
                    <w:rPr>
                      <w:bCs/>
                      <w:iCs/>
                    </w:rPr>
                    <w:t>0</w:t>
                  </w:r>
                </w:p>
              </w:tc>
            </w:tr>
            <w:tr w14:paraId="6466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3AC6844F">
                  <w:pPr>
                    <w:numPr>
                      <w:ilvl w:val="0"/>
                      <w:numId w:val="9"/>
                    </w:numPr>
                    <w:jc w:val="center"/>
                  </w:pPr>
                </w:p>
              </w:tc>
              <w:tc>
                <w:tcPr>
                  <w:tcW w:w="2552" w:type="dxa"/>
                  <w:vMerge w:val="continue"/>
                  <w:vAlign w:val="center"/>
                </w:tcPr>
                <w:p w14:paraId="71B87A0A">
                  <w:pPr>
                    <w:jc w:val="center"/>
                  </w:pPr>
                </w:p>
              </w:tc>
              <w:tc>
                <w:tcPr>
                  <w:tcW w:w="1842" w:type="dxa"/>
                  <w:vAlign w:val="center"/>
                </w:tcPr>
                <w:p w14:paraId="3211347C">
                  <w:pPr>
                    <w:jc w:val="center"/>
                  </w:pPr>
                  <w:r>
                    <w:rPr>
                      <w:bCs/>
                      <w:iCs/>
                    </w:rPr>
                    <w:t>202</w:t>
                  </w:r>
                  <w:r>
                    <w:rPr>
                      <w:rFonts w:hint="eastAsia"/>
                      <w:bCs/>
                      <w:iCs/>
                    </w:rPr>
                    <w:t>6</w:t>
                  </w:r>
                  <w:r>
                    <w:rPr>
                      <w:bCs/>
                      <w:iCs/>
                    </w:rPr>
                    <w:t>.5.22</w:t>
                  </w:r>
                </w:p>
              </w:tc>
              <w:tc>
                <w:tcPr>
                  <w:tcW w:w="1676" w:type="dxa"/>
                  <w:vAlign w:val="center"/>
                </w:tcPr>
                <w:p w14:paraId="24C985E6">
                  <w:pPr>
                    <w:jc w:val="center"/>
                  </w:pPr>
                  <w:r>
                    <w:rPr>
                      <w:rFonts w:hint="eastAsia"/>
                    </w:rPr>
                    <w:t>4</w:t>
                  </w:r>
                  <w:r>
                    <w:t>5</w:t>
                  </w:r>
                </w:p>
              </w:tc>
              <w:tc>
                <w:tcPr>
                  <w:tcW w:w="1722" w:type="dxa"/>
                  <w:vAlign w:val="center"/>
                </w:tcPr>
                <w:p w14:paraId="4350EC5D">
                  <w:pPr>
                    <w:jc w:val="center"/>
                  </w:pPr>
                  <w:r>
                    <w:rPr>
                      <w:rFonts w:hint="eastAsia"/>
                    </w:rPr>
                    <w:t>4</w:t>
                  </w:r>
                  <w:r>
                    <w:t>0</w:t>
                  </w:r>
                </w:p>
              </w:tc>
            </w:tr>
            <w:tr w14:paraId="6D75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25A27CAE">
                  <w:pPr>
                    <w:numPr>
                      <w:ilvl w:val="0"/>
                      <w:numId w:val="9"/>
                    </w:numPr>
                    <w:jc w:val="center"/>
                  </w:pPr>
                </w:p>
              </w:tc>
              <w:tc>
                <w:tcPr>
                  <w:tcW w:w="2552" w:type="dxa"/>
                  <w:vMerge w:val="restart"/>
                  <w:vAlign w:val="center"/>
                </w:tcPr>
                <w:p w14:paraId="7C7B9FD8">
                  <w:pPr>
                    <w:jc w:val="center"/>
                  </w:pPr>
                  <w:r>
                    <w:rPr>
                      <w:rFonts w:hint="eastAsia"/>
                    </w:rPr>
                    <w:t>炭山坡</w:t>
                  </w:r>
                </w:p>
              </w:tc>
              <w:tc>
                <w:tcPr>
                  <w:tcW w:w="1842" w:type="dxa"/>
                  <w:vAlign w:val="center"/>
                </w:tcPr>
                <w:p w14:paraId="71FE30BF">
                  <w:pPr>
                    <w:jc w:val="center"/>
                    <w:rPr>
                      <w:bCs/>
                      <w:iCs/>
                    </w:rPr>
                  </w:pPr>
                  <w:r>
                    <w:rPr>
                      <w:bCs/>
                      <w:iCs/>
                    </w:rPr>
                    <w:t>202</w:t>
                  </w:r>
                  <w:r>
                    <w:rPr>
                      <w:rFonts w:hint="eastAsia"/>
                      <w:bCs/>
                      <w:iCs/>
                    </w:rPr>
                    <w:t>6</w:t>
                  </w:r>
                  <w:r>
                    <w:rPr>
                      <w:bCs/>
                      <w:iCs/>
                    </w:rPr>
                    <w:t>.5.21</w:t>
                  </w:r>
                </w:p>
              </w:tc>
              <w:tc>
                <w:tcPr>
                  <w:tcW w:w="1676" w:type="dxa"/>
                  <w:vAlign w:val="center"/>
                </w:tcPr>
                <w:p w14:paraId="28FD3F0D">
                  <w:pPr>
                    <w:jc w:val="center"/>
                  </w:pPr>
                  <w:r>
                    <w:rPr>
                      <w:rFonts w:hint="eastAsia"/>
                    </w:rPr>
                    <w:t>4</w:t>
                  </w:r>
                  <w:r>
                    <w:t>3</w:t>
                  </w:r>
                </w:p>
              </w:tc>
              <w:tc>
                <w:tcPr>
                  <w:tcW w:w="1722" w:type="dxa"/>
                  <w:vAlign w:val="center"/>
                </w:tcPr>
                <w:p w14:paraId="7A66856C">
                  <w:pPr>
                    <w:jc w:val="center"/>
                  </w:pPr>
                  <w:r>
                    <w:rPr>
                      <w:rFonts w:hint="eastAsia"/>
                    </w:rPr>
                    <w:t>3</w:t>
                  </w:r>
                  <w:r>
                    <w:t>8</w:t>
                  </w:r>
                </w:p>
              </w:tc>
            </w:tr>
            <w:tr w14:paraId="38BF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03D57F72">
                  <w:pPr>
                    <w:numPr>
                      <w:ilvl w:val="0"/>
                      <w:numId w:val="9"/>
                    </w:numPr>
                    <w:jc w:val="center"/>
                    <w:rPr>
                      <w:bCs/>
                      <w:iCs/>
                    </w:rPr>
                  </w:pPr>
                </w:p>
              </w:tc>
              <w:tc>
                <w:tcPr>
                  <w:tcW w:w="2552" w:type="dxa"/>
                  <w:vMerge w:val="continue"/>
                  <w:vAlign w:val="center"/>
                </w:tcPr>
                <w:p w14:paraId="499AE33E">
                  <w:pPr>
                    <w:jc w:val="center"/>
                  </w:pPr>
                </w:p>
              </w:tc>
              <w:tc>
                <w:tcPr>
                  <w:tcW w:w="1842" w:type="dxa"/>
                  <w:vAlign w:val="center"/>
                </w:tcPr>
                <w:p w14:paraId="30B61585">
                  <w:pPr>
                    <w:jc w:val="center"/>
                    <w:rPr>
                      <w:bCs/>
                      <w:iCs/>
                    </w:rPr>
                  </w:pPr>
                  <w:r>
                    <w:rPr>
                      <w:bCs/>
                      <w:iCs/>
                    </w:rPr>
                    <w:t>202</w:t>
                  </w:r>
                  <w:r>
                    <w:rPr>
                      <w:rFonts w:hint="eastAsia"/>
                      <w:bCs/>
                      <w:iCs/>
                    </w:rPr>
                    <w:t>6</w:t>
                  </w:r>
                  <w:r>
                    <w:rPr>
                      <w:bCs/>
                      <w:iCs/>
                    </w:rPr>
                    <w:t>.5.22</w:t>
                  </w:r>
                </w:p>
              </w:tc>
              <w:tc>
                <w:tcPr>
                  <w:tcW w:w="1676" w:type="dxa"/>
                  <w:vAlign w:val="center"/>
                </w:tcPr>
                <w:p w14:paraId="5A7C9E70">
                  <w:pPr>
                    <w:jc w:val="center"/>
                  </w:pPr>
                  <w:r>
                    <w:rPr>
                      <w:rFonts w:hint="eastAsia"/>
                    </w:rPr>
                    <w:t>4</w:t>
                  </w:r>
                  <w:r>
                    <w:t>2</w:t>
                  </w:r>
                </w:p>
              </w:tc>
              <w:tc>
                <w:tcPr>
                  <w:tcW w:w="1722" w:type="dxa"/>
                  <w:vAlign w:val="center"/>
                </w:tcPr>
                <w:p w14:paraId="5BD6D333">
                  <w:pPr>
                    <w:jc w:val="center"/>
                  </w:pPr>
                  <w:r>
                    <w:rPr>
                      <w:rFonts w:hint="eastAsia"/>
                    </w:rPr>
                    <w:t>3</w:t>
                  </w:r>
                  <w:r>
                    <w:t>8</w:t>
                  </w:r>
                </w:p>
              </w:tc>
            </w:tr>
            <w:tr w14:paraId="2021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49DD345A">
                  <w:pPr>
                    <w:numPr>
                      <w:ilvl w:val="0"/>
                      <w:numId w:val="9"/>
                    </w:numPr>
                    <w:jc w:val="center"/>
                  </w:pPr>
                </w:p>
              </w:tc>
              <w:tc>
                <w:tcPr>
                  <w:tcW w:w="2552" w:type="dxa"/>
                  <w:vMerge w:val="restart"/>
                  <w:vAlign w:val="center"/>
                </w:tcPr>
                <w:p w14:paraId="148B03B5">
                  <w:pPr>
                    <w:jc w:val="center"/>
                  </w:pPr>
                  <w:r>
                    <w:rPr>
                      <w:rFonts w:hint="eastAsia"/>
                    </w:rPr>
                    <w:t>万家村</w:t>
                  </w:r>
                </w:p>
              </w:tc>
              <w:tc>
                <w:tcPr>
                  <w:tcW w:w="1842" w:type="dxa"/>
                  <w:vAlign w:val="center"/>
                </w:tcPr>
                <w:p w14:paraId="34DDC205">
                  <w:pPr>
                    <w:jc w:val="center"/>
                    <w:rPr>
                      <w:bCs/>
                      <w:iCs/>
                    </w:rPr>
                  </w:pPr>
                  <w:r>
                    <w:rPr>
                      <w:bCs/>
                      <w:iCs/>
                    </w:rPr>
                    <w:t>202</w:t>
                  </w:r>
                  <w:r>
                    <w:rPr>
                      <w:rFonts w:hint="eastAsia"/>
                      <w:bCs/>
                      <w:iCs/>
                    </w:rPr>
                    <w:t>6</w:t>
                  </w:r>
                  <w:r>
                    <w:rPr>
                      <w:bCs/>
                      <w:iCs/>
                    </w:rPr>
                    <w:t>.5.21</w:t>
                  </w:r>
                </w:p>
              </w:tc>
              <w:tc>
                <w:tcPr>
                  <w:tcW w:w="1676" w:type="dxa"/>
                  <w:vAlign w:val="center"/>
                </w:tcPr>
                <w:p w14:paraId="7B0182D6">
                  <w:pPr>
                    <w:jc w:val="center"/>
                  </w:pPr>
                  <w:r>
                    <w:rPr>
                      <w:rFonts w:hint="eastAsia"/>
                    </w:rPr>
                    <w:t>4</w:t>
                  </w:r>
                  <w:r>
                    <w:t>2</w:t>
                  </w:r>
                </w:p>
              </w:tc>
              <w:tc>
                <w:tcPr>
                  <w:tcW w:w="1722" w:type="dxa"/>
                  <w:vAlign w:val="center"/>
                </w:tcPr>
                <w:p w14:paraId="57B6F2A6">
                  <w:pPr>
                    <w:jc w:val="center"/>
                  </w:pPr>
                  <w:r>
                    <w:rPr>
                      <w:rFonts w:hint="eastAsia"/>
                    </w:rPr>
                    <w:t>3</w:t>
                  </w:r>
                  <w:r>
                    <w:t>8</w:t>
                  </w:r>
                </w:p>
              </w:tc>
            </w:tr>
            <w:tr w14:paraId="5394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2A80972F">
                  <w:pPr>
                    <w:numPr>
                      <w:ilvl w:val="0"/>
                      <w:numId w:val="9"/>
                    </w:numPr>
                    <w:jc w:val="center"/>
                    <w:rPr>
                      <w:bCs/>
                      <w:iCs/>
                    </w:rPr>
                  </w:pPr>
                </w:p>
              </w:tc>
              <w:tc>
                <w:tcPr>
                  <w:tcW w:w="2552" w:type="dxa"/>
                  <w:vMerge w:val="continue"/>
                  <w:vAlign w:val="center"/>
                </w:tcPr>
                <w:p w14:paraId="73A83FF8">
                  <w:pPr>
                    <w:jc w:val="center"/>
                  </w:pPr>
                </w:p>
              </w:tc>
              <w:tc>
                <w:tcPr>
                  <w:tcW w:w="1842" w:type="dxa"/>
                  <w:vAlign w:val="center"/>
                </w:tcPr>
                <w:p w14:paraId="7B8C29A4">
                  <w:pPr>
                    <w:jc w:val="center"/>
                    <w:rPr>
                      <w:bCs/>
                      <w:iCs/>
                    </w:rPr>
                  </w:pPr>
                  <w:r>
                    <w:rPr>
                      <w:bCs/>
                      <w:iCs/>
                    </w:rPr>
                    <w:t>202</w:t>
                  </w:r>
                  <w:r>
                    <w:rPr>
                      <w:rFonts w:hint="eastAsia"/>
                      <w:bCs/>
                      <w:iCs/>
                    </w:rPr>
                    <w:t>6</w:t>
                  </w:r>
                  <w:r>
                    <w:rPr>
                      <w:bCs/>
                      <w:iCs/>
                    </w:rPr>
                    <w:t>.5.22</w:t>
                  </w:r>
                </w:p>
              </w:tc>
              <w:tc>
                <w:tcPr>
                  <w:tcW w:w="1676" w:type="dxa"/>
                  <w:vAlign w:val="center"/>
                </w:tcPr>
                <w:p w14:paraId="7E41FAA2">
                  <w:pPr>
                    <w:jc w:val="center"/>
                  </w:pPr>
                  <w:r>
                    <w:rPr>
                      <w:rFonts w:hint="eastAsia"/>
                    </w:rPr>
                    <w:t>4</w:t>
                  </w:r>
                  <w:r>
                    <w:t>3</w:t>
                  </w:r>
                </w:p>
              </w:tc>
              <w:tc>
                <w:tcPr>
                  <w:tcW w:w="1722" w:type="dxa"/>
                  <w:vAlign w:val="center"/>
                </w:tcPr>
                <w:p w14:paraId="7B32F374">
                  <w:pPr>
                    <w:jc w:val="center"/>
                  </w:pPr>
                  <w:r>
                    <w:rPr>
                      <w:rFonts w:hint="eastAsia"/>
                    </w:rPr>
                    <w:t>3</w:t>
                  </w:r>
                  <w:r>
                    <w:t>7</w:t>
                  </w:r>
                </w:p>
              </w:tc>
            </w:tr>
            <w:tr w14:paraId="0FD1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32964FA0">
                  <w:pPr>
                    <w:numPr>
                      <w:ilvl w:val="0"/>
                      <w:numId w:val="9"/>
                    </w:numPr>
                    <w:jc w:val="center"/>
                  </w:pPr>
                </w:p>
              </w:tc>
              <w:tc>
                <w:tcPr>
                  <w:tcW w:w="2552" w:type="dxa"/>
                  <w:vMerge w:val="restart"/>
                  <w:vAlign w:val="center"/>
                </w:tcPr>
                <w:p w14:paraId="07BB4972">
                  <w:pPr>
                    <w:jc w:val="center"/>
                  </w:pPr>
                  <w:r>
                    <w:rPr>
                      <w:rFonts w:hint="eastAsia"/>
                    </w:rPr>
                    <w:t>梁子上</w:t>
                  </w:r>
                </w:p>
              </w:tc>
              <w:tc>
                <w:tcPr>
                  <w:tcW w:w="1842" w:type="dxa"/>
                  <w:vAlign w:val="center"/>
                </w:tcPr>
                <w:p w14:paraId="78C7AEC5">
                  <w:pPr>
                    <w:jc w:val="center"/>
                    <w:rPr>
                      <w:bCs/>
                      <w:iCs/>
                    </w:rPr>
                  </w:pPr>
                  <w:r>
                    <w:rPr>
                      <w:bCs/>
                      <w:iCs/>
                    </w:rPr>
                    <w:t>202</w:t>
                  </w:r>
                  <w:r>
                    <w:rPr>
                      <w:rFonts w:hint="eastAsia"/>
                      <w:bCs/>
                      <w:iCs/>
                    </w:rPr>
                    <w:t>6</w:t>
                  </w:r>
                  <w:r>
                    <w:rPr>
                      <w:bCs/>
                      <w:iCs/>
                    </w:rPr>
                    <w:t>.5.21</w:t>
                  </w:r>
                </w:p>
              </w:tc>
              <w:tc>
                <w:tcPr>
                  <w:tcW w:w="1676" w:type="dxa"/>
                  <w:vAlign w:val="center"/>
                </w:tcPr>
                <w:p w14:paraId="2F0AF4DE">
                  <w:pPr>
                    <w:jc w:val="center"/>
                  </w:pPr>
                  <w:r>
                    <w:rPr>
                      <w:rFonts w:hint="eastAsia"/>
                    </w:rPr>
                    <w:t>4</w:t>
                  </w:r>
                  <w:r>
                    <w:t>3</w:t>
                  </w:r>
                </w:p>
              </w:tc>
              <w:tc>
                <w:tcPr>
                  <w:tcW w:w="1722" w:type="dxa"/>
                  <w:vAlign w:val="center"/>
                </w:tcPr>
                <w:p w14:paraId="53ECF739">
                  <w:pPr>
                    <w:jc w:val="center"/>
                  </w:pPr>
                  <w:r>
                    <w:rPr>
                      <w:rFonts w:hint="eastAsia"/>
                    </w:rPr>
                    <w:t>4</w:t>
                  </w:r>
                  <w:r>
                    <w:t>0</w:t>
                  </w:r>
                </w:p>
              </w:tc>
            </w:tr>
            <w:tr w14:paraId="1938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79418C15">
                  <w:pPr>
                    <w:numPr>
                      <w:ilvl w:val="0"/>
                      <w:numId w:val="9"/>
                    </w:numPr>
                    <w:jc w:val="center"/>
                    <w:rPr>
                      <w:bCs/>
                      <w:iCs/>
                    </w:rPr>
                  </w:pPr>
                </w:p>
              </w:tc>
              <w:tc>
                <w:tcPr>
                  <w:tcW w:w="2552" w:type="dxa"/>
                  <w:vMerge w:val="continue"/>
                  <w:vAlign w:val="center"/>
                </w:tcPr>
                <w:p w14:paraId="1B415EE3">
                  <w:pPr>
                    <w:jc w:val="center"/>
                  </w:pPr>
                </w:p>
              </w:tc>
              <w:tc>
                <w:tcPr>
                  <w:tcW w:w="1842" w:type="dxa"/>
                  <w:vAlign w:val="center"/>
                </w:tcPr>
                <w:p w14:paraId="08E704D8">
                  <w:pPr>
                    <w:jc w:val="center"/>
                    <w:rPr>
                      <w:bCs/>
                      <w:iCs/>
                    </w:rPr>
                  </w:pPr>
                  <w:r>
                    <w:rPr>
                      <w:bCs/>
                      <w:iCs/>
                    </w:rPr>
                    <w:t>202</w:t>
                  </w:r>
                  <w:r>
                    <w:rPr>
                      <w:rFonts w:hint="eastAsia"/>
                      <w:bCs/>
                      <w:iCs/>
                    </w:rPr>
                    <w:t>6</w:t>
                  </w:r>
                  <w:r>
                    <w:rPr>
                      <w:bCs/>
                      <w:iCs/>
                    </w:rPr>
                    <w:t>.5.22</w:t>
                  </w:r>
                </w:p>
              </w:tc>
              <w:tc>
                <w:tcPr>
                  <w:tcW w:w="1676" w:type="dxa"/>
                  <w:vAlign w:val="center"/>
                </w:tcPr>
                <w:p w14:paraId="7CCC5051">
                  <w:pPr>
                    <w:jc w:val="center"/>
                  </w:pPr>
                  <w:r>
                    <w:rPr>
                      <w:rFonts w:hint="eastAsia"/>
                    </w:rPr>
                    <w:t>4</w:t>
                  </w:r>
                  <w:r>
                    <w:t>2</w:t>
                  </w:r>
                </w:p>
              </w:tc>
              <w:tc>
                <w:tcPr>
                  <w:tcW w:w="1722" w:type="dxa"/>
                  <w:vAlign w:val="center"/>
                </w:tcPr>
                <w:p w14:paraId="278229DE">
                  <w:pPr>
                    <w:jc w:val="center"/>
                  </w:pPr>
                  <w:r>
                    <w:rPr>
                      <w:rFonts w:hint="eastAsia"/>
                    </w:rPr>
                    <w:t>3</w:t>
                  </w:r>
                  <w:r>
                    <w:t>9</w:t>
                  </w:r>
                </w:p>
              </w:tc>
            </w:tr>
            <w:tr w14:paraId="2AD4E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3BD0CCB1">
                  <w:pPr>
                    <w:numPr>
                      <w:ilvl w:val="0"/>
                      <w:numId w:val="9"/>
                    </w:numPr>
                    <w:jc w:val="center"/>
                  </w:pPr>
                </w:p>
              </w:tc>
              <w:tc>
                <w:tcPr>
                  <w:tcW w:w="2552" w:type="dxa"/>
                  <w:vMerge w:val="restart"/>
                  <w:vAlign w:val="center"/>
                </w:tcPr>
                <w:p w14:paraId="1129ADE3">
                  <w:pPr>
                    <w:jc w:val="center"/>
                  </w:pPr>
                  <w:r>
                    <w:rPr>
                      <w:rFonts w:hint="eastAsia"/>
                    </w:rPr>
                    <w:t>田尾坝</w:t>
                  </w:r>
                </w:p>
              </w:tc>
              <w:tc>
                <w:tcPr>
                  <w:tcW w:w="1842" w:type="dxa"/>
                  <w:vAlign w:val="center"/>
                </w:tcPr>
                <w:p w14:paraId="40EBDD91">
                  <w:pPr>
                    <w:jc w:val="center"/>
                    <w:rPr>
                      <w:bCs/>
                      <w:iCs/>
                    </w:rPr>
                  </w:pPr>
                  <w:r>
                    <w:rPr>
                      <w:bCs/>
                      <w:iCs/>
                    </w:rPr>
                    <w:t>202</w:t>
                  </w:r>
                  <w:r>
                    <w:rPr>
                      <w:rFonts w:hint="eastAsia"/>
                      <w:bCs/>
                      <w:iCs/>
                    </w:rPr>
                    <w:t>6</w:t>
                  </w:r>
                  <w:r>
                    <w:rPr>
                      <w:bCs/>
                      <w:iCs/>
                    </w:rPr>
                    <w:t>.5.21</w:t>
                  </w:r>
                </w:p>
              </w:tc>
              <w:tc>
                <w:tcPr>
                  <w:tcW w:w="1676" w:type="dxa"/>
                  <w:vAlign w:val="center"/>
                </w:tcPr>
                <w:p w14:paraId="7F63633E">
                  <w:pPr>
                    <w:jc w:val="center"/>
                  </w:pPr>
                  <w:r>
                    <w:rPr>
                      <w:rFonts w:hint="eastAsia"/>
                    </w:rPr>
                    <w:t>4</w:t>
                  </w:r>
                  <w:r>
                    <w:t>3</w:t>
                  </w:r>
                </w:p>
              </w:tc>
              <w:tc>
                <w:tcPr>
                  <w:tcW w:w="1722" w:type="dxa"/>
                  <w:vAlign w:val="center"/>
                </w:tcPr>
                <w:p w14:paraId="17F36EA9">
                  <w:pPr>
                    <w:jc w:val="center"/>
                  </w:pPr>
                  <w:r>
                    <w:rPr>
                      <w:rFonts w:hint="eastAsia"/>
                    </w:rPr>
                    <w:t>3</w:t>
                  </w:r>
                  <w:r>
                    <w:t>8</w:t>
                  </w:r>
                </w:p>
              </w:tc>
            </w:tr>
            <w:tr w14:paraId="414EBE8A">
              <w:tblPrEx>
                <w:tblCellMar>
                  <w:top w:w="0" w:type="dxa"/>
                  <w:left w:w="108" w:type="dxa"/>
                  <w:bottom w:w="0" w:type="dxa"/>
                  <w:right w:w="108" w:type="dxa"/>
                </w:tblCellMar>
              </w:tblPrEx>
              <w:trPr>
                <w:trHeight w:val="283" w:hRule="atLeast"/>
                <w:jc w:val="center"/>
              </w:trPr>
              <w:tc>
                <w:tcPr>
                  <w:tcW w:w="755" w:type="dxa"/>
                  <w:vMerge w:val="continue"/>
                  <w:vAlign w:val="center"/>
                </w:tcPr>
                <w:p w14:paraId="2DB2B106">
                  <w:pPr>
                    <w:numPr>
                      <w:ilvl w:val="0"/>
                      <w:numId w:val="9"/>
                    </w:numPr>
                    <w:jc w:val="center"/>
                    <w:rPr>
                      <w:bCs/>
                      <w:iCs/>
                    </w:rPr>
                  </w:pPr>
                </w:p>
              </w:tc>
              <w:tc>
                <w:tcPr>
                  <w:tcW w:w="2552" w:type="dxa"/>
                  <w:vMerge w:val="continue"/>
                  <w:vAlign w:val="center"/>
                </w:tcPr>
                <w:p w14:paraId="5AF96823">
                  <w:pPr>
                    <w:jc w:val="center"/>
                  </w:pPr>
                </w:p>
              </w:tc>
              <w:tc>
                <w:tcPr>
                  <w:tcW w:w="1842" w:type="dxa"/>
                  <w:vAlign w:val="center"/>
                </w:tcPr>
                <w:p w14:paraId="23238402">
                  <w:pPr>
                    <w:jc w:val="center"/>
                    <w:rPr>
                      <w:bCs/>
                      <w:iCs/>
                    </w:rPr>
                  </w:pPr>
                  <w:r>
                    <w:rPr>
                      <w:bCs/>
                      <w:iCs/>
                    </w:rPr>
                    <w:t>202</w:t>
                  </w:r>
                  <w:r>
                    <w:rPr>
                      <w:rFonts w:hint="eastAsia"/>
                      <w:bCs/>
                      <w:iCs/>
                    </w:rPr>
                    <w:t>6</w:t>
                  </w:r>
                  <w:r>
                    <w:rPr>
                      <w:bCs/>
                      <w:iCs/>
                    </w:rPr>
                    <w:t>.5.22</w:t>
                  </w:r>
                </w:p>
              </w:tc>
              <w:tc>
                <w:tcPr>
                  <w:tcW w:w="1676" w:type="dxa"/>
                  <w:vAlign w:val="center"/>
                </w:tcPr>
                <w:p w14:paraId="2A12B1BE">
                  <w:pPr>
                    <w:jc w:val="center"/>
                  </w:pPr>
                  <w:r>
                    <w:rPr>
                      <w:rFonts w:hint="eastAsia"/>
                    </w:rPr>
                    <w:t>4</w:t>
                  </w:r>
                  <w:r>
                    <w:t>3</w:t>
                  </w:r>
                </w:p>
              </w:tc>
              <w:tc>
                <w:tcPr>
                  <w:tcW w:w="1722" w:type="dxa"/>
                  <w:vAlign w:val="center"/>
                </w:tcPr>
                <w:p w14:paraId="7064EECC">
                  <w:pPr>
                    <w:jc w:val="center"/>
                  </w:pPr>
                  <w:r>
                    <w:rPr>
                      <w:rFonts w:hint="eastAsia"/>
                    </w:rPr>
                    <w:t>3</w:t>
                  </w:r>
                  <w:r>
                    <w:t>9</w:t>
                  </w:r>
                </w:p>
              </w:tc>
            </w:tr>
            <w:tr w14:paraId="0091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51D54BFA">
                  <w:pPr>
                    <w:numPr>
                      <w:ilvl w:val="0"/>
                      <w:numId w:val="9"/>
                    </w:numPr>
                    <w:jc w:val="center"/>
                    <w:rPr>
                      <w:bCs/>
                      <w:iCs/>
                    </w:rPr>
                  </w:pPr>
                  <w:bookmarkStart w:id="116" w:name="_Hlk179475725"/>
                </w:p>
              </w:tc>
              <w:tc>
                <w:tcPr>
                  <w:tcW w:w="2552" w:type="dxa"/>
                  <w:vMerge w:val="restart"/>
                  <w:vAlign w:val="center"/>
                </w:tcPr>
                <w:p w14:paraId="514BB7A5">
                  <w:pPr>
                    <w:jc w:val="center"/>
                  </w:pPr>
                  <w:r>
                    <w:rPr>
                      <w:rFonts w:hint="eastAsia"/>
                    </w:rPr>
                    <w:t>大龙潭</w:t>
                  </w:r>
                </w:p>
              </w:tc>
              <w:tc>
                <w:tcPr>
                  <w:tcW w:w="1842" w:type="dxa"/>
                  <w:vAlign w:val="center"/>
                </w:tcPr>
                <w:p w14:paraId="29A47DAE">
                  <w:pPr>
                    <w:jc w:val="center"/>
                    <w:rPr>
                      <w:bCs/>
                      <w:iCs/>
                    </w:rPr>
                  </w:pPr>
                  <w:r>
                    <w:rPr>
                      <w:bCs/>
                      <w:iCs/>
                    </w:rPr>
                    <w:t>202</w:t>
                  </w:r>
                  <w:r>
                    <w:rPr>
                      <w:rFonts w:hint="eastAsia"/>
                      <w:bCs/>
                      <w:iCs/>
                    </w:rPr>
                    <w:t>6</w:t>
                  </w:r>
                  <w:r>
                    <w:rPr>
                      <w:bCs/>
                      <w:iCs/>
                    </w:rPr>
                    <w:t>.5.21</w:t>
                  </w:r>
                </w:p>
              </w:tc>
              <w:tc>
                <w:tcPr>
                  <w:tcW w:w="1676" w:type="dxa"/>
                  <w:vAlign w:val="center"/>
                </w:tcPr>
                <w:p w14:paraId="6051383A">
                  <w:pPr>
                    <w:jc w:val="center"/>
                    <w:rPr>
                      <w:rFonts w:hint="eastAsia"/>
                    </w:rPr>
                  </w:pPr>
                  <w:r>
                    <w:rPr>
                      <w:rFonts w:hint="eastAsia"/>
                    </w:rPr>
                    <w:t>4</w:t>
                  </w:r>
                  <w:r>
                    <w:t>1</w:t>
                  </w:r>
                </w:p>
              </w:tc>
              <w:tc>
                <w:tcPr>
                  <w:tcW w:w="1722" w:type="dxa"/>
                  <w:vAlign w:val="center"/>
                </w:tcPr>
                <w:p w14:paraId="34B5C24A">
                  <w:pPr>
                    <w:jc w:val="center"/>
                    <w:rPr>
                      <w:rFonts w:hint="eastAsia"/>
                    </w:rPr>
                  </w:pPr>
                  <w:r>
                    <w:rPr>
                      <w:rFonts w:hint="eastAsia"/>
                    </w:rPr>
                    <w:t>3</w:t>
                  </w:r>
                  <w:r>
                    <w:t>7</w:t>
                  </w:r>
                </w:p>
              </w:tc>
            </w:tr>
            <w:tr w14:paraId="0F50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48613E99">
                  <w:pPr>
                    <w:numPr>
                      <w:ilvl w:val="0"/>
                      <w:numId w:val="9"/>
                    </w:numPr>
                    <w:jc w:val="center"/>
                    <w:rPr>
                      <w:bCs/>
                      <w:iCs/>
                    </w:rPr>
                  </w:pPr>
                </w:p>
              </w:tc>
              <w:tc>
                <w:tcPr>
                  <w:tcW w:w="2552" w:type="dxa"/>
                  <w:vMerge w:val="continue"/>
                  <w:vAlign w:val="center"/>
                </w:tcPr>
                <w:p w14:paraId="6643AD84">
                  <w:pPr>
                    <w:jc w:val="center"/>
                  </w:pPr>
                </w:p>
              </w:tc>
              <w:tc>
                <w:tcPr>
                  <w:tcW w:w="1842" w:type="dxa"/>
                  <w:vAlign w:val="center"/>
                </w:tcPr>
                <w:p w14:paraId="33906D46">
                  <w:pPr>
                    <w:jc w:val="center"/>
                    <w:rPr>
                      <w:bCs/>
                      <w:iCs/>
                    </w:rPr>
                  </w:pPr>
                  <w:r>
                    <w:rPr>
                      <w:bCs/>
                      <w:iCs/>
                    </w:rPr>
                    <w:t>202</w:t>
                  </w:r>
                  <w:r>
                    <w:rPr>
                      <w:rFonts w:hint="eastAsia"/>
                      <w:bCs/>
                      <w:iCs/>
                    </w:rPr>
                    <w:t>6</w:t>
                  </w:r>
                  <w:r>
                    <w:rPr>
                      <w:bCs/>
                      <w:iCs/>
                    </w:rPr>
                    <w:t>.5.22</w:t>
                  </w:r>
                </w:p>
              </w:tc>
              <w:tc>
                <w:tcPr>
                  <w:tcW w:w="1676" w:type="dxa"/>
                  <w:vAlign w:val="center"/>
                </w:tcPr>
                <w:p w14:paraId="7D1422DA">
                  <w:pPr>
                    <w:jc w:val="center"/>
                    <w:rPr>
                      <w:rFonts w:hint="eastAsia"/>
                    </w:rPr>
                  </w:pPr>
                  <w:r>
                    <w:rPr>
                      <w:rFonts w:hint="eastAsia"/>
                    </w:rPr>
                    <w:t>4</w:t>
                  </w:r>
                  <w:r>
                    <w:t>1</w:t>
                  </w:r>
                </w:p>
              </w:tc>
              <w:tc>
                <w:tcPr>
                  <w:tcW w:w="1722" w:type="dxa"/>
                  <w:vAlign w:val="center"/>
                </w:tcPr>
                <w:p w14:paraId="55CB6088">
                  <w:pPr>
                    <w:jc w:val="center"/>
                    <w:rPr>
                      <w:rFonts w:hint="eastAsia"/>
                    </w:rPr>
                  </w:pPr>
                  <w:r>
                    <w:rPr>
                      <w:rFonts w:hint="eastAsia"/>
                    </w:rPr>
                    <w:t>3</w:t>
                  </w:r>
                  <w:r>
                    <w:t>8</w:t>
                  </w:r>
                </w:p>
              </w:tc>
            </w:tr>
            <w:tr w14:paraId="345E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2EDED7FB">
                  <w:pPr>
                    <w:numPr>
                      <w:ilvl w:val="0"/>
                      <w:numId w:val="9"/>
                    </w:numPr>
                    <w:jc w:val="center"/>
                    <w:rPr>
                      <w:bCs/>
                      <w:iCs/>
                    </w:rPr>
                  </w:pPr>
                </w:p>
              </w:tc>
              <w:tc>
                <w:tcPr>
                  <w:tcW w:w="2552" w:type="dxa"/>
                  <w:vMerge w:val="restart"/>
                  <w:vAlign w:val="center"/>
                </w:tcPr>
                <w:p w14:paraId="5B8E8E1B">
                  <w:pPr>
                    <w:jc w:val="center"/>
                  </w:pPr>
                  <w:r>
                    <w:rPr>
                      <w:rFonts w:hint="eastAsia"/>
                    </w:rPr>
                    <w:t>酸多梨树</w:t>
                  </w:r>
                </w:p>
              </w:tc>
              <w:tc>
                <w:tcPr>
                  <w:tcW w:w="1842" w:type="dxa"/>
                  <w:vAlign w:val="center"/>
                </w:tcPr>
                <w:p w14:paraId="3456F5FE">
                  <w:pPr>
                    <w:jc w:val="center"/>
                    <w:rPr>
                      <w:bCs/>
                      <w:iCs/>
                    </w:rPr>
                  </w:pPr>
                  <w:r>
                    <w:rPr>
                      <w:bCs/>
                      <w:iCs/>
                    </w:rPr>
                    <w:t>202</w:t>
                  </w:r>
                  <w:r>
                    <w:rPr>
                      <w:rFonts w:hint="eastAsia"/>
                      <w:bCs/>
                      <w:iCs/>
                    </w:rPr>
                    <w:t>6</w:t>
                  </w:r>
                  <w:r>
                    <w:rPr>
                      <w:bCs/>
                      <w:iCs/>
                    </w:rPr>
                    <w:t>.5.21</w:t>
                  </w:r>
                </w:p>
              </w:tc>
              <w:tc>
                <w:tcPr>
                  <w:tcW w:w="1676" w:type="dxa"/>
                  <w:vAlign w:val="center"/>
                </w:tcPr>
                <w:p w14:paraId="562E9371">
                  <w:pPr>
                    <w:jc w:val="center"/>
                    <w:rPr>
                      <w:rFonts w:hint="eastAsia"/>
                    </w:rPr>
                  </w:pPr>
                  <w:r>
                    <w:rPr>
                      <w:rFonts w:hint="eastAsia"/>
                    </w:rPr>
                    <w:t>4</w:t>
                  </w:r>
                  <w:r>
                    <w:t>4</w:t>
                  </w:r>
                </w:p>
              </w:tc>
              <w:tc>
                <w:tcPr>
                  <w:tcW w:w="1722" w:type="dxa"/>
                  <w:vAlign w:val="center"/>
                </w:tcPr>
                <w:p w14:paraId="55AE60E0">
                  <w:pPr>
                    <w:jc w:val="center"/>
                    <w:rPr>
                      <w:rFonts w:hint="eastAsia"/>
                    </w:rPr>
                  </w:pPr>
                  <w:r>
                    <w:rPr>
                      <w:rFonts w:hint="eastAsia"/>
                    </w:rPr>
                    <w:t>4</w:t>
                  </w:r>
                  <w:r>
                    <w:t>0</w:t>
                  </w:r>
                </w:p>
              </w:tc>
            </w:tr>
            <w:tr w14:paraId="09E5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6DCA4DFB">
                  <w:pPr>
                    <w:numPr>
                      <w:ilvl w:val="0"/>
                      <w:numId w:val="9"/>
                    </w:numPr>
                    <w:jc w:val="center"/>
                    <w:rPr>
                      <w:bCs/>
                      <w:iCs/>
                    </w:rPr>
                  </w:pPr>
                </w:p>
              </w:tc>
              <w:tc>
                <w:tcPr>
                  <w:tcW w:w="2552" w:type="dxa"/>
                  <w:vMerge w:val="continue"/>
                  <w:vAlign w:val="center"/>
                </w:tcPr>
                <w:p w14:paraId="21F24447">
                  <w:pPr>
                    <w:jc w:val="center"/>
                  </w:pPr>
                </w:p>
              </w:tc>
              <w:tc>
                <w:tcPr>
                  <w:tcW w:w="1842" w:type="dxa"/>
                  <w:vAlign w:val="center"/>
                </w:tcPr>
                <w:p w14:paraId="32742D08">
                  <w:pPr>
                    <w:jc w:val="center"/>
                    <w:rPr>
                      <w:bCs/>
                      <w:iCs/>
                    </w:rPr>
                  </w:pPr>
                  <w:r>
                    <w:rPr>
                      <w:bCs/>
                      <w:iCs/>
                    </w:rPr>
                    <w:t>202</w:t>
                  </w:r>
                  <w:r>
                    <w:rPr>
                      <w:rFonts w:hint="eastAsia"/>
                      <w:bCs/>
                      <w:iCs/>
                    </w:rPr>
                    <w:t>6</w:t>
                  </w:r>
                  <w:r>
                    <w:rPr>
                      <w:bCs/>
                      <w:iCs/>
                    </w:rPr>
                    <w:t>.5.22</w:t>
                  </w:r>
                </w:p>
              </w:tc>
              <w:tc>
                <w:tcPr>
                  <w:tcW w:w="1676" w:type="dxa"/>
                  <w:vAlign w:val="center"/>
                </w:tcPr>
                <w:p w14:paraId="39B63376">
                  <w:pPr>
                    <w:jc w:val="center"/>
                    <w:rPr>
                      <w:rFonts w:hint="eastAsia"/>
                    </w:rPr>
                  </w:pPr>
                  <w:r>
                    <w:rPr>
                      <w:rFonts w:hint="eastAsia"/>
                    </w:rPr>
                    <w:t>4</w:t>
                  </w:r>
                  <w:r>
                    <w:t>5</w:t>
                  </w:r>
                </w:p>
              </w:tc>
              <w:tc>
                <w:tcPr>
                  <w:tcW w:w="1722" w:type="dxa"/>
                  <w:vAlign w:val="center"/>
                </w:tcPr>
                <w:p w14:paraId="567574A0">
                  <w:pPr>
                    <w:jc w:val="center"/>
                    <w:rPr>
                      <w:rFonts w:hint="eastAsia"/>
                    </w:rPr>
                  </w:pPr>
                  <w:r>
                    <w:rPr>
                      <w:rFonts w:hint="eastAsia"/>
                    </w:rPr>
                    <w:t>4</w:t>
                  </w:r>
                  <w:r>
                    <w:t>1</w:t>
                  </w:r>
                </w:p>
              </w:tc>
            </w:tr>
            <w:tr w14:paraId="326B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785DAA95">
                  <w:pPr>
                    <w:numPr>
                      <w:ilvl w:val="0"/>
                      <w:numId w:val="9"/>
                    </w:numPr>
                    <w:jc w:val="center"/>
                    <w:rPr>
                      <w:bCs/>
                      <w:iCs/>
                    </w:rPr>
                  </w:pPr>
                </w:p>
              </w:tc>
              <w:tc>
                <w:tcPr>
                  <w:tcW w:w="2552" w:type="dxa"/>
                  <w:vMerge w:val="restart"/>
                  <w:vAlign w:val="center"/>
                </w:tcPr>
                <w:p w14:paraId="0C250F39">
                  <w:pPr>
                    <w:jc w:val="center"/>
                  </w:pPr>
                  <w:r>
                    <w:rPr>
                      <w:rFonts w:hint="eastAsia"/>
                    </w:rPr>
                    <w:t>菠萝塘</w:t>
                  </w:r>
                </w:p>
              </w:tc>
              <w:tc>
                <w:tcPr>
                  <w:tcW w:w="1842" w:type="dxa"/>
                  <w:vAlign w:val="center"/>
                </w:tcPr>
                <w:p w14:paraId="112DA47D">
                  <w:pPr>
                    <w:jc w:val="center"/>
                    <w:rPr>
                      <w:bCs/>
                      <w:iCs/>
                    </w:rPr>
                  </w:pPr>
                  <w:r>
                    <w:rPr>
                      <w:bCs/>
                      <w:iCs/>
                    </w:rPr>
                    <w:t>202</w:t>
                  </w:r>
                  <w:r>
                    <w:rPr>
                      <w:rFonts w:hint="eastAsia"/>
                      <w:bCs/>
                      <w:iCs/>
                    </w:rPr>
                    <w:t>6</w:t>
                  </w:r>
                  <w:r>
                    <w:rPr>
                      <w:bCs/>
                      <w:iCs/>
                    </w:rPr>
                    <w:t>.5.21</w:t>
                  </w:r>
                </w:p>
              </w:tc>
              <w:tc>
                <w:tcPr>
                  <w:tcW w:w="1676" w:type="dxa"/>
                  <w:vAlign w:val="center"/>
                </w:tcPr>
                <w:p w14:paraId="5C2CEA2B">
                  <w:pPr>
                    <w:jc w:val="center"/>
                    <w:rPr>
                      <w:rFonts w:hint="eastAsia"/>
                    </w:rPr>
                  </w:pPr>
                  <w:r>
                    <w:rPr>
                      <w:rFonts w:hint="eastAsia"/>
                    </w:rPr>
                    <w:t>4</w:t>
                  </w:r>
                  <w:r>
                    <w:t>2</w:t>
                  </w:r>
                </w:p>
              </w:tc>
              <w:tc>
                <w:tcPr>
                  <w:tcW w:w="1722" w:type="dxa"/>
                  <w:vAlign w:val="center"/>
                </w:tcPr>
                <w:p w14:paraId="35F3A636">
                  <w:pPr>
                    <w:jc w:val="center"/>
                    <w:rPr>
                      <w:rFonts w:hint="eastAsia"/>
                    </w:rPr>
                  </w:pPr>
                  <w:r>
                    <w:rPr>
                      <w:rFonts w:hint="eastAsia"/>
                    </w:rPr>
                    <w:t>3</w:t>
                  </w:r>
                  <w:r>
                    <w:t>8</w:t>
                  </w:r>
                </w:p>
              </w:tc>
            </w:tr>
            <w:tr w14:paraId="4A79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0095E79E">
                  <w:pPr>
                    <w:numPr>
                      <w:ilvl w:val="0"/>
                      <w:numId w:val="9"/>
                    </w:numPr>
                    <w:jc w:val="center"/>
                    <w:rPr>
                      <w:bCs/>
                      <w:iCs/>
                    </w:rPr>
                  </w:pPr>
                </w:p>
              </w:tc>
              <w:tc>
                <w:tcPr>
                  <w:tcW w:w="2552" w:type="dxa"/>
                  <w:vMerge w:val="continue"/>
                  <w:vAlign w:val="center"/>
                </w:tcPr>
                <w:p w14:paraId="4CC376ED">
                  <w:pPr>
                    <w:jc w:val="center"/>
                  </w:pPr>
                </w:p>
              </w:tc>
              <w:tc>
                <w:tcPr>
                  <w:tcW w:w="1842" w:type="dxa"/>
                  <w:vAlign w:val="center"/>
                </w:tcPr>
                <w:p w14:paraId="6C944FEA">
                  <w:pPr>
                    <w:jc w:val="center"/>
                    <w:rPr>
                      <w:bCs/>
                      <w:iCs/>
                    </w:rPr>
                  </w:pPr>
                  <w:r>
                    <w:rPr>
                      <w:bCs/>
                      <w:iCs/>
                    </w:rPr>
                    <w:t>202</w:t>
                  </w:r>
                  <w:r>
                    <w:rPr>
                      <w:rFonts w:hint="eastAsia"/>
                      <w:bCs/>
                      <w:iCs/>
                    </w:rPr>
                    <w:t>6</w:t>
                  </w:r>
                  <w:r>
                    <w:rPr>
                      <w:bCs/>
                      <w:iCs/>
                    </w:rPr>
                    <w:t>.5.22</w:t>
                  </w:r>
                </w:p>
              </w:tc>
              <w:tc>
                <w:tcPr>
                  <w:tcW w:w="1676" w:type="dxa"/>
                  <w:vAlign w:val="center"/>
                </w:tcPr>
                <w:p w14:paraId="4B835A85">
                  <w:pPr>
                    <w:jc w:val="center"/>
                    <w:rPr>
                      <w:rFonts w:hint="eastAsia"/>
                    </w:rPr>
                  </w:pPr>
                  <w:r>
                    <w:rPr>
                      <w:rFonts w:hint="eastAsia"/>
                    </w:rPr>
                    <w:t>4</w:t>
                  </w:r>
                  <w:r>
                    <w:t>1</w:t>
                  </w:r>
                </w:p>
              </w:tc>
              <w:tc>
                <w:tcPr>
                  <w:tcW w:w="1722" w:type="dxa"/>
                  <w:vAlign w:val="center"/>
                </w:tcPr>
                <w:p w14:paraId="1CD416F1">
                  <w:pPr>
                    <w:jc w:val="center"/>
                    <w:rPr>
                      <w:rFonts w:hint="eastAsia"/>
                    </w:rPr>
                  </w:pPr>
                  <w:r>
                    <w:rPr>
                      <w:rFonts w:hint="eastAsia"/>
                    </w:rPr>
                    <w:t>3</w:t>
                  </w:r>
                  <w:r>
                    <w:t>9</w:t>
                  </w:r>
                </w:p>
              </w:tc>
            </w:tr>
            <w:tr w14:paraId="4A6C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5E75F153">
                  <w:pPr>
                    <w:numPr>
                      <w:ilvl w:val="0"/>
                      <w:numId w:val="9"/>
                    </w:numPr>
                    <w:jc w:val="center"/>
                    <w:rPr>
                      <w:bCs/>
                      <w:iCs/>
                    </w:rPr>
                  </w:pPr>
                </w:p>
              </w:tc>
              <w:tc>
                <w:tcPr>
                  <w:tcW w:w="2552" w:type="dxa"/>
                  <w:vMerge w:val="restart"/>
                  <w:vAlign w:val="center"/>
                </w:tcPr>
                <w:p w14:paraId="389400D7">
                  <w:pPr>
                    <w:jc w:val="center"/>
                  </w:pPr>
                  <w:r>
                    <w:rPr>
                      <w:rFonts w:hint="eastAsia"/>
                    </w:rPr>
                    <w:t>散户1</w:t>
                  </w:r>
                </w:p>
              </w:tc>
              <w:tc>
                <w:tcPr>
                  <w:tcW w:w="1842" w:type="dxa"/>
                  <w:vAlign w:val="center"/>
                </w:tcPr>
                <w:p w14:paraId="41CEFAC1">
                  <w:pPr>
                    <w:jc w:val="center"/>
                    <w:rPr>
                      <w:bCs/>
                      <w:iCs/>
                    </w:rPr>
                  </w:pPr>
                  <w:r>
                    <w:rPr>
                      <w:bCs/>
                      <w:iCs/>
                    </w:rPr>
                    <w:t>202</w:t>
                  </w:r>
                  <w:r>
                    <w:rPr>
                      <w:rFonts w:hint="eastAsia"/>
                      <w:bCs/>
                      <w:iCs/>
                    </w:rPr>
                    <w:t>6</w:t>
                  </w:r>
                  <w:r>
                    <w:rPr>
                      <w:bCs/>
                      <w:iCs/>
                    </w:rPr>
                    <w:t>.5.21</w:t>
                  </w:r>
                </w:p>
              </w:tc>
              <w:tc>
                <w:tcPr>
                  <w:tcW w:w="1676" w:type="dxa"/>
                  <w:vAlign w:val="center"/>
                </w:tcPr>
                <w:p w14:paraId="5B6AD9D5">
                  <w:pPr>
                    <w:jc w:val="center"/>
                    <w:rPr>
                      <w:rFonts w:hint="eastAsia"/>
                    </w:rPr>
                  </w:pPr>
                  <w:r>
                    <w:rPr>
                      <w:rFonts w:hint="eastAsia"/>
                    </w:rPr>
                    <w:t>4</w:t>
                  </w:r>
                  <w:r>
                    <w:t>2</w:t>
                  </w:r>
                </w:p>
              </w:tc>
              <w:tc>
                <w:tcPr>
                  <w:tcW w:w="1722" w:type="dxa"/>
                  <w:vAlign w:val="center"/>
                </w:tcPr>
                <w:p w14:paraId="37DA0A75">
                  <w:pPr>
                    <w:jc w:val="center"/>
                    <w:rPr>
                      <w:rFonts w:hint="eastAsia"/>
                    </w:rPr>
                  </w:pPr>
                  <w:r>
                    <w:rPr>
                      <w:rFonts w:hint="eastAsia"/>
                    </w:rPr>
                    <w:t>3</w:t>
                  </w:r>
                  <w:r>
                    <w:t>9</w:t>
                  </w:r>
                </w:p>
              </w:tc>
            </w:tr>
            <w:tr w14:paraId="27D1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3879A517">
                  <w:pPr>
                    <w:numPr>
                      <w:ilvl w:val="0"/>
                      <w:numId w:val="9"/>
                    </w:numPr>
                    <w:jc w:val="center"/>
                    <w:rPr>
                      <w:bCs/>
                      <w:iCs/>
                    </w:rPr>
                  </w:pPr>
                </w:p>
              </w:tc>
              <w:tc>
                <w:tcPr>
                  <w:tcW w:w="2552" w:type="dxa"/>
                  <w:vMerge w:val="continue"/>
                  <w:vAlign w:val="center"/>
                </w:tcPr>
                <w:p w14:paraId="31CA9FCC">
                  <w:pPr>
                    <w:jc w:val="center"/>
                  </w:pPr>
                </w:p>
              </w:tc>
              <w:tc>
                <w:tcPr>
                  <w:tcW w:w="1842" w:type="dxa"/>
                  <w:vAlign w:val="center"/>
                </w:tcPr>
                <w:p w14:paraId="0587C2EA">
                  <w:pPr>
                    <w:jc w:val="center"/>
                    <w:rPr>
                      <w:bCs/>
                      <w:iCs/>
                    </w:rPr>
                  </w:pPr>
                  <w:r>
                    <w:rPr>
                      <w:bCs/>
                      <w:iCs/>
                    </w:rPr>
                    <w:t>202</w:t>
                  </w:r>
                  <w:r>
                    <w:rPr>
                      <w:rFonts w:hint="eastAsia"/>
                      <w:bCs/>
                      <w:iCs/>
                    </w:rPr>
                    <w:t>6</w:t>
                  </w:r>
                  <w:r>
                    <w:rPr>
                      <w:bCs/>
                      <w:iCs/>
                    </w:rPr>
                    <w:t>.5.22</w:t>
                  </w:r>
                </w:p>
              </w:tc>
              <w:tc>
                <w:tcPr>
                  <w:tcW w:w="1676" w:type="dxa"/>
                  <w:vAlign w:val="center"/>
                </w:tcPr>
                <w:p w14:paraId="032CDD0D">
                  <w:pPr>
                    <w:jc w:val="center"/>
                    <w:rPr>
                      <w:rFonts w:hint="eastAsia"/>
                    </w:rPr>
                  </w:pPr>
                  <w:r>
                    <w:rPr>
                      <w:rFonts w:hint="eastAsia"/>
                    </w:rPr>
                    <w:t>4</w:t>
                  </w:r>
                  <w:r>
                    <w:t>3</w:t>
                  </w:r>
                </w:p>
              </w:tc>
              <w:tc>
                <w:tcPr>
                  <w:tcW w:w="1722" w:type="dxa"/>
                  <w:vAlign w:val="center"/>
                </w:tcPr>
                <w:p w14:paraId="6D4DCE75">
                  <w:pPr>
                    <w:jc w:val="center"/>
                    <w:rPr>
                      <w:rFonts w:hint="eastAsia"/>
                    </w:rPr>
                  </w:pPr>
                  <w:r>
                    <w:rPr>
                      <w:rFonts w:hint="eastAsia"/>
                    </w:rPr>
                    <w:t>3</w:t>
                  </w:r>
                  <w:r>
                    <w:t>8</w:t>
                  </w:r>
                </w:p>
              </w:tc>
            </w:tr>
            <w:tr w14:paraId="11B1FEBA">
              <w:tblPrEx>
                <w:tblCellMar>
                  <w:top w:w="0" w:type="dxa"/>
                  <w:left w:w="108" w:type="dxa"/>
                  <w:bottom w:w="0" w:type="dxa"/>
                  <w:right w:w="108" w:type="dxa"/>
                </w:tblCellMar>
              </w:tblPrEx>
              <w:trPr>
                <w:trHeight w:val="283" w:hRule="atLeast"/>
                <w:jc w:val="center"/>
              </w:trPr>
              <w:tc>
                <w:tcPr>
                  <w:tcW w:w="755" w:type="dxa"/>
                  <w:vMerge w:val="restart"/>
                  <w:vAlign w:val="center"/>
                </w:tcPr>
                <w:p w14:paraId="6FD05184">
                  <w:pPr>
                    <w:numPr>
                      <w:ilvl w:val="0"/>
                      <w:numId w:val="9"/>
                    </w:numPr>
                    <w:jc w:val="center"/>
                    <w:rPr>
                      <w:bCs/>
                      <w:iCs/>
                    </w:rPr>
                  </w:pPr>
                </w:p>
              </w:tc>
              <w:tc>
                <w:tcPr>
                  <w:tcW w:w="2552" w:type="dxa"/>
                  <w:vMerge w:val="restart"/>
                  <w:vAlign w:val="center"/>
                </w:tcPr>
                <w:p w14:paraId="1B6B2A98">
                  <w:pPr>
                    <w:jc w:val="center"/>
                  </w:pPr>
                  <w:r>
                    <w:rPr>
                      <w:rFonts w:hint="eastAsia"/>
                    </w:rPr>
                    <w:t>散户2</w:t>
                  </w:r>
                </w:p>
              </w:tc>
              <w:tc>
                <w:tcPr>
                  <w:tcW w:w="1842" w:type="dxa"/>
                  <w:vAlign w:val="center"/>
                </w:tcPr>
                <w:p w14:paraId="61400E64">
                  <w:pPr>
                    <w:jc w:val="center"/>
                    <w:rPr>
                      <w:bCs/>
                      <w:iCs/>
                    </w:rPr>
                  </w:pPr>
                  <w:r>
                    <w:rPr>
                      <w:bCs/>
                      <w:iCs/>
                    </w:rPr>
                    <w:t>202</w:t>
                  </w:r>
                  <w:r>
                    <w:rPr>
                      <w:rFonts w:hint="eastAsia"/>
                      <w:bCs/>
                      <w:iCs/>
                    </w:rPr>
                    <w:t>6</w:t>
                  </w:r>
                  <w:r>
                    <w:rPr>
                      <w:bCs/>
                      <w:iCs/>
                    </w:rPr>
                    <w:t>.5.21</w:t>
                  </w:r>
                </w:p>
              </w:tc>
              <w:tc>
                <w:tcPr>
                  <w:tcW w:w="1676" w:type="dxa"/>
                  <w:vAlign w:val="center"/>
                </w:tcPr>
                <w:p w14:paraId="3AA60213">
                  <w:pPr>
                    <w:jc w:val="center"/>
                    <w:rPr>
                      <w:rFonts w:hint="eastAsia"/>
                    </w:rPr>
                  </w:pPr>
                  <w:r>
                    <w:rPr>
                      <w:rFonts w:hint="eastAsia"/>
                      <w:bCs/>
                      <w:iCs/>
                    </w:rPr>
                    <w:t>4</w:t>
                  </w:r>
                  <w:r>
                    <w:rPr>
                      <w:bCs/>
                      <w:iCs/>
                    </w:rPr>
                    <w:t>5</w:t>
                  </w:r>
                </w:p>
              </w:tc>
              <w:tc>
                <w:tcPr>
                  <w:tcW w:w="1722" w:type="dxa"/>
                  <w:vAlign w:val="center"/>
                </w:tcPr>
                <w:p w14:paraId="24415D7A">
                  <w:pPr>
                    <w:jc w:val="center"/>
                    <w:rPr>
                      <w:rFonts w:hint="eastAsia"/>
                    </w:rPr>
                  </w:pPr>
                  <w:r>
                    <w:rPr>
                      <w:rFonts w:hint="eastAsia"/>
                      <w:bCs/>
                      <w:iCs/>
                    </w:rPr>
                    <w:t>4</w:t>
                  </w:r>
                  <w:r>
                    <w:rPr>
                      <w:bCs/>
                      <w:iCs/>
                    </w:rPr>
                    <w:t>1</w:t>
                  </w:r>
                </w:p>
              </w:tc>
            </w:tr>
            <w:tr w14:paraId="5CD5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0585935D">
                  <w:pPr>
                    <w:numPr>
                      <w:ilvl w:val="0"/>
                      <w:numId w:val="9"/>
                    </w:numPr>
                    <w:jc w:val="center"/>
                    <w:rPr>
                      <w:bCs/>
                      <w:iCs/>
                    </w:rPr>
                  </w:pPr>
                </w:p>
              </w:tc>
              <w:tc>
                <w:tcPr>
                  <w:tcW w:w="2552" w:type="dxa"/>
                  <w:vMerge w:val="continue"/>
                  <w:vAlign w:val="center"/>
                </w:tcPr>
                <w:p w14:paraId="37467509">
                  <w:pPr>
                    <w:jc w:val="center"/>
                  </w:pPr>
                </w:p>
              </w:tc>
              <w:tc>
                <w:tcPr>
                  <w:tcW w:w="1842" w:type="dxa"/>
                  <w:vAlign w:val="center"/>
                </w:tcPr>
                <w:p w14:paraId="57BE2FF3">
                  <w:pPr>
                    <w:jc w:val="center"/>
                    <w:rPr>
                      <w:bCs/>
                      <w:iCs/>
                    </w:rPr>
                  </w:pPr>
                  <w:r>
                    <w:rPr>
                      <w:bCs/>
                      <w:iCs/>
                    </w:rPr>
                    <w:t>202</w:t>
                  </w:r>
                  <w:r>
                    <w:rPr>
                      <w:rFonts w:hint="eastAsia"/>
                      <w:bCs/>
                      <w:iCs/>
                    </w:rPr>
                    <w:t>6</w:t>
                  </w:r>
                  <w:r>
                    <w:rPr>
                      <w:bCs/>
                      <w:iCs/>
                    </w:rPr>
                    <w:t>.5.22</w:t>
                  </w:r>
                </w:p>
              </w:tc>
              <w:tc>
                <w:tcPr>
                  <w:tcW w:w="1676" w:type="dxa"/>
                  <w:vAlign w:val="center"/>
                </w:tcPr>
                <w:p w14:paraId="03711E2A">
                  <w:pPr>
                    <w:jc w:val="center"/>
                    <w:rPr>
                      <w:rFonts w:hint="eastAsia"/>
                    </w:rPr>
                  </w:pPr>
                  <w:r>
                    <w:rPr>
                      <w:rFonts w:hint="eastAsia"/>
                    </w:rPr>
                    <w:t>4</w:t>
                  </w:r>
                  <w:r>
                    <w:t>4</w:t>
                  </w:r>
                </w:p>
              </w:tc>
              <w:tc>
                <w:tcPr>
                  <w:tcW w:w="1722" w:type="dxa"/>
                  <w:vAlign w:val="center"/>
                </w:tcPr>
                <w:p w14:paraId="75387A16">
                  <w:pPr>
                    <w:jc w:val="center"/>
                    <w:rPr>
                      <w:rFonts w:hint="eastAsia"/>
                    </w:rPr>
                  </w:pPr>
                  <w:r>
                    <w:rPr>
                      <w:rFonts w:hint="eastAsia"/>
                    </w:rPr>
                    <w:t>4</w:t>
                  </w:r>
                  <w:r>
                    <w:t>0</w:t>
                  </w:r>
                </w:p>
              </w:tc>
            </w:tr>
            <w:tr w14:paraId="4E30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0D11172F">
                  <w:pPr>
                    <w:numPr>
                      <w:ilvl w:val="0"/>
                      <w:numId w:val="9"/>
                    </w:numPr>
                    <w:jc w:val="center"/>
                    <w:rPr>
                      <w:bCs/>
                      <w:iCs/>
                    </w:rPr>
                  </w:pPr>
                </w:p>
              </w:tc>
              <w:tc>
                <w:tcPr>
                  <w:tcW w:w="2552" w:type="dxa"/>
                  <w:vMerge w:val="restart"/>
                  <w:vAlign w:val="center"/>
                </w:tcPr>
                <w:p w14:paraId="0F84A9A3">
                  <w:pPr>
                    <w:jc w:val="center"/>
                  </w:pPr>
                  <w:r>
                    <w:rPr>
                      <w:rFonts w:hint="eastAsia"/>
                    </w:rPr>
                    <w:t>盐水沟居民点</w:t>
                  </w:r>
                </w:p>
              </w:tc>
              <w:tc>
                <w:tcPr>
                  <w:tcW w:w="1842" w:type="dxa"/>
                  <w:vAlign w:val="center"/>
                </w:tcPr>
                <w:p w14:paraId="128F5F2A">
                  <w:pPr>
                    <w:jc w:val="center"/>
                    <w:rPr>
                      <w:bCs/>
                      <w:iCs/>
                    </w:rPr>
                  </w:pPr>
                  <w:r>
                    <w:rPr>
                      <w:bCs/>
                      <w:iCs/>
                    </w:rPr>
                    <w:t>202</w:t>
                  </w:r>
                  <w:r>
                    <w:rPr>
                      <w:rFonts w:hint="eastAsia"/>
                      <w:bCs/>
                      <w:iCs/>
                    </w:rPr>
                    <w:t>6</w:t>
                  </w:r>
                  <w:r>
                    <w:rPr>
                      <w:bCs/>
                      <w:iCs/>
                    </w:rPr>
                    <w:t>.5.21</w:t>
                  </w:r>
                </w:p>
              </w:tc>
              <w:tc>
                <w:tcPr>
                  <w:tcW w:w="1676" w:type="dxa"/>
                  <w:vAlign w:val="center"/>
                </w:tcPr>
                <w:p w14:paraId="64C9D06E">
                  <w:pPr>
                    <w:jc w:val="center"/>
                    <w:rPr>
                      <w:rFonts w:hint="eastAsia"/>
                    </w:rPr>
                  </w:pPr>
                  <w:r>
                    <w:rPr>
                      <w:rFonts w:hint="eastAsia"/>
                    </w:rPr>
                    <w:t>4</w:t>
                  </w:r>
                  <w:r>
                    <w:t>6</w:t>
                  </w:r>
                </w:p>
              </w:tc>
              <w:tc>
                <w:tcPr>
                  <w:tcW w:w="1722" w:type="dxa"/>
                  <w:vAlign w:val="center"/>
                </w:tcPr>
                <w:p w14:paraId="1F591FA4">
                  <w:pPr>
                    <w:jc w:val="center"/>
                    <w:rPr>
                      <w:rFonts w:hint="eastAsia"/>
                    </w:rPr>
                  </w:pPr>
                  <w:r>
                    <w:rPr>
                      <w:rFonts w:hint="eastAsia"/>
                    </w:rPr>
                    <w:t>4</w:t>
                  </w:r>
                  <w:r>
                    <w:t>0</w:t>
                  </w:r>
                </w:p>
              </w:tc>
            </w:tr>
            <w:tr w14:paraId="4BE5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30A3FC0F">
                  <w:pPr>
                    <w:numPr>
                      <w:ilvl w:val="0"/>
                      <w:numId w:val="9"/>
                    </w:numPr>
                    <w:jc w:val="center"/>
                    <w:rPr>
                      <w:bCs/>
                      <w:iCs/>
                    </w:rPr>
                  </w:pPr>
                </w:p>
              </w:tc>
              <w:tc>
                <w:tcPr>
                  <w:tcW w:w="2552" w:type="dxa"/>
                  <w:vMerge w:val="continue"/>
                  <w:vAlign w:val="center"/>
                </w:tcPr>
                <w:p w14:paraId="0BF0D54A">
                  <w:pPr>
                    <w:jc w:val="center"/>
                  </w:pPr>
                </w:p>
              </w:tc>
              <w:tc>
                <w:tcPr>
                  <w:tcW w:w="1842" w:type="dxa"/>
                  <w:vAlign w:val="center"/>
                </w:tcPr>
                <w:p w14:paraId="3DD9BF6A">
                  <w:pPr>
                    <w:jc w:val="center"/>
                    <w:rPr>
                      <w:bCs/>
                      <w:iCs/>
                    </w:rPr>
                  </w:pPr>
                  <w:r>
                    <w:rPr>
                      <w:bCs/>
                      <w:iCs/>
                    </w:rPr>
                    <w:t>202</w:t>
                  </w:r>
                  <w:r>
                    <w:rPr>
                      <w:rFonts w:hint="eastAsia"/>
                      <w:bCs/>
                      <w:iCs/>
                    </w:rPr>
                    <w:t>6</w:t>
                  </w:r>
                  <w:r>
                    <w:rPr>
                      <w:bCs/>
                      <w:iCs/>
                    </w:rPr>
                    <w:t>.5.22</w:t>
                  </w:r>
                </w:p>
              </w:tc>
              <w:tc>
                <w:tcPr>
                  <w:tcW w:w="1676" w:type="dxa"/>
                  <w:vAlign w:val="center"/>
                </w:tcPr>
                <w:p w14:paraId="45CBD986">
                  <w:pPr>
                    <w:jc w:val="center"/>
                    <w:rPr>
                      <w:rFonts w:hint="eastAsia"/>
                    </w:rPr>
                  </w:pPr>
                  <w:r>
                    <w:rPr>
                      <w:rFonts w:hint="eastAsia"/>
                    </w:rPr>
                    <w:t>4</w:t>
                  </w:r>
                  <w:r>
                    <w:t>5</w:t>
                  </w:r>
                </w:p>
              </w:tc>
              <w:tc>
                <w:tcPr>
                  <w:tcW w:w="1722" w:type="dxa"/>
                  <w:vAlign w:val="center"/>
                </w:tcPr>
                <w:p w14:paraId="5540D541">
                  <w:pPr>
                    <w:jc w:val="center"/>
                    <w:rPr>
                      <w:rFonts w:hint="eastAsia"/>
                    </w:rPr>
                  </w:pPr>
                  <w:r>
                    <w:rPr>
                      <w:rFonts w:hint="eastAsia"/>
                    </w:rPr>
                    <w:t>3</w:t>
                  </w:r>
                  <w:r>
                    <w:t>9</w:t>
                  </w:r>
                </w:p>
              </w:tc>
            </w:tr>
            <w:tr w14:paraId="4774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47" w:type="dxa"/>
                  <w:gridSpan w:val="5"/>
                  <w:vAlign w:val="center"/>
                </w:tcPr>
                <w:p w14:paraId="133845A1">
                  <w:pPr>
                    <w:jc w:val="center"/>
                  </w:pPr>
                  <w:bookmarkStart w:id="117" w:name="_Hlk179475695"/>
                  <w:r>
                    <w:rPr>
                      <w:rFonts w:hint="eastAsia"/>
                    </w:rPr>
                    <w:t>厂界环境噪声</w:t>
                  </w:r>
                </w:p>
              </w:tc>
            </w:tr>
            <w:bookmarkEnd w:id="116"/>
            <w:tr w14:paraId="24BD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06D9E0B7">
                  <w:pPr>
                    <w:numPr>
                      <w:ilvl w:val="0"/>
                      <w:numId w:val="9"/>
                    </w:numPr>
                    <w:jc w:val="center"/>
                  </w:pPr>
                </w:p>
              </w:tc>
              <w:tc>
                <w:tcPr>
                  <w:tcW w:w="2552" w:type="dxa"/>
                  <w:vMerge w:val="restart"/>
                  <w:vAlign w:val="center"/>
                </w:tcPr>
                <w:p w14:paraId="181789FA">
                  <w:pPr>
                    <w:jc w:val="center"/>
                  </w:pPr>
                  <w:r>
                    <w:rPr>
                      <w:rFonts w:hint="eastAsia"/>
                    </w:rPr>
                    <w:t>以礼河三级电站厂界东侧外1m</w:t>
                  </w:r>
                </w:p>
              </w:tc>
              <w:tc>
                <w:tcPr>
                  <w:tcW w:w="1842" w:type="dxa"/>
                  <w:vAlign w:val="center"/>
                </w:tcPr>
                <w:p w14:paraId="77B69B61">
                  <w:pPr>
                    <w:jc w:val="center"/>
                    <w:rPr>
                      <w:bCs/>
                      <w:iCs/>
                    </w:rPr>
                  </w:pPr>
                  <w:r>
                    <w:rPr>
                      <w:bCs/>
                      <w:iCs/>
                    </w:rPr>
                    <w:t>202</w:t>
                  </w:r>
                  <w:r>
                    <w:rPr>
                      <w:rFonts w:hint="eastAsia"/>
                      <w:bCs/>
                      <w:iCs/>
                    </w:rPr>
                    <w:t>6</w:t>
                  </w:r>
                  <w:r>
                    <w:rPr>
                      <w:bCs/>
                      <w:iCs/>
                    </w:rPr>
                    <w:t>.</w:t>
                  </w:r>
                  <w:r>
                    <w:rPr>
                      <w:rFonts w:hint="eastAsia"/>
                      <w:bCs/>
                      <w:iCs/>
                    </w:rPr>
                    <w:t>1</w:t>
                  </w:r>
                  <w:r>
                    <w:rPr>
                      <w:bCs/>
                      <w:iCs/>
                    </w:rPr>
                    <w:t>.</w:t>
                  </w:r>
                  <w:r>
                    <w:rPr>
                      <w:rFonts w:hint="eastAsia"/>
                      <w:bCs/>
                      <w:iCs/>
                    </w:rPr>
                    <w:t>7</w:t>
                  </w:r>
                </w:p>
              </w:tc>
              <w:tc>
                <w:tcPr>
                  <w:tcW w:w="1676" w:type="dxa"/>
                  <w:vAlign w:val="center"/>
                </w:tcPr>
                <w:p w14:paraId="0393D7C0">
                  <w:pPr>
                    <w:jc w:val="center"/>
                  </w:pPr>
                  <w:r>
                    <w:rPr>
                      <w:rFonts w:hint="eastAsia"/>
                    </w:rPr>
                    <w:t>43</w:t>
                  </w:r>
                </w:p>
              </w:tc>
              <w:tc>
                <w:tcPr>
                  <w:tcW w:w="1722" w:type="dxa"/>
                  <w:vAlign w:val="center"/>
                </w:tcPr>
                <w:p w14:paraId="43E066CC">
                  <w:pPr>
                    <w:jc w:val="center"/>
                  </w:pPr>
                  <w:r>
                    <w:rPr>
                      <w:rFonts w:hint="eastAsia"/>
                    </w:rPr>
                    <w:t>38</w:t>
                  </w:r>
                </w:p>
              </w:tc>
            </w:tr>
            <w:bookmarkEnd w:id="117"/>
            <w:tr w14:paraId="424B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6E7267F7">
                  <w:pPr>
                    <w:numPr>
                      <w:ilvl w:val="0"/>
                      <w:numId w:val="9"/>
                    </w:numPr>
                    <w:jc w:val="center"/>
                    <w:rPr>
                      <w:bCs/>
                      <w:iCs/>
                    </w:rPr>
                  </w:pPr>
                </w:p>
              </w:tc>
              <w:tc>
                <w:tcPr>
                  <w:tcW w:w="2552" w:type="dxa"/>
                  <w:vMerge w:val="continue"/>
                  <w:vAlign w:val="center"/>
                </w:tcPr>
                <w:p w14:paraId="686DA0B4">
                  <w:pPr>
                    <w:jc w:val="center"/>
                  </w:pPr>
                </w:p>
              </w:tc>
              <w:tc>
                <w:tcPr>
                  <w:tcW w:w="1842" w:type="dxa"/>
                  <w:vAlign w:val="center"/>
                </w:tcPr>
                <w:p w14:paraId="26BBE48E">
                  <w:pPr>
                    <w:jc w:val="center"/>
                    <w:rPr>
                      <w:bCs/>
                      <w:iCs/>
                    </w:rPr>
                  </w:pPr>
                  <w:r>
                    <w:rPr>
                      <w:bCs/>
                      <w:iCs/>
                    </w:rPr>
                    <w:t>202</w:t>
                  </w:r>
                  <w:r>
                    <w:rPr>
                      <w:rFonts w:hint="eastAsia"/>
                      <w:bCs/>
                      <w:iCs/>
                    </w:rPr>
                    <w:t>6</w:t>
                  </w:r>
                  <w:r>
                    <w:rPr>
                      <w:bCs/>
                      <w:iCs/>
                    </w:rPr>
                    <w:t>.</w:t>
                  </w:r>
                  <w:r>
                    <w:rPr>
                      <w:rFonts w:hint="eastAsia"/>
                      <w:bCs/>
                      <w:iCs/>
                    </w:rPr>
                    <w:t>1</w:t>
                  </w:r>
                  <w:r>
                    <w:rPr>
                      <w:bCs/>
                      <w:iCs/>
                    </w:rPr>
                    <w:t>.</w:t>
                  </w:r>
                  <w:r>
                    <w:rPr>
                      <w:rFonts w:hint="eastAsia"/>
                      <w:bCs/>
                      <w:iCs/>
                    </w:rPr>
                    <w:t>8</w:t>
                  </w:r>
                </w:p>
              </w:tc>
              <w:tc>
                <w:tcPr>
                  <w:tcW w:w="1676" w:type="dxa"/>
                  <w:vAlign w:val="center"/>
                </w:tcPr>
                <w:p w14:paraId="4F56348D">
                  <w:pPr>
                    <w:jc w:val="center"/>
                  </w:pPr>
                  <w:r>
                    <w:rPr>
                      <w:rFonts w:hint="eastAsia"/>
                    </w:rPr>
                    <w:t>44</w:t>
                  </w:r>
                </w:p>
              </w:tc>
              <w:tc>
                <w:tcPr>
                  <w:tcW w:w="1722" w:type="dxa"/>
                  <w:vAlign w:val="center"/>
                </w:tcPr>
                <w:p w14:paraId="6071382C">
                  <w:pPr>
                    <w:jc w:val="center"/>
                  </w:pPr>
                  <w:r>
                    <w:rPr>
                      <w:rFonts w:hint="eastAsia"/>
                    </w:rPr>
                    <w:t>39</w:t>
                  </w:r>
                </w:p>
              </w:tc>
            </w:tr>
            <w:tr w14:paraId="59E0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6CC645D9">
                  <w:pPr>
                    <w:numPr>
                      <w:ilvl w:val="0"/>
                      <w:numId w:val="9"/>
                    </w:numPr>
                    <w:jc w:val="center"/>
                    <w:rPr>
                      <w:bCs/>
                      <w:iCs/>
                    </w:rPr>
                  </w:pPr>
                </w:p>
              </w:tc>
              <w:tc>
                <w:tcPr>
                  <w:tcW w:w="2552" w:type="dxa"/>
                  <w:vMerge w:val="restart"/>
                  <w:vAlign w:val="center"/>
                </w:tcPr>
                <w:p w14:paraId="27DFF944">
                  <w:pPr>
                    <w:jc w:val="center"/>
                  </w:pPr>
                  <w:r>
                    <w:rPr>
                      <w:rFonts w:hint="eastAsia"/>
                    </w:rPr>
                    <w:t>以礼河三级电站厂界北侧外1m</w:t>
                  </w:r>
                </w:p>
              </w:tc>
              <w:tc>
                <w:tcPr>
                  <w:tcW w:w="1842" w:type="dxa"/>
                  <w:vAlign w:val="center"/>
                </w:tcPr>
                <w:p w14:paraId="5B0C5516">
                  <w:pPr>
                    <w:jc w:val="center"/>
                    <w:rPr>
                      <w:bCs/>
                      <w:iCs/>
                    </w:rPr>
                  </w:pPr>
                  <w:r>
                    <w:rPr>
                      <w:bCs/>
                      <w:iCs/>
                    </w:rPr>
                    <w:t>202</w:t>
                  </w:r>
                  <w:r>
                    <w:rPr>
                      <w:rFonts w:hint="eastAsia"/>
                      <w:bCs/>
                      <w:iCs/>
                    </w:rPr>
                    <w:t>6</w:t>
                  </w:r>
                  <w:r>
                    <w:rPr>
                      <w:bCs/>
                      <w:iCs/>
                    </w:rPr>
                    <w:t>.</w:t>
                  </w:r>
                  <w:r>
                    <w:rPr>
                      <w:rFonts w:hint="eastAsia"/>
                      <w:bCs/>
                      <w:iCs/>
                    </w:rPr>
                    <w:t>1</w:t>
                  </w:r>
                  <w:r>
                    <w:rPr>
                      <w:bCs/>
                      <w:iCs/>
                    </w:rPr>
                    <w:t>.</w:t>
                  </w:r>
                  <w:r>
                    <w:rPr>
                      <w:rFonts w:hint="eastAsia"/>
                      <w:bCs/>
                      <w:iCs/>
                    </w:rPr>
                    <w:t>7</w:t>
                  </w:r>
                </w:p>
              </w:tc>
              <w:tc>
                <w:tcPr>
                  <w:tcW w:w="1676" w:type="dxa"/>
                  <w:vAlign w:val="center"/>
                </w:tcPr>
                <w:p w14:paraId="62CF51D3">
                  <w:pPr>
                    <w:jc w:val="center"/>
                  </w:pPr>
                  <w:r>
                    <w:rPr>
                      <w:rFonts w:hint="eastAsia"/>
                    </w:rPr>
                    <w:t>44</w:t>
                  </w:r>
                </w:p>
              </w:tc>
              <w:tc>
                <w:tcPr>
                  <w:tcW w:w="1722" w:type="dxa"/>
                  <w:vAlign w:val="center"/>
                </w:tcPr>
                <w:p w14:paraId="54D74EFD">
                  <w:pPr>
                    <w:jc w:val="center"/>
                  </w:pPr>
                  <w:r>
                    <w:rPr>
                      <w:rFonts w:hint="eastAsia"/>
                    </w:rPr>
                    <w:t>40</w:t>
                  </w:r>
                </w:p>
              </w:tc>
            </w:tr>
            <w:tr w14:paraId="4FB6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2E0B2543">
                  <w:pPr>
                    <w:numPr>
                      <w:ilvl w:val="0"/>
                      <w:numId w:val="9"/>
                    </w:numPr>
                    <w:jc w:val="center"/>
                    <w:rPr>
                      <w:bCs/>
                      <w:iCs/>
                    </w:rPr>
                  </w:pPr>
                </w:p>
              </w:tc>
              <w:tc>
                <w:tcPr>
                  <w:tcW w:w="2552" w:type="dxa"/>
                  <w:vMerge w:val="continue"/>
                  <w:vAlign w:val="center"/>
                </w:tcPr>
                <w:p w14:paraId="036DB695">
                  <w:pPr>
                    <w:jc w:val="center"/>
                  </w:pPr>
                </w:p>
              </w:tc>
              <w:tc>
                <w:tcPr>
                  <w:tcW w:w="1842" w:type="dxa"/>
                  <w:vAlign w:val="center"/>
                </w:tcPr>
                <w:p w14:paraId="3A6F72A4">
                  <w:pPr>
                    <w:jc w:val="center"/>
                    <w:rPr>
                      <w:bCs/>
                      <w:iCs/>
                    </w:rPr>
                  </w:pPr>
                  <w:r>
                    <w:rPr>
                      <w:bCs/>
                      <w:iCs/>
                    </w:rPr>
                    <w:t>202</w:t>
                  </w:r>
                  <w:r>
                    <w:rPr>
                      <w:rFonts w:hint="eastAsia"/>
                      <w:bCs/>
                      <w:iCs/>
                    </w:rPr>
                    <w:t>6</w:t>
                  </w:r>
                  <w:r>
                    <w:rPr>
                      <w:bCs/>
                      <w:iCs/>
                    </w:rPr>
                    <w:t>.</w:t>
                  </w:r>
                  <w:r>
                    <w:rPr>
                      <w:rFonts w:hint="eastAsia"/>
                      <w:bCs/>
                      <w:iCs/>
                    </w:rPr>
                    <w:t>1</w:t>
                  </w:r>
                  <w:r>
                    <w:rPr>
                      <w:bCs/>
                      <w:iCs/>
                    </w:rPr>
                    <w:t>.</w:t>
                  </w:r>
                  <w:r>
                    <w:rPr>
                      <w:rFonts w:hint="eastAsia"/>
                      <w:bCs/>
                      <w:iCs/>
                    </w:rPr>
                    <w:t>8</w:t>
                  </w:r>
                </w:p>
              </w:tc>
              <w:tc>
                <w:tcPr>
                  <w:tcW w:w="1676" w:type="dxa"/>
                  <w:vAlign w:val="center"/>
                </w:tcPr>
                <w:p w14:paraId="20F436C5">
                  <w:pPr>
                    <w:jc w:val="center"/>
                  </w:pPr>
                  <w:r>
                    <w:rPr>
                      <w:rFonts w:hint="eastAsia"/>
                    </w:rPr>
                    <w:t>43</w:t>
                  </w:r>
                </w:p>
              </w:tc>
              <w:tc>
                <w:tcPr>
                  <w:tcW w:w="1722" w:type="dxa"/>
                  <w:vAlign w:val="center"/>
                </w:tcPr>
                <w:p w14:paraId="2E9E2FA2">
                  <w:pPr>
                    <w:jc w:val="center"/>
                  </w:pPr>
                  <w:r>
                    <w:rPr>
                      <w:rFonts w:hint="eastAsia"/>
                    </w:rPr>
                    <w:t>39</w:t>
                  </w:r>
                </w:p>
              </w:tc>
            </w:tr>
            <w:tr w14:paraId="26F3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53AE3F97">
                  <w:pPr>
                    <w:numPr>
                      <w:ilvl w:val="0"/>
                      <w:numId w:val="9"/>
                    </w:numPr>
                    <w:jc w:val="center"/>
                    <w:rPr>
                      <w:bCs/>
                      <w:iCs/>
                    </w:rPr>
                  </w:pPr>
                </w:p>
              </w:tc>
              <w:tc>
                <w:tcPr>
                  <w:tcW w:w="2552" w:type="dxa"/>
                  <w:vMerge w:val="restart"/>
                  <w:vAlign w:val="center"/>
                </w:tcPr>
                <w:p w14:paraId="162DEF5E">
                  <w:pPr>
                    <w:jc w:val="center"/>
                  </w:pPr>
                  <w:r>
                    <w:rPr>
                      <w:rFonts w:hint="eastAsia"/>
                    </w:rPr>
                    <w:t>以礼河三级电站厂界南侧外1m</w:t>
                  </w:r>
                </w:p>
              </w:tc>
              <w:tc>
                <w:tcPr>
                  <w:tcW w:w="1842" w:type="dxa"/>
                  <w:vAlign w:val="center"/>
                </w:tcPr>
                <w:p w14:paraId="7FAF64D4">
                  <w:pPr>
                    <w:jc w:val="center"/>
                    <w:rPr>
                      <w:bCs/>
                      <w:iCs/>
                    </w:rPr>
                  </w:pPr>
                  <w:r>
                    <w:rPr>
                      <w:bCs/>
                      <w:iCs/>
                    </w:rPr>
                    <w:t>202</w:t>
                  </w:r>
                  <w:r>
                    <w:rPr>
                      <w:rFonts w:hint="eastAsia"/>
                      <w:bCs/>
                      <w:iCs/>
                    </w:rPr>
                    <w:t>6</w:t>
                  </w:r>
                  <w:r>
                    <w:rPr>
                      <w:bCs/>
                      <w:iCs/>
                    </w:rPr>
                    <w:t>.</w:t>
                  </w:r>
                  <w:r>
                    <w:rPr>
                      <w:rFonts w:hint="eastAsia"/>
                      <w:bCs/>
                      <w:iCs/>
                    </w:rPr>
                    <w:t>1</w:t>
                  </w:r>
                  <w:r>
                    <w:rPr>
                      <w:bCs/>
                      <w:iCs/>
                    </w:rPr>
                    <w:t>.</w:t>
                  </w:r>
                  <w:r>
                    <w:rPr>
                      <w:rFonts w:hint="eastAsia"/>
                      <w:bCs/>
                      <w:iCs/>
                    </w:rPr>
                    <w:t>7</w:t>
                  </w:r>
                </w:p>
              </w:tc>
              <w:tc>
                <w:tcPr>
                  <w:tcW w:w="1676" w:type="dxa"/>
                  <w:vAlign w:val="center"/>
                </w:tcPr>
                <w:p w14:paraId="7A977223">
                  <w:pPr>
                    <w:jc w:val="center"/>
                  </w:pPr>
                  <w:r>
                    <w:rPr>
                      <w:rFonts w:hint="eastAsia"/>
                    </w:rPr>
                    <w:t>47</w:t>
                  </w:r>
                </w:p>
              </w:tc>
              <w:tc>
                <w:tcPr>
                  <w:tcW w:w="1722" w:type="dxa"/>
                  <w:vAlign w:val="center"/>
                </w:tcPr>
                <w:p w14:paraId="124B7A76">
                  <w:pPr>
                    <w:jc w:val="center"/>
                  </w:pPr>
                  <w:r>
                    <w:rPr>
                      <w:rFonts w:hint="eastAsia"/>
                    </w:rPr>
                    <w:t>42</w:t>
                  </w:r>
                </w:p>
              </w:tc>
            </w:tr>
            <w:tr w14:paraId="09B0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3E799E23">
                  <w:pPr>
                    <w:numPr>
                      <w:ilvl w:val="0"/>
                      <w:numId w:val="9"/>
                    </w:numPr>
                    <w:jc w:val="center"/>
                    <w:rPr>
                      <w:bCs/>
                      <w:iCs/>
                    </w:rPr>
                  </w:pPr>
                </w:p>
              </w:tc>
              <w:tc>
                <w:tcPr>
                  <w:tcW w:w="2552" w:type="dxa"/>
                  <w:vMerge w:val="continue"/>
                  <w:vAlign w:val="center"/>
                </w:tcPr>
                <w:p w14:paraId="35F8FB11">
                  <w:pPr>
                    <w:jc w:val="center"/>
                  </w:pPr>
                </w:p>
              </w:tc>
              <w:tc>
                <w:tcPr>
                  <w:tcW w:w="1842" w:type="dxa"/>
                  <w:vAlign w:val="center"/>
                </w:tcPr>
                <w:p w14:paraId="65554CF7">
                  <w:pPr>
                    <w:jc w:val="center"/>
                    <w:rPr>
                      <w:bCs/>
                      <w:iCs/>
                    </w:rPr>
                  </w:pPr>
                  <w:r>
                    <w:rPr>
                      <w:bCs/>
                      <w:iCs/>
                    </w:rPr>
                    <w:t>202</w:t>
                  </w:r>
                  <w:r>
                    <w:rPr>
                      <w:rFonts w:hint="eastAsia"/>
                      <w:bCs/>
                      <w:iCs/>
                    </w:rPr>
                    <w:t>6</w:t>
                  </w:r>
                  <w:r>
                    <w:rPr>
                      <w:bCs/>
                      <w:iCs/>
                    </w:rPr>
                    <w:t>.</w:t>
                  </w:r>
                  <w:r>
                    <w:rPr>
                      <w:rFonts w:hint="eastAsia"/>
                      <w:bCs/>
                      <w:iCs/>
                    </w:rPr>
                    <w:t>1</w:t>
                  </w:r>
                  <w:r>
                    <w:rPr>
                      <w:bCs/>
                      <w:iCs/>
                    </w:rPr>
                    <w:t>.</w:t>
                  </w:r>
                  <w:r>
                    <w:rPr>
                      <w:rFonts w:hint="eastAsia"/>
                      <w:bCs/>
                      <w:iCs/>
                    </w:rPr>
                    <w:t>8</w:t>
                  </w:r>
                </w:p>
              </w:tc>
              <w:tc>
                <w:tcPr>
                  <w:tcW w:w="1676" w:type="dxa"/>
                  <w:vAlign w:val="center"/>
                </w:tcPr>
                <w:p w14:paraId="2BFDDD33">
                  <w:pPr>
                    <w:jc w:val="center"/>
                  </w:pPr>
                  <w:r>
                    <w:rPr>
                      <w:rFonts w:hint="eastAsia"/>
                    </w:rPr>
                    <w:t>46</w:t>
                  </w:r>
                </w:p>
              </w:tc>
              <w:tc>
                <w:tcPr>
                  <w:tcW w:w="1722" w:type="dxa"/>
                  <w:vAlign w:val="center"/>
                </w:tcPr>
                <w:p w14:paraId="584FA199">
                  <w:pPr>
                    <w:jc w:val="center"/>
                  </w:pPr>
                  <w:r>
                    <w:rPr>
                      <w:rFonts w:hint="eastAsia"/>
                    </w:rPr>
                    <w:t>41</w:t>
                  </w:r>
                </w:p>
              </w:tc>
            </w:tr>
            <w:tr w14:paraId="4F4D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21B485C1">
                  <w:pPr>
                    <w:numPr>
                      <w:ilvl w:val="0"/>
                      <w:numId w:val="9"/>
                    </w:numPr>
                    <w:jc w:val="center"/>
                    <w:rPr>
                      <w:bCs/>
                      <w:iCs/>
                    </w:rPr>
                  </w:pPr>
                </w:p>
              </w:tc>
              <w:tc>
                <w:tcPr>
                  <w:tcW w:w="2552" w:type="dxa"/>
                  <w:vMerge w:val="restart"/>
                  <w:vAlign w:val="center"/>
                </w:tcPr>
                <w:p w14:paraId="28120711">
                  <w:pPr>
                    <w:jc w:val="center"/>
                  </w:pPr>
                  <w:r>
                    <w:rPr>
                      <w:rFonts w:hint="eastAsia"/>
                    </w:rPr>
                    <w:t>以礼河三级电站厂界西侧外1m</w:t>
                  </w:r>
                </w:p>
              </w:tc>
              <w:tc>
                <w:tcPr>
                  <w:tcW w:w="1842" w:type="dxa"/>
                  <w:vAlign w:val="center"/>
                </w:tcPr>
                <w:p w14:paraId="62033941">
                  <w:pPr>
                    <w:jc w:val="center"/>
                    <w:rPr>
                      <w:bCs/>
                      <w:iCs/>
                    </w:rPr>
                  </w:pPr>
                  <w:r>
                    <w:rPr>
                      <w:bCs/>
                      <w:iCs/>
                    </w:rPr>
                    <w:t>202</w:t>
                  </w:r>
                  <w:r>
                    <w:rPr>
                      <w:rFonts w:hint="eastAsia"/>
                      <w:bCs/>
                      <w:iCs/>
                    </w:rPr>
                    <w:t>6</w:t>
                  </w:r>
                  <w:r>
                    <w:rPr>
                      <w:bCs/>
                      <w:iCs/>
                    </w:rPr>
                    <w:t>.</w:t>
                  </w:r>
                  <w:r>
                    <w:rPr>
                      <w:rFonts w:hint="eastAsia"/>
                      <w:bCs/>
                      <w:iCs/>
                    </w:rPr>
                    <w:t>1</w:t>
                  </w:r>
                  <w:r>
                    <w:rPr>
                      <w:bCs/>
                      <w:iCs/>
                    </w:rPr>
                    <w:t>.</w:t>
                  </w:r>
                  <w:r>
                    <w:rPr>
                      <w:rFonts w:hint="eastAsia"/>
                      <w:bCs/>
                      <w:iCs/>
                    </w:rPr>
                    <w:t>7</w:t>
                  </w:r>
                </w:p>
              </w:tc>
              <w:tc>
                <w:tcPr>
                  <w:tcW w:w="1676" w:type="dxa"/>
                  <w:vAlign w:val="center"/>
                </w:tcPr>
                <w:p w14:paraId="6C57D49F">
                  <w:pPr>
                    <w:jc w:val="center"/>
                  </w:pPr>
                  <w:r>
                    <w:rPr>
                      <w:rFonts w:hint="eastAsia"/>
                    </w:rPr>
                    <w:t>42</w:t>
                  </w:r>
                </w:p>
              </w:tc>
              <w:tc>
                <w:tcPr>
                  <w:tcW w:w="1722" w:type="dxa"/>
                  <w:vAlign w:val="center"/>
                </w:tcPr>
                <w:p w14:paraId="4B331AF8">
                  <w:pPr>
                    <w:jc w:val="center"/>
                  </w:pPr>
                  <w:r>
                    <w:rPr>
                      <w:rFonts w:hint="eastAsia"/>
                    </w:rPr>
                    <w:t>38</w:t>
                  </w:r>
                </w:p>
              </w:tc>
            </w:tr>
            <w:tr w14:paraId="6E6F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4743F6FF">
                  <w:pPr>
                    <w:numPr>
                      <w:ilvl w:val="0"/>
                      <w:numId w:val="9"/>
                    </w:numPr>
                    <w:jc w:val="center"/>
                    <w:rPr>
                      <w:bCs/>
                      <w:iCs/>
                    </w:rPr>
                  </w:pPr>
                </w:p>
              </w:tc>
              <w:tc>
                <w:tcPr>
                  <w:tcW w:w="2552" w:type="dxa"/>
                  <w:vMerge w:val="continue"/>
                  <w:vAlign w:val="center"/>
                </w:tcPr>
                <w:p w14:paraId="6C65EB22">
                  <w:pPr>
                    <w:jc w:val="center"/>
                  </w:pPr>
                </w:p>
              </w:tc>
              <w:tc>
                <w:tcPr>
                  <w:tcW w:w="1842" w:type="dxa"/>
                  <w:vAlign w:val="center"/>
                </w:tcPr>
                <w:p w14:paraId="6ADF3B45">
                  <w:pPr>
                    <w:jc w:val="center"/>
                    <w:rPr>
                      <w:bCs/>
                      <w:iCs/>
                    </w:rPr>
                  </w:pPr>
                  <w:r>
                    <w:rPr>
                      <w:bCs/>
                      <w:iCs/>
                    </w:rPr>
                    <w:t>202</w:t>
                  </w:r>
                  <w:r>
                    <w:rPr>
                      <w:rFonts w:hint="eastAsia"/>
                      <w:bCs/>
                      <w:iCs/>
                    </w:rPr>
                    <w:t>6</w:t>
                  </w:r>
                  <w:r>
                    <w:rPr>
                      <w:bCs/>
                      <w:iCs/>
                    </w:rPr>
                    <w:t>.</w:t>
                  </w:r>
                  <w:r>
                    <w:rPr>
                      <w:rFonts w:hint="eastAsia"/>
                      <w:bCs/>
                      <w:iCs/>
                    </w:rPr>
                    <w:t>1</w:t>
                  </w:r>
                  <w:r>
                    <w:rPr>
                      <w:bCs/>
                      <w:iCs/>
                    </w:rPr>
                    <w:t>.</w:t>
                  </w:r>
                  <w:r>
                    <w:rPr>
                      <w:rFonts w:hint="eastAsia"/>
                      <w:bCs/>
                      <w:iCs/>
                    </w:rPr>
                    <w:t>8</w:t>
                  </w:r>
                </w:p>
              </w:tc>
              <w:tc>
                <w:tcPr>
                  <w:tcW w:w="1676" w:type="dxa"/>
                  <w:vAlign w:val="center"/>
                </w:tcPr>
                <w:p w14:paraId="463186F2">
                  <w:pPr>
                    <w:jc w:val="center"/>
                  </w:pPr>
                  <w:r>
                    <w:rPr>
                      <w:rFonts w:hint="eastAsia"/>
                    </w:rPr>
                    <w:t>43</w:t>
                  </w:r>
                </w:p>
              </w:tc>
              <w:tc>
                <w:tcPr>
                  <w:tcW w:w="1722" w:type="dxa"/>
                  <w:vAlign w:val="center"/>
                </w:tcPr>
                <w:p w14:paraId="17D1DFCD">
                  <w:pPr>
                    <w:jc w:val="center"/>
                  </w:pPr>
                  <w:r>
                    <w:rPr>
                      <w:rFonts w:hint="eastAsia"/>
                    </w:rPr>
                    <w:t>38</w:t>
                  </w:r>
                </w:p>
              </w:tc>
            </w:tr>
            <w:tr w14:paraId="263D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restart"/>
                  <w:vAlign w:val="center"/>
                </w:tcPr>
                <w:p w14:paraId="3D08328B">
                  <w:pPr>
                    <w:numPr>
                      <w:ilvl w:val="0"/>
                      <w:numId w:val="9"/>
                    </w:numPr>
                    <w:jc w:val="center"/>
                    <w:rPr>
                      <w:bCs/>
                      <w:iCs/>
                    </w:rPr>
                  </w:pPr>
                </w:p>
              </w:tc>
              <w:tc>
                <w:tcPr>
                  <w:tcW w:w="2552" w:type="dxa"/>
                  <w:vMerge w:val="restart"/>
                  <w:vAlign w:val="center"/>
                </w:tcPr>
                <w:p w14:paraId="5E5A741E">
                  <w:pPr>
                    <w:jc w:val="center"/>
                  </w:pPr>
                  <w:r>
                    <w:rPr>
                      <w:rFonts w:hint="eastAsia"/>
                    </w:rPr>
                    <w:t>以礼河三级电站厂界内新建升压站站址</w:t>
                  </w:r>
                </w:p>
              </w:tc>
              <w:tc>
                <w:tcPr>
                  <w:tcW w:w="1842" w:type="dxa"/>
                  <w:vAlign w:val="center"/>
                </w:tcPr>
                <w:p w14:paraId="240A2201">
                  <w:pPr>
                    <w:jc w:val="center"/>
                    <w:rPr>
                      <w:bCs/>
                      <w:iCs/>
                    </w:rPr>
                  </w:pPr>
                  <w:r>
                    <w:rPr>
                      <w:bCs/>
                      <w:iCs/>
                    </w:rPr>
                    <w:t>202</w:t>
                  </w:r>
                  <w:r>
                    <w:rPr>
                      <w:rFonts w:hint="eastAsia"/>
                      <w:bCs/>
                      <w:iCs/>
                    </w:rPr>
                    <w:t>6</w:t>
                  </w:r>
                  <w:r>
                    <w:rPr>
                      <w:bCs/>
                      <w:iCs/>
                    </w:rPr>
                    <w:t>.5.21</w:t>
                  </w:r>
                </w:p>
              </w:tc>
              <w:tc>
                <w:tcPr>
                  <w:tcW w:w="1676" w:type="dxa"/>
                  <w:vAlign w:val="center"/>
                </w:tcPr>
                <w:p w14:paraId="45DAC060">
                  <w:pPr>
                    <w:jc w:val="center"/>
                  </w:pPr>
                  <w:r>
                    <w:rPr>
                      <w:rFonts w:hint="eastAsia"/>
                    </w:rPr>
                    <w:t>4</w:t>
                  </w:r>
                  <w:r>
                    <w:t>7</w:t>
                  </w:r>
                </w:p>
              </w:tc>
              <w:tc>
                <w:tcPr>
                  <w:tcW w:w="1722" w:type="dxa"/>
                  <w:vAlign w:val="center"/>
                </w:tcPr>
                <w:p w14:paraId="13ACF95F">
                  <w:pPr>
                    <w:jc w:val="center"/>
                  </w:pPr>
                  <w:r>
                    <w:rPr>
                      <w:rFonts w:hint="eastAsia"/>
                    </w:rPr>
                    <w:t>4</w:t>
                  </w:r>
                  <w:r>
                    <w:t>3</w:t>
                  </w:r>
                </w:p>
              </w:tc>
            </w:tr>
            <w:tr w14:paraId="38342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Merge w:val="continue"/>
                  <w:vAlign w:val="center"/>
                </w:tcPr>
                <w:p w14:paraId="3582636F">
                  <w:pPr>
                    <w:jc w:val="center"/>
                    <w:rPr>
                      <w:bCs/>
                      <w:iCs/>
                    </w:rPr>
                  </w:pPr>
                </w:p>
              </w:tc>
              <w:tc>
                <w:tcPr>
                  <w:tcW w:w="2552" w:type="dxa"/>
                  <w:vMerge w:val="continue"/>
                  <w:vAlign w:val="center"/>
                </w:tcPr>
                <w:p w14:paraId="6B299264">
                  <w:pPr>
                    <w:jc w:val="center"/>
                  </w:pPr>
                </w:p>
              </w:tc>
              <w:tc>
                <w:tcPr>
                  <w:tcW w:w="1842" w:type="dxa"/>
                  <w:vAlign w:val="center"/>
                </w:tcPr>
                <w:p w14:paraId="67B0A42C">
                  <w:pPr>
                    <w:jc w:val="center"/>
                    <w:rPr>
                      <w:bCs/>
                      <w:iCs/>
                    </w:rPr>
                  </w:pPr>
                  <w:r>
                    <w:rPr>
                      <w:bCs/>
                      <w:iCs/>
                    </w:rPr>
                    <w:t>202</w:t>
                  </w:r>
                  <w:r>
                    <w:rPr>
                      <w:rFonts w:hint="eastAsia"/>
                      <w:bCs/>
                      <w:iCs/>
                    </w:rPr>
                    <w:t>6</w:t>
                  </w:r>
                  <w:r>
                    <w:rPr>
                      <w:bCs/>
                      <w:iCs/>
                    </w:rPr>
                    <w:t>.5.22</w:t>
                  </w:r>
                </w:p>
              </w:tc>
              <w:tc>
                <w:tcPr>
                  <w:tcW w:w="1676" w:type="dxa"/>
                  <w:vAlign w:val="center"/>
                </w:tcPr>
                <w:p w14:paraId="305F3B88">
                  <w:pPr>
                    <w:jc w:val="center"/>
                  </w:pPr>
                  <w:r>
                    <w:rPr>
                      <w:rFonts w:hint="eastAsia"/>
                    </w:rPr>
                    <w:t>4</w:t>
                  </w:r>
                  <w:r>
                    <w:t>8</w:t>
                  </w:r>
                </w:p>
              </w:tc>
              <w:tc>
                <w:tcPr>
                  <w:tcW w:w="1722" w:type="dxa"/>
                  <w:vAlign w:val="center"/>
                </w:tcPr>
                <w:p w14:paraId="73BE50A5">
                  <w:pPr>
                    <w:jc w:val="center"/>
                  </w:pPr>
                  <w:r>
                    <w:rPr>
                      <w:rFonts w:hint="eastAsia"/>
                    </w:rPr>
                    <w:t>4</w:t>
                  </w:r>
                  <w:r>
                    <w:t>2</w:t>
                  </w:r>
                </w:p>
              </w:tc>
            </w:tr>
            <w:tr w14:paraId="512CF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5" w:type="dxa"/>
                  <w:vAlign w:val="center"/>
                </w:tcPr>
                <w:p w14:paraId="58F6D51E">
                  <w:pPr>
                    <w:jc w:val="center"/>
                    <w:rPr>
                      <w:rFonts w:hint="eastAsia"/>
                      <w:bCs/>
                      <w:iCs/>
                    </w:rPr>
                  </w:pPr>
                  <w:r>
                    <w:rPr>
                      <w:rFonts w:hint="eastAsia"/>
                      <w:bCs/>
                      <w:iCs/>
                    </w:rPr>
                    <w:t>备注</w:t>
                  </w:r>
                </w:p>
              </w:tc>
              <w:tc>
                <w:tcPr>
                  <w:tcW w:w="7792" w:type="dxa"/>
                  <w:gridSpan w:val="4"/>
                  <w:vAlign w:val="center"/>
                </w:tcPr>
                <w:p w14:paraId="1CC9D24C">
                  <w:pPr>
                    <w:jc w:val="left"/>
                    <w:rPr>
                      <w:iCs/>
                    </w:rPr>
                  </w:pPr>
                  <w:r>
                    <w:rPr>
                      <w:rFonts w:hint="eastAsia"/>
                    </w:rPr>
                    <w:t>声环境保护</w:t>
                  </w:r>
                  <w:r>
                    <w:t>目标限值：昼间≤60</w:t>
                  </w:r>
                  <w:r>
                    <w:rPr>
                      <w:iCs/>
                    </w:rPr>
                    <w:t>dB(A)，夜</w:t>
                  </w:r>
                  <w:r>
                    <w:t>间≤50</w:t>
                  </w:r>
                  <w:r>
                    <w:rPr>
                      <w:iCs/>
                    </w:rPr>
                    <w:t>dB(A)</w:t>
                  </w:r>
                </w:p>
                <w:p w14:paraId="51074F61">
                  <w:pPr>
                    <w:jc w:val="left"/>
                    <w:rPr>
                      <w:rFonts w:hint="eastAsia"/>
                    </w:rPr>
                  </w:pPr>
                  <w:r>
                    <w:t>企业厂界环境噪声排放标准：昼间≤60</w:t>
                  </w:r>
                  <w:r>
                    <w:rPr>
                      <w:iCs/>
                    </w:rPr>
                    <w:t>dB(A)，夜</w:t>
                  </w:r>
                  <w:r>
                    <w:t>间≤50</w:t>
                  </w:r>
                  <w:r>
                    <w:rPr>
                      <w:iCs/>
                    </w:rPr>
                    <w:t>dB(A)</w:t>
                  </w:r>
                </w:p>
              </w:tc>
            </w:tr>
          </w:tbl>
          <w:p w14:paraId="719A1266">
            <w:pPr>
              <w:topLinePunct/>
              <w:spacing w:before="120" w:beforeLines="50" w:line="360" w:lineRule="auto"/>
              <w:jc w:val="left"/>
              <w:rPr>
                <w:rFonts w:hint="eastAsia"/>
                <w:b/>
                <w:sz w:val="24"/>
              </w:rPr>
            </w:pPr>
            <w:r>
              <w:rPr>
                <w:rFonts w:hint="eastAsia"/>
                <w:b/>
                <w:bCs/>
                <w:sz w:val="24"/>
              </w:rPr>
              <w:t xml:space="preserve">3.2.4 </w:t>
            </w:r>
            <w:r>
              <w:rPr>
                <w:rFonts w:hint="eastAsia"/>
                <w:b/>
                <w:sz w:val="24"/>
              </w:rPr>
              <w:t>电磁环境现状</w:t>
            </w:r>
          </w:p>
          <w:p w14:paraId="71FA672A">
            <w:pPr>
              <w:spacing w:line="360" w:lineRule="auto"/>
              <w:ind w:firstLine="480" w:firstLineChars="200"/>
              <w:rPr>
                <w:bCs/>
                <w:sz w:val="24"/>
              </w:rPr>
            </w:pPr>
            <w:r>
              <w:rPr>
                <w:rFonts w:hint="eastAsia"/>
                <w:bCs/>
                <w:sz w:val="24"/>
              </w:rPr>
              <w:t>新建升压站位于</w:t>
            </w:r>
            <w:r>
              <w:rPr>
                <w:rFonts w:hint="eastAsia"/>
                <w:sz w:val="24"/>
              </w:rPr>
              <w:t>以礼河三级电站厂界内，</w:t>
            </w:r>
            <w:r>
              <w:rPr>
                <w:rFonts w:hint="eastAsia"/>
                <w:bCs/>
                <w:sz w:val="24"/>
              </w:rPr>
              <w:t>为了解</w:t>
            </w:r>
            <w:r>
              <w:rPr>
                <w:rFonts w:hint="eastAsia"/>
                <w:sz w:val="24"/>
              </w:rPr>
              <w:t>以礼河三级电站厂界四周及周边环境保护目标电磁环境现状，昆明院委托云南科环环境工程咨询有限公司于2026年1月8日对以礼河三级电站厂界四周、新建开关站站址中心及周边环境保护目标进行电磁监测，监测项目为工频电场强度、工频磁场强度。</w:t>
            </w:r>
            <w:r>
              <w:rPr>
                <w:rFonts w:hint="eastAsia"/>
                <w:color w:val="000000"/>
                <w:sz w:val="24"/>
                <w:szCs w:val="24"/>
              </w:rPr>
              <w:t>根据监测结果，所有</w:t>
            </w:r>
            <w:r>
              <w:rPr>
                <w:color w:val="000000"/>
                <w:sz w:val="24"/>
                <w:szCs w:val="24"/>
              </w:rPr>
              <w:t>监测点位</w:t>
            </w:r>
            <w:r>
              <w:rPr>
                <w:rFonts w:hint="eastAsia"/>
                <w:color w:val="000000"/>
                <w:sz w:val="24"/>
                <w:szCs w:val="24"/>
              </w:rPr>
              <w:t>的</w:t>
            </w:r>
            <w:r>
              <w:rPr>
                <w:color w:val="000000"/>
                <w:sz w:val="24"/>
                <w:szCs w:val="24"/>
              </w:rPr>
              <w:t>工频电场</w:t>
            </w:r>
            <w:r>
              <w:rPr>
                <w:rFonts w:hint="eastAsia"/>
                <w:color w:val="000000"/>
                <w:sz w:val="24"/>
                <w:szCs w:val="24"/>
              </w:rPr>
              <w:t>和</w:t>
            </w:r>
            <w:r>
              <w:rPr>
                <w:color w:val="000000"/>
                <w:sz w:val="24"/>
                <w:szCs w:val="24"/>
              </w:rPr>
              <w:t>工频磁场</w:t>
            </w:r>
            <w:r>
              <w:rPr>
                <w:rFonts w:hint="eastAsia"/>
                <w:color w:val="000000"/>
                <w:sz w:val="24"/>
                <w:szCs w:val="24"/>
              </w:rPr>
              <w:t>均</w:t>
            </w:r>
            <w:r>
              <w:rPr>
                <w:color w:val="000000"/>
                <w:sz w:val="24"/>
                <w:szCs w:val="24"/>
              </w:rPr>
              <w:t>能满足《电磁环境控制限值》（GB</w:t>
            </w:r>
            <w:r>
              <w:rPr>
                <w:rFonts w:hint="eastAsia"/>
                <w:color w:val="000000"/>
                <w:sz w:val="24"/>
                <w:szCs w:val="24"/>
              </w:rPr>
              <w:t xml:space="preserve"> </w:t>
            </w:r>
            <w:r>
              <w:rPr>
                <w:color w:val="000000"/>
                <w:sz w:val="24"/>
                <w:szCs w:val="24"/>
              </w:rPr>
              <w:t>8702-2014）</w:t>
            </w:r>
            <w:r>
              <w:rPr>
                <w:rFonts w:hint="eastAsia"/>
                <w:color w:val="000000"/>
                <w:sz w:val="24"/>
                <w:szCs w:val="24"/>
              </w:rPr>
              <w:t>中频率50Hz下公众曝露控制限值</w:t>
            </w:r>
            <w:r>
              <w:rPr>
                <w:color w:val="000000"/>
                <w:sz w:val="24"/>
                <w:szCs w:val="24"/>
              </w:rPr>
              <w:t>工频电场4</w:t>
            </w:r>
            <w:r>
              <w:rPr>
                <w:rFonts w:hint="eastAsia"/>
                <w:color w:val="000000"/>
                <w:sz w:val="24"/>
                <w:szCs w:val="24"/>
              </w:rPr>
              <w:t>000V</w:t>
            </w:r>
            <w:r>
              <w:rPr>
                <w:color w:val="000000"/>
                <w:sz w:val="24"/>
                <w:szCs w:val="24"/>
              </w:rPr>
              <w:t>/m</w:t>
            </w:r>
            <w:r>
              <w:rPr>
                <w:rFonts w:hint="eastAsia"/>
                <w:color w:val="000000"/>
                <w:sz w:val="24"/>
                <w:szCs w:val="24"/>
              </w:rPr>
              <w:t>、</w:t>
            </w:r>
            <w:r>
              <w:rPr>
                <w:color w:val="000000"/>
                <w:sz w:val="24"/>
                <w:szCs w:val="24"/>
              </w:rPr>
              <w:t>工频磁场</w:t>
            </w:r>
            <w:r>
              <w:rPr>
                <w:rFonts w:hint="eastAsia"/>
                <w:color w:val="000000"/>
                <w:sz w:val="24"/>
                <w:szCs w:val="24"/>
              </w:rPr>
              <w:t>100</w:t>
            </w:r>
            <w:r>
              <w:rPr>
                <w:iCs/>
              </w:rPr>
              <w:t>μT</w:t>
            </w:r>
            <w:r>
              <w:rPr>
                <w:color w:val="000000"/>
                <w:sz w:val="24"/>
                <w:szCs w:val="24"/>
              </w:rPr>
              <w:t>的</w:t>
            </w:r>
            <w:r>
              <w:rPr>
                <w:rFonts w:hint="eastAsia"/>
                <w:color w:val="000000"/>
                <w:sz w:val="24"/>
                <w:szCs w:val="24"/>
              </w:rPr>
              <w:t>要求</w:t>
            </w:r>
            <w:r>
              <w:rPr>
                <w:color w:val="000000"/>
                <w:sz w:val="24"/>
                <w:szCs w:val="24"/>
              </w:rPr>
              <w:t>。</w:t>
            </w:r>
            <w:r>
              <w:rPr>
                <w:rFonts w:hint="eastAsia"/>
                <w:bCs/>
                <w:sz w:val="24"/>
              </w:rPr>
              <w:t>监测结果见下表。</w:t>
            </w:r>
          </w:p>
          <w:p w14:paraId="79F37674">
            <w:pPr>
              <w:pStyle w:val="219"/>
              <w:spacing w:before="0" w:beforeLines="0"/>
              <w:rPr>
                <w:sz w:val="24"/>
                <w:szCs w:val="24"/>
              </w:rPr>
            </w:pPr>
            <w:r>
              <w:rPr>
                <w:sz w:val="24"/>
                <w:szCs w:val="24"/>
              </w:rPr>
              <w:t>表3.2.4-1</w:t>
            </w:r>
            <w:r>
              <w:rPr>
                <w:rFonts w:hint="eastAsia"/>
                <w:sz w:val="24"/>
                <w:szCs w:val="24"/>
              </w:rPr>
              <w:t xml:space="preserve">  </w:t>
            </w:r>
            <w:r>
              <w:rPr>
                <w:sz w:val="24"/>
                <w:szCs w:val="24"/>
              </w:rPr>
              <w:t>以礼河三级电站周边电磁环境质量现状</w:t>
            </w:r>
          </w:p>
          <w:tbl>
            <w:tblPr>
              <w:tblStyle w:val="30"/>
              <w:tblW w:w="49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3822"/>
              <w:gridCol w:w="1892"/>
              <w:gridCol w:w="2063"/>
            </w:tblGrid>
            <w:tr w14:paraId="5EFF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43" w:type="dxa"/>
                  <w:vMerge w:val="restart"/>
                  <w:vAlign w:val="center"/>
                </w:tcPr>
                <w:p w14:paraId="361C4445">
                  <w:pPr>
                    <w:jc w:val="center"/>
                    <w:rPr>
                      <w:b/>
                      <w:bCs/>
                      <w:iCs/>
                    </w:rPr>
                  </w:pPr>
                  <w:r>
                    <w:rPr>
                      <w:b/>
                      <w:bCs/>
                      <w:iCs/>
                    </w:rPr>
                    <w:t>序号</w:t>
                  </w:r>
                </w:p>
              </w:tc>
              <w:tc>
                <w:tcPr>
                  <w:tcW w:w="3827" w:type="dxa"/>
                  <w:vMerge w:val="restart"/>
                  <w:vAlign w:val="center"/>
                </w:tcPr>
                <w:p w14:paraId="604C13B4">
                  <w:pPr>
                    <w:jc w:val="center"/>
                    <w:rPr>
                      <w:b/>
                      <w:bCs/>
                      <w:iCs/>
                    </w:rPr>
                  </w:pPr>
                  <w:r>
                    <w:rPr>
                      <w:rFonts w:hint="eastAsia"/>
                      <w:b/>
                      <w:bCs/>
                      <w:iCs/>
                    </w:rPr>
                    <w:t>监测</w:t>
                  </w:r>
                  <w:r>
                    <w:rPr>
                      <w:b/>
                      <w:bCs/>
                      <w:iCs/>
                    </w:rPr>
                    <w:t>点位描述</w:t>
                  </w:r>
                </w:p>
              </w:tc>
              <w:tc>
                <w:tcPr>
                  <w:tcW w:w="3953" w:type="dxa"/>
                  <w:gridSpan w:val="2"/>
                  <w:vAlign w:val="center"/>
                </w:tcPr>
                <w:p w14:paraId="4F03DC96">
                  <w:pPr>
                    <w:jc w:val="center"/>
                    <w:rPr>
                      <w:b/>
                      <w:bCs/>
                      <w:iCs/>
                    </w:rPr>
                  </w:pPr>
                  <w:r>
                    <w:rPr>
                      <w:b/>
                      <w:bCs/>
                      <w:iCs/>
                    </w:rPr>
                    <w:t>监测数据</w:t>
                  </w:r>
                </w:p>
              </w:tc>
            </w:tr>
            <w:tr w14:paraId="7AC4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43" w:type="dxa"/>
                  <w:vMerge w:val="continue"/>
                  <w:vAlign w:val="center"/>
                </w:tcPr>
                <w:p w14:paraId="069ADA30">
                  <w:pPr>
                    <w:jc w:val="center"/>
                    <w:rPr>
                      <w:b/>
                      <w:bCs/>
                      <w:iCs/>
                    </w:rPr>
                  </w:pPr>
                </w:p>
              </w:tc>
              <w:tc>
                <w:tcPr>
                  <w:tcW w:w="3827" w:type="dxa"/>
                  <w:vMerge w:val="continue"/>
                  <w:vAlign w:val="center"/>
                </w:tcPr>
                <w:p w14:paraId="4A8C3BA7">
                  <w:pPr>
                    <w:jc w:val="center"/>
                    <w:rPr>
                      <w:b/>
                      <w:bCs/>
                      <w:iCs/>
                    </w:rPr>
                  </w:pPr>
                </w:p>
              </w:tc>
              <w:tc>
                <w:tcPr>
                  <w:tcW w:w="1891" w:type="dxa"/>
                  <w:vAlign w:val="center"/>
                </w:tcPr>
                <w:p w14:paraId="3549C7DE">
                  <w:pPr>
                    <w:jc w:val="center"/>
                    <w:rPr>
                      <w:b/>
                      <w:bCs/>
                      <w:iCs/>
                    </w:rPr>
                  </w:pPr>
                  <w:r>
                    <w:rPr>
                      <w:b/>
                      <w:bCs/>
                      <w:iCs/>
                    </w:rPr>
                    <w:t>工频电场（V/m）</w:t>
                  </w:r>
                </w:p>
              </w:tc>
              <w:tc>
                <w:tcPr>
                  <w:tcW w:w="2062" w:type="dxa"/>
                  <w:vAlign w:val="center"/>
                </w:tcPr>
                <w:p w14:paraId="1844E899">
                  <w:pPr>
                    <w:jc w:val="center"/>
                    <w:rPr>
                      <w:b/>
                      <w:bCs/>
                      <w:iCs/>
                    </w:rPr>
                  </w:pPr>
                  <w:r>
                    <w:rPr>
                      <w:b/>
                      <w:bCs/>
                      <w:iCs/>
                    </w:rPr>
                    <w:t>工频磁场（μT）</w:t>
                  </w:r>
                </w:p>
              </w:tc>
            </w:tr>
            <w:tr w14:paraId="11C5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43" w:type="dxa"/>
                  <w:vAlign w:val="center"/>
                </w:tcPr>
                <w:p w14:paraId="2669E5E5">
                  <w:pPr>
                    <w:jc w:val="center"/>
                  </w:pPr>
                  <w:r>
                    <w:rPr>
                      <w:rFonts w:hint="eastAsia"/>
                    </w:rPr>
                    <w:t>1</w:t>
                  </w:r>
                </w:p>
              </w:tc>
              <w:tc>
                <w:tcPr>
                  <w:tcW w:w="3827" w:type="dxa"/>
                  <w:vAlign w:val="center"/>
                </w:tcPr>
                <w:p w14:paraId="168912B8">
                  <w:pPr>
                    <w:jc w:val="center"/>
                  </w:pPr>
                  <w:r>
                    <w:rPr>
                      <w:rFonts w:hint="eastAsia"/>
                    </w:rPr>
                    <w:t>以礼河三级电站厂界东侧</w:t>
                  </w:r>
                </w:p>
              </w:tc>
              <w:tc>
                <w:tcPr>
                  <w:tcW w:w="1891" w:type="dxa"/>
                  <w:vAlign w:val="center"/>
                </w:tcPr>
                <w:p w14:paraId="3D951444">
                  <w:pPr>
                    <w:keepLines/>
                    <w:adjustRightInd w:val="0"/>
                    <w:snapToGrid w:val="0"/>
                    <w:jc w:val="center"/>
                  </w:pPr>
                  <w:r>
                    <w:rPr>
                      <w:rFonts w:hint="eastAsia" w:cs="宋体"/>
                      <w:color w:val="000000"/>
                    </w:rPr>
                    <w:t>1.997</w:t>
                  </w:r>
                </w:p>
              </w:tc>
              <w:tc>
                <w:tcPr>
                  <w:tcW w:w="2062" w:type="dxa"/>
                  <w:vAlign w:val="center"/>
                </w:tcPr>
                <w:p w14:paraId="188EBE18">
                  <w:pPr>
                    <w:keepLines/>
                    <w:adjustRightInd w:val="0"/>
                    <w:snapToGrid w:val="0"/>
                    <w:jc w:val="center"/>
                  </w:pPr>
                  <w:r>
                    <w:rPr>
                      <w:rFonts w:hint="eastAsia" w:cs="宋体"/>
                      <w:color w:val="000000"/>
                    </w:rPr>
                    <w:t>0.1986</w:t>
                  </w:r>
                </w:p>
              </w:tc>
            </w:tr>
            <w:tr w14:paraId="5EB1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43" w:type="dxa"/>
                  <w:vAlign w:val="center"/>
                </w:tcPr>
                <w:p w14:paraId="24CBCEBA">
                  <w:pPr>
                    <w:jc w:val="center"/>
                  </w:pPr>
                  <w:r>
                    <w:rPr>
                      <w:rFonts w:hint="eastAsia"/>
                    </w:rPr>
                    <w:t>2</w:t>
                  </w:r>
                </w:p>
              </w:tc>
              <w:tc>
                <w:tcPr>
                  <w:tcW w:w="3827" w:type="dxa"/>
                  <w:vAlign w:val="center"/>
                </w:tcPr>
                <w:p w14:paraId="697677E5">
                  <w:pPr>
                    <w:jc w:val="center"/>
                  </w:pPr>
                  <w:r>
                    <w:rPr>
                      <w:rFonts w:hint="eastAsia"/>
                    </w:rPr>
                    <w:t>以礼河三级电站厂界北侧</w:t>
                  </w:r>
                </w:p>
              </w:tc>
              <w:tc>
                <w:tcPr>
                  <w:tcW w:w="1891" w:type="dxa"/>
                  <w:vAlign w:val="center"/>
                </w:tcPr>
                <w:p w14:paraId="7FC2136F">
                  <w:pPr>
                    <w:keepLines/>
                    <w:adjustRightInd w:val="0"/>
                    <w:snapToGrid w:val="0"/>
                    <w:jc w:val="center"/>
                  </w:pPr>
                  <w:r>
                    <w:rPr>
                      <w:rFonts w:hint="eastAsia" w:cs="宋体"/>
                      <w:color w:val="000000"/>
                    </w:rPr>
                    <w:t>1.098</w:t>
                  </w:r>
                  <w:r>
                    <w:rPr>
                      <w:rFonts w:ascii="Arial" w:hAnsi="Arial" w:cs="Arial"/>
                      <w:color w:val="000000"/>
                    </w:rPr>
                    <w:t>×</w:t>
                  </w:r>
                  <w:r>
                    <w:rPr>
                      <w:rFonts w:hint="eastAsia" w:cs="宋体"/>
                      <w:color w:val="000000"/>
                    </w:rPr>
                    <w:t>10</w:t>
                  </w:r>
                  <w:r>
                    <w:rPr>
                      <w:rFonts w:hint="eastAsia" w:cs="宋体"/>
                      <w:color w:val="000000"/>
                      <w:vertAlign w:val="superscript"/>
                    </w:rPr>
                    <w:t>3</w:t>
                  </w:r>
                </w:p>
              </w:tc>
              <w:tc>
                <w:tcPr>
                  <w:tcW w:w="2062" w:type="dxa"/>
                  <w:vAlign w:val="center"/>
                </w:tcPr>
                <w:p w14:paraId="216044BD">
                  <w:pPr>
                    <w:keepLines/>
                    <w:adjustRightInd w:val="0"/>
                    <w:snapToGrid w:val="0"/>
                    <w:jc w:val="center"/>
                  </w:pPr>
                  <w:r>
                    <w:rPr>
                      <w:rFonts w:hint="eastAsia" w:cs="宋体"/>
                      <w:color w:val="000000"/>
                    </w:rPr>
                    <w:t>0.5042</w:t>
                  </w:r>
                </w:p>
              </w:tc>
            </w:tr>
            <w:tr w14:paraId="299F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43" w:type="dxa"/>
                  <w:vAlign w:val="center"/>
                </w:tcPr>
                <w:p w14:paraId="4FB56B73">
                  <w:pPr>
                    <w:jc w:val="center"/>
                  </w:pPr>
                  <w:r>
                    <w:rPr>
                      <w:rFonts w:hint="eastAsia"/>
                    </w:rPr>
                    <w:t>3</w:t>
                  </w:r>
                </w:p>
              </w:tc>
              <w:tc>
                <w:tcPr>
                  <w:tcW w:w="3827" w:type="dxa"/>
                  <w:vAlign w:val="center"/>
                </w:tcPr>
                <w:p w14:paraId="7A35AC96">
                  <w:pPr>
                    <w:jc w:val="center"/>
                  </w:pPr>
                  <w:r>
                    <w:rPr>
                      <w:rFonts w:hint="eastAsia"/>
                    </w:rPr>
                    <w:t>以礼河三级电站厂界南侧</w:t>
                  </w:r>
                </w:p>
              </w:tc>
              <w:tc>
                <w:tcPr>
                  <w:tcW w:w="1891" w:type="dxa"/>
                  <w:vAlign w:val="center"/>
                </w:tcPr>
                <w:p w14:paraId="37E4AD94">
                  <w:pPr>
                    <w:keepLines/>
                    <w:adjustRightInd w:val="0"/>
                    <w:snapToGrid w:val="0"/>
                    <w:jc w:val="center"/>
                  </w:pPr>
                  <w:r>
                    <w:rPr>
                      <w:rFonts w:hint="eastAsia" w:cs="宋体"/>
                      <w:color w:val="000000"/>
                    </w:rPr>
                    <w:t>72.660</w:t>
                  </w:r>
                </w:p>
              </w:tc>
              <w:tc>
                <w:tcPr>
                  <w:tcW w:w="2062" w:type="dxa"/>
                  <w:vAlign w:val="center"/>
                </w:tcPr>
                <w:p w14:paraId="017EC3D4">
                  <w:pPr>
                    <w:keepLines/>
                    <w:adjustRightInd w:val="0"/>
                    <w:snapToGrid w:val="0"/>
                    <w:jc w:val="center"/>
                  </w:pPr>
                  <w:r>
                    <w:rPr>
                      <w:rFonts w:hint="eastAsia" w:cs="宋体"/>
                      <w:color w:val="000000"/>
                    </w:rPr>
                    <w:t>0.4157</w:t>
                  </w:r>
                </w:p>
              </w:tc>
            </w:tr>
            <w:tr w14:paraId="5799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43" w:type="dxa"/>
                  <w:vAlign w:val="center"/>
                </w:tcPr>
                <w:p w14:paraId="14B1D5BE">
                  <w:pPr>
                    <w:jc w:val="center"/>
                  </w:pPr>
                  <w:r>
                    <w:rPr>
                      <w:rFonts w:hint="eastAsia"/>
                    </w:rPr>
                    <w:t>4</w:t>
                  </w:r>
                </w:p>
              </w:tc>
              <w:tc>
                <w:tcPr>
                  <w:tcW w:w="3827" w:type="dxa"/>
                  <w:vAlign w:val="center"/>
                </w:tcPr>
                <w:p w14:paraId="49CED519">
                  <w:pPr>
                    <w:jc w:val="center"/>
                  </w:pPr>
                  <w:r>
                    <w:rPr>
                      <w:rFonts w:hint="eastAsia"/>
                    </w:rPr>
                    <w:t>以礼河三级电站厂界西侧</w:t>
                  </w:r>
                </w:p>
              </w:tc>
              <w:tc>
                <w:tcPr>
                  <w:tcW w:w="1891" w:type="dxa"/>
                  <w:vAlign w:val="center"/>
                </w:tcPr>
                <w:p w14:paraId="217281C3">
                  <w:pPr>
                    <w:keepLines/>
                    <w:adjustRightInd w:val="0"/>
                    <w:snapToGrid w:val="0"/>
                    <w:jc w:val="center"/>
                  </w:pPr>
                  <w:r>
                    <w:rPr>
                      <w:rFonts w:hint="eastAsia" w:cs="宋体"/>
                    </w:rPr>
                    <w:t>16.452</w:t>
                  </w:r>
                </w:p>
              </w:tc>
              <w:tc>
                <w:tcPr>
                  <w:tcW w:w="2062" w:type="dxa"/>
                  <w:vAlign w:val="center"/>
                </w:tcPr>
                <w:p w14:paraId="71E8F8FA">
                  <w:pPr>
                    <w:keepLines/>
                    <w:adjustRightInd w:val="0"/>
                    <w:snapToGrid w:val="0"/>
                    <w:jc w:val="center"/>
                  </w:pPr>
                  <w:r>
                    <w:rPr>
                      <w:rFonts w:hint="eastAsia" w:cs="宋体"/>
                    </w:rPr>
                    <w:t>0.7046</w:t>
                  </w:r>
                </w:p>
              </w:tc>
            </w:tr>
            <w:tr w14:paraId="0F07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43" w:type="dxa"/>
                  <w:vAlign w:val="center"/>
                </w:tcPr>
                <w:p w14:paraId="52327A0E">
                  <w:pPr>
                    <w:jc w:val="center"/>
                  </w:pPr>
                  <w:r>
                    <w:rPr>
                      <w:rFonts w:hint="eastAsia"/>
                    </w:rPr>
                    <w:t>5</w:t>
                  </w:r>
                </w:p>
              </w:tc>
              <w:tc>
                <w:tcPr>
                  <w:tcW w:w="3827" w:type="dxa"/>
                  <w:vAlign w:val="center"/>
                </w:tcPr>
                <w:p w14:paraId="5FF9271F">
                  <w:pPr>
                    <w:jc w:val="center"/>
                  </w:pPr>
                  <w:r>
                    <w:rPr>
                      <w:rFonts w:hint="eastAsia"/>
                    </w:rPr>
                    <w:t>新建升压站站址中心</w:t>
                  </w:r>
                </w:p>
              </w:tc>
              <w:tc>
                <w:tcPr>
                  <w:tcW w:w="1891" w:type="dxa"/>
                  <w:vAlign w:val="center"/>
                </w:tcPr>
                <w:p w14:paraId="274DC4A1">
                  <w:pPr>
                    <w:keepLines/>
                    <w:adjustRightInd w:val="0"/>
                    <w:snapToGrid w:val="0"/>
                    <w:jc w:val="center"/>
                  </w:pPr>
                  <w:r>
                    <w:rPr>
                      <w:rFonts w:cs="宋体"/>
                    </w:rPr>
                    <w:t>15.783</w:t>
                  </w:r>
                </w:p>
              </w:tc>
              <w:tc>
                <w:tcPr>
                  <w:tcW w:w="2062" w:type="dxa"/>
                  <w:vAlign w:val="center"/>
                </w:tcPr>
                <w:p w14:paraId="50B31F30">
                  <w:pPr>
                    <w:keepLines/>
                    <w:adjustRightInd w:val="0"/>
                    <w:snapToGrid w:val="0"/>
                    <w:jc w:val="center"/>
                  </w:pPr>
                  <w:r>
                    <w:rPr>
                      <w:rFonts w:cs="宋体"/>
                    </w:rPr>
                    <w:t>0.2170</w:t>
                  </w:r>
                </w:p>
              </w:tc>
            </w:tr>
            <w:tr w14:paraId="24F9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43" w:type="dxa"/>
                  <w:vAlign w:val="center"/>
                </w:tcPr>
                <w:p w14:paraId="3FB1BF05">
                  <w:pPr>
                    <w:jc w:val="center"/>
                    <w:rPr>
                      <w:rFonts w:hint="eastAsia"/>
                    </w:rPr>
                  </w:pPr>
                  <w:r>
                    <w:rPr>
                      <w:rFonts w:hint="eastAsia"/>
                    </w:rPr>
                    <w:t>6</w:t>
                  </w:r>
                </w:p>
              </w:tc>
              <w:tc>
                <w:tcPr>
                  <w:tcW w:w="3827" w:type="dxa"/>
                  <w:vAlign w:val="center"/>
                </w:tcPr>
                <w:p w14:paraId="74C7EB34">
                  <w:pPr>
                    <w:jc w:val="center"/>
                  </w:pPr>
                  <w:r>
                    <w:rPr>
                      <w:rFonts w:hint="eastAsia"/>
                    </w:rPr>
                    <w:t>以礼河厂界东侧20m居民点</w:t>
                  </w:r>
                </w:p>
              </w:tc>
              <w:tc>
                <w:tcPr>
                  <w:tcW w:w="1891" w:type="dxa"/>
                  <w:vAlign w:val="center"/>
                </w:tcPr>
                <w:p w14:paraId="0560BDBD">
                  <w:pPr>
                    <w:jc w:val="center"/>
                  </w:pPr>
                  <w:r>
                    <w:rPr>
                      <w:rFonts w:hint="eastAsia" w:cs="宋体"/>
                      <w:color w:val="000000"/>
                    </w:rPr>
                    <w:t>26.945</w:t>
                  </w:r>
                </w:p>
              </w:tc>
              <w:tc>
                <w:tcPr>
                  <w:tcW w:w="2062" w:type="dxa"/>
                  <w:vAlign w:val="center"/>
                </w:tcPr>
                <w:p w14:paraId="2A139D85">
                  <w:pPr>
                    <w:jc w:val="center"/>
                  </w:pPr>
                  <w:r>
                    <w:rPr>
                      <w:rFonts w:hint="eastAsia" w:cs="宋体"/>
                      <w:color w:val="000000"/>
                    </w:rPr>
                    <w:t>0.1267</w:t>
                  </w:r>
                </w:p>
              </w:tc>
            </w:tr>
          </w:tbl>
          <w:p w14:paraId="2BBD863E">
            <w:pPr>
              <w:spacing w:line="360" w:lineRule="auto"/>
              <w:rPr>
                <w:rFonts w:hint="eastAsia"/>
                <w:b/>
                <w:sz w:val="24"/>
              </w:rPr>
            </w:pPr>
            <w:r>
              <w:rPr>
                <w:rFonts w:hint="eastAsia"/>
                <w:b/>
                <w:bCs/>
                <w:sz w:val="24"/>
              </w:rPr>
              <w:t xml:space="preserve">3.2.5 </w:t>
            </w:r>
            <w:r>
              <w:rPr>
                <w:rFonts w:hint="eastAsia"/>
                <w:b/>
                <w:sz w:val="24"/>
              </w:rPr>
              <w:t>地下水环境现状</w:t>
            </w:r>
          </w:p>
          <w:p w14:paraId="4AC8B717">
            <w:pPr>
              <w:spacing w:line="360" w:lineRule="auto"/>
              <w:ind w:firstLine="480" w:firstLineChars="200"/>
              <w:rPr>
                <w:color w:val="000000"/>
                <w:sz w:val="24"/>
                <w:szCs w:val="24"/>
              </w:rPr>
            </w:pPr>
            <w:r>
              <w:rPr>
                <w:color w:val="000000"/>
                <w:sz w:val="24"/>
                <w:szCs w:val="24"/>
              </w:rPr>
              <w:t>项目属于《环境影响评价技术导则</w:t>
            </w:r>
            <w:r>
              <w:rPr>
                <w:rFonts w:hint="eastAsia"/>
                <w:color w:val="000000"/>
                <w:sz w:val="24"/>
                <w:szCs w:val="24"/>
              </w:rPr>
              <w:t xml:space="preserve"> </w:t>
            </w:r>
            <w:r>
              <w:rPr>
                <w:color w:val="000000"/>
                <w:sz w:val="24"/>
                <w:szCs w:val="24"/>
              </w:rPr>
              <w:t>地下水环境》（HJ</w:t>
            </w:r>
            <w:r>
              <w:rPr>
                <w:rFonts w:hint="eastAsia"/>
                <w:color w:val="000000"/>
                <w:sz w:val="24"/>
                <w:szCs w:val="24"/>
              </w:rPr>
              <w:t xml:space="preserve"> </w:t>
            </w:r>
            <w:r>
              <w:rPr>
                <w:color w:val="000000"/>
                <w:sz w:val="24"/>
                <w:szCs w:val="24"/>
              </w:rPr>
              <w:t>610-2016）附录A的Ⅳ类建设项目，不开展地下水环境影响评价。</w:t>
            </w:r>
          </w:p>
          <w:p w14:paraId="11EF2B2D">
            <w:pPr>
              <w:spacing w:line="360" w:lineRule="auto"/>
              <w:rPr>
                <w:rFonts w:hint="eastAsia"/>
                <w:b/>
                <w:sz w:val="24"/>
              </w:rPr>
            </w:pPr>
            <w:r>
              <w:rPr>
                <w:rFonts w:hint="eastAsia"/>
                <w:b/>
                <w:bCs/>
                <w:sz w:val="24"/>
              </w:rPr>
              <w:t xml:space="preserve">3.2.6 </w:t>
            </w:r>
            <w:r>
              <w:rPr>
                <w:rFonts w:hint="eastAsia"/>
                <w:b/>
                <w:sz w:val="24"/>
              </w:rPr>
              <w:t>土壤环境现状</w:t>
            </w:r>
          </w:p>
          <w:p w14:paraId="3657746E">
            <w:pPr>
              <w:pStyle w:val="212"/>
              <w:ind w:firstLine="480"/>
              <w:rPr>
                <w:rFonts w:hint="eastAsia"/>
              </w:rPr>
            </w:pPr>
            <w:r>
              <w:t>项目属于《环境影响评价技术导则</w:t>
            </w:r>
            <w:r>
              <w:rPr>
                <w:rFonts w:hint="eastAsia"/>
              </w:rPr>
              <w:t xml:space="preserve"> </w:t>
            </w:r>
            <w:r>
              <w:t>土壤环境（试行）》（HJ</w:t>
            </w:r>
            <w:r>
              <w:rPr>
                <w:rFonts w:hint="eastAsia"/>
                <w:lang w:val="en-US"/>
              </w:rPr>
              <w:t xml:space="preserve"> </w:t>
            </w:r>
            <w:r>
              <w:t>964-2018）附录A的Ⅳ类建设项目，不开展土壤环境影响评价。</w:t>
            </w:r>
          </w:p>
        </w:tc>
      </w:tr>
      <w:tr w14:paraId="35C84C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77" w:type="pct"/>
            <w:noWrap/>
            <w:vAlign w:val="center"/>
          </w:tcPr>
          <w:p w14:paraId="7467D37F">
            <w:pPr>
              <w:adjustRightInd w:val="0"/>
              <w:snapToGrid w:val="0"/>
              <w:jc w:val="center"/>
              <w:rPr>
                <w:rFonts w:ascii="宋体" w:hAnsi="宋体" w:cs="宋体"/>
                <w:kern w:val="0"/>
                <w:sz w:val="24"/>
              </w:rPr>
            </w:pPr>
            <w:r>
              <w:rPr>
                <w:rFonts w:hint="eastAsia" w:ascii="宋体" w:hAnsi="宋体"/>
                <w:bCs/>
                <w:sz w:val="24"/>
              </w:rPr>
              <w:t>与项目有关的原有环境污染和生态破坏问题</w:t>
            </w:r>
          </w:p>
        </w:tc>
        <w:tc>
          <w:tcPr>
            <w:tcW w:w="4722" w:type="pct"/>
            <w:noWrap/>
            <w:vAlign w:val="center"/>
          </w:tcPr>
          <w:p w14:paraId="6B16D634">
            <w:pPr>
              <w:spacing w:line="360" w:lineRule="auto"/>
              <w:rPr>
                <w:b/>
                <w:bCs/>
                <w:sz w:val="24"/>
              </w:rPr>
            </w:pPr>
            <w:r>
              <w:rPr>
                <w:rFonts w:hint="eastAsia"/>
                <w:b/>
                <w:bCs/>
                <w:sz w:val="24"/>
              </w:rPr>
              <w:t>3.3 与项目有关的原有环境污染和生态破坏问题</w:t>
            </w:r>
          </w:p>
          <w:p w14:paraId="21505438">
            <w:pPr>
              <w:spacing w:line="360" w:lineRule="auto"/>
              <w:ind w:firstLine="480" w:firstLineChars="200"/>
              <w:rPr>
                <w:rFonts w:hint="eastAsia"/>
                <w:sz w:val="24"/>
                <w:szCs w:val="22"/>
                <w:lang w:val="zh-CN"/>
              </w:rPr>
            </w:pPr>
            <w:r>
              <w:rPr>
                <w:rFonts w:hint="eastAsia"/>
                <w:sz w:val="24"/>
                <w:szCs w:val="22"/>
                <w:lang w:val="zh-CN"/>
              </w:rPr>
              <w:t>以礼河发电厂三级电站于1957年7月开工建设，由于历史原因未办理环境影响评价审批及环评验收手续。2020年9月，华电云南发电有限公司以礼河发电厂委托昆明飞驰环保科技有限公司开展以礼河发电厂三级电站环境影响现状评价工作。2020年12月11日，曲靖市生态环境局以曲环函〔2020〕93号文出具了“曲靖市生态环境局关于以礼河发电厂三级电站环境影响现状评价报告备案意见的函”。</w:t>
            </w:r>
          </w:p>
          <w:p w14:paraId="2BF337D4">
            <w:pPr>
              <w:spacing w:line="360" w:lineRule="auto"/>
              <w:rPr>
                <w:b/>
                <w:bCs/>
                <w:sz w:val="24"/>
              </w:rPr>
            </w:pPr>
            <w:r>
              <w:rPr>
                <w:rFonts w:hint="eastAsia"/>
                <w:b/>
                <w:bCs/>
                <w:sz w:val="24"/>
              </w:rPr>
              <w:t>3.3.1 生活污水处理设施</w:t>
            </w:r>
          </w:p>
          <w:p w14:paraId="300FE5E1">
            <w:pPr>
              <w:spacing w:line="360" w:lineRule="auto"/>
              <w:ind w:firstLine="480" w:firstLineChars="200"/>
              <w:rPr>
                <w:sz w:val="24"/>
                <w:szCs w:val="24"/>
              </w:rPr>
            </w:pPr>
            <w:r>
              <w:rPr>
                <w:rFonts w:hint="eastAsia"/>
                <w:sz w:val="24"/>
                <w:szCs w:val="24"/>
              </w:rPr>
              <w:t>根据现场调查，目前以礼河三级电站生活区配置了1套一体化污水处理设施。具体情况如下：</w:t>
            </w:r>
          </w:p>
          <w:p w14:paraId="1879BB2D">
            <w:pPr>
              <w:spacing w:line="360" w:lineRule="auto"/>
              <w:ind w:firstLine="480" w:firstLineChars="200"/>
              <w:rPr>
                <w:rFonts w:hint="eastAsia"/>
                <w:sz w:val="24"/>
                <w:szCs w:val="24"/>
              </w:rPr>
            </w:pPr>
            <w:r>
              <w:rPr>
                <w:rFonts w:hint="eastAsia"/>
                <w:sz w:val="24"/>
                <w:szCs w:val="24"/>
              </w:rPr>
              <w:t>（1）工艺路线：格栅→缺氧池→生物接触氧化池→二沉池→污泥池→消毒池。</w:t>
            </w:r>
          </w:p>
          <w:p w14:paraId="21F8C7AC">
            <w:pPr>
              <w:spacing w:line="360" w:lineRule="auto"/>
              <w:ind w:firstLine="480" w:firstLineChars="200"/>
              <w:rPr>
                <w:rFonts w:hint="eastAsia"/>
                <w:sz w:val="24"/>
                <w:szCs w:val="24"/>
              </w:rPr>
            </w:pPr>
            <w:r>
              <w:rPr>
                <w:rFonts w:hint="eastAsia"/>
                <w:sz w:val="24"/>
                <w:szCs w:val="24"/>
              </w:rPr>
              <w:t>（2）产生量与处理量：以礼河三级电站现场配置运行人员</w:t>
            </w:r>
            <w:r>
              <w:rPr>
                <w:sz w:val="24"/>
                <w:szCs w:val="24"/>
              </w:rPr>
              <w:t>6</w:t>
            </w:r>
            <w:r>
              <w:rPr>
                <w:rFonts w:hint="eastAsia"/>
                <w:sz w:val="24"/>
                <w:szCs w:val="24"/>
              </w:rPr>
              <w:t>名，每月生活处理量为30m</w:t>
            </w:r>
            <w:r>
              <w:rPr>
                <w:rFonts w:hint="eastAsia"/>
                <w:sz w:val="24"/>
                <w:szCs w:val="24"/>
                <w:vertAlign w:val="superscript"/>
              </w:rPr>
              <w:t>3</w:t>
            </w:r>
            <w:r>
              <w:rPr>
                <w:rFonts w:hint="eastAsia"/>
                <w:sz w:val="24"/>
                <w:szCs w:val="24"/>
              </w:rPr>
              <w:t>，设备实际月处理量约30m</w:t>
            </w:r>
            <w:r>
              <w:rPr>
                <w:rFonts w:hint="eastAsia"/>
                <w:sz w:val="24"/>
                <w:szCs w:val="24"/>
                <w:vertAlign w:val="superscript"/>
              </w:rPr>
              <w:t>3</w:t>
            </w:r>
            <w:r>
              <w:rPr>
                <w:rFonts w:hint="eastAsia"/>
                <w:sz w:val="24"/>
                <w:szCs w:val="24"/>
              </w:rPr>
              <w:t>。</w:t>
            </w:r>
          </w:p>
          <w:p w14:paraId="5FF572A5">
            <w:pPr>
              <w:spacing w:line="360" w:lineRule="auto"/>
              <w:ind w:firstLine="480" w:firstLineChars="200"/>
              <w:rPr>
                <w:sz w:val="24"/>
                <w:szCs w:val="24"/>
              </w:rPr>
            </w:pPr>
            <w:r>
              <w:rPr>
                <w:rFonts w:hint="eastAsia"/>
                <w:sz w:val="24"/>
                <w:szCs w:val="24"/>
              </w:rPr>
              <w:t>（3）达标情况：电厂建立定期水质检测机制，每年对污水处理设备进行专业维护保养，2025年9月19日最新水质检测结果显示，检测指标满足《污水综合排放标准》（GB 8978-1996）</w:t>
            </w:r>
            <w:r>
              <w:rPr>
                <w:color w:val="000000"/>
                <w:spacing w:val="5"/>
                <w:sz w:val="24"/>
              </w:rPr>
              <w:t>一级排放标准</w:t>
            </w:r>
            <w:r>
              <w:rPr>
                <w:rFonts w:hint="eastAsia"/>
                <w:sz w:val="24"/>
                <w:szCs w:val="24"/>
              </w:rPr>
              <w:t>。</w:t>
            </w:r>
          </w:p>
          <w:p w14:paraId="33D0016C">
            <w:pPr>
              <w:spacing w:line="360" w:lineRule="auto"/>
              <w:ind w:firstLine="480" w:firstLineChars="200"/>
              <w:rPr>
                <w:sz w:val="24"/>
                <w:szCs w:val="24"/>
              </w:rPr>
            </w:pPr>
            <w:r>
              <w:rPr>
                <w:rFonts w:hint="eastAsia"/>
                <w:sz w:val="24"/>
                <w:szCs w:val="24"/>
              </w:rPr>
              <w:t>（</w:t>
            </w:r>
            <w:r>
              <w:rPr>
                <w:sz w:val="24"/>
                <w:szCs w:val="24"/>
              </w:rPr>
              <w:t>4</w:t>
            </w:r>
            <w:r>
              <w:rPr>
                <w:rFonts w:hint="eastAsia"/>
                <w:sz w:val="24"/>
                <w:szCs w:val="24"/>
              </w:rPr>
              <w:t>）回用情况：</w:t>
            </w:r>
            <w:r>
              <w:rPr>
                <w:color w:val="000000"/>
                <w:spacing w:val="5"/>
                <w:sz w:val="24"/>
              </w:rPr>
              <w:t>处理后用于厂内菜地施肥和厂外的农</w:t>
            </w:r>
            <w:r>
              <w:rPr>
                <w:rFonts w:hint="eastAsia"/>
                <w:color w:val="000000"/>
                <w:spacing w:val="5"/>
                <w:sz w:val="24"/>
              </w:rPr>
              <w:t>田灌溉</w:t>
            </w:r>
            <w:r>
              <w:rPr>
                <w:color w:val="000000"/>
                <w:spacing w:val="5"/>
                <w:sz w:val="24"/>
              </w:rPr>
              <w:t>，不外排</w:t>
            </w:r>
            <w:r>
              <w:rPr>
                <w:rFonts w:hint="eastAsia"/>
                <w:sz w:val="24"/>
                <w:szCs w:val="24"/>
              </w:rPr>
              <w:t>处理。</w:t>
            </w:r>
          </w:p>
          <w:p w14:paraId="07F0EE07">
            <w:pPr>
              <w:spacing w:line="360" w:lineRule="auto"/>
              <w:ind w:firstLine="480" w:firstLineChars="200"/>
              <w:rPr>
                <w:rFonts w:hint="eastAsia"/>
                <w:sz w:val="24"/>
                <w:szCs w:val="24"/>
              </w:rPr>
            </w:pPr>
            <w:r>
              <w:rPr>
                <w:rFonts w:hint="eastAsia"/>
                <w:sz w:val="24"/>
                <w:szCs w:val="24"/>
              </w:rPr>
              <w:t>（</w:t>
            </w:r>
            <w:r>
              <w:rPr>
                <w:sz w:val="24"/>
                <w:szCs w:val="24"/>
              </w:rPr>
              <w:t>5</w:t>
            </w:r>
            <w:r>
              <w:rPr>
                <w:rFonts w:hint="eastAsia"/>
                <w:sz w:val="24"/>
                <w:szCs w:val="24"/>
              </w:rPr>
              <w:t>）问题：现有的一体式污水处理设备使用年限较久，存在性能衰退、维护成本攀升等问题。其次，随着绿坪光伏项目建设投产，运营人员增多，现有的污水处理设备已无法满足后续污水处理的规模需求。</w:t>
            </w:r>
          </w:p>
          <w:p w14:paraId="25DC1F99">
            <w:pPr>
              <w:adjustRightInd w:val="0"/>
              <w:snapToGrid w:val="0"/>
              <w:spacing w:line="360" w:lineRule="auto"/>
              <w:ind w:firstLine="480" w:firstLineChars="200"/>
              <w:rPr>
                <w:rFonts w:hint="eastAsia"/>
                <w:sz w:val="24"/>
                <w:szCs w:val="24"/>
              </w:rPr>
            </w:pPr>
            <w:r>
              <w:rPr>
                <w:rFonts w:hint="eastAsia"/>
                <w:sz w:val="24"/>
                <w:szCs w:val="24"/>
              </w:rPr>
              <w:t>（</w:t>
            </w:r>
            <w:r>
              <w:rPr>
                <w:sz w:val="24"/>
                <w:szCs w:val="24"/>
              </w:rPr>
              <w:t>6</w:t>
            </w:r>
            <w:r>
              <w:rPr>
                <w:rFonts w:hint="eastAsia"/>
                <w:sz w:val="24"/>
                <w:szCs w:val="24"/>
              </w:rPr>
              <w:t>）以新代老：结合绿坪光伏项目建设，对现有的生活污水处理设施进行更新换代，新建一套一体式污水处理设备，满足三级电站和绿坪光伏发电项目运营期的生活污水处理需求，确保污水达标处理并实现资源化利用。</w:t>
            </w:r>
          </w:p>
          <w:tbl>
            <w:tblPr>
              <w:tblStyle w:val="30"/>
              <w:tblW w:w="4750" w:type="pct"/>
              <w:jc w:val="center"/>
              <w:tblLayout w:type="fixed"/>
              <w:tblCellMar>
                <w:top w:w="113" w:type="dxa"/>
                <w:left w:w="108" w:type="dxa"/>
                <w:bottom w:w="113" w:type="dxa"/>
                <w:right w:w="108" w:type="dxa"/>
              </w:tblCellMar>
            </w:tblPr>
            <w:tblGrid>
              <w:gridCol w:w="4065"/>
              <w:gridCol w:w="4064"/>
            </w:tblGrid>
            <w:tr w14:paraId="7C05A1E3">
              <w:tblPrEx>
                <w:tblCellMar>
                  <w:top w:w="113" w:type="dxa"/>
                  <w:left w:w="108" w:type="dxa"/>
                  <w:bottom w:w="113" w:type="dxa"/>
                  <w:right w:w="108" w:type="dxa"/>
                </w:tblCellMar>
              </w:tblPrEx>
              <w:trPr>
                <w:jc w:val="center"/>
              </w:trPr>
              <w:tc>
                <w:tcPr>
                  <w:tcW w:w="4202" w:type="dxa"/>
                </w:tcPr>
                <w:p w14:paraId="7FF6D34D">
                  <w:pPr>
                    <w:jc w:val="center"/>
                    <w:rPr>
                      <w:rFonts w:hint="eastAsia"/>
                      <w:sz w:val="24"/>
                    </w:rPr>
                  </w:pPr>
                  <w:r>
                    <w:rPr>
                      <w:rFonts w:hint="eastAsia"/>
                      <w:sz w:val="24"/>
                    </w:rPr>
                    <w:drawing>
                      <wp:inline distT="0" distB="0" distL="0" distR="0">
                        <wp:extent cx="2519045" cy="1802765"/>
                        <wp:effectExtent l="0" t="0" r="0" b="0"/>
                        <wp:docPr id="35" name="图片 34" descr="89f01e40abd4f01384be66f77d960108"/>
                        <wp:cNvGraphicFramePr/>
                        <a:graphic xmlns:a="http://schemas.openxmlformats.org/drawingml/2006/main">
                          <a:graphicData uri="http://schemas.openxmlformats.org/drawingml/2006/picture">
                            <pic:pic xmlns:pic="http://schemas.openxmlformats.org/drawingml/2006/picture">
                              <pic:nvPicPr>
                                <pic:cNvPr id="35" name="图片 34" descr="89f01e40abd4f01384be66f77d960108"/>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519045" cy="1802765"/>
                                </a:xfrm>
                                <a:prstGeom prst="rect">
                                  <a:avLst/>
                                </a:prstGeom>
                                <a:noFill/>
                                <a:ln>
                                  <a:noFill/>
                                </a:ln>
                              </pic:spPr>
                            </pic:pic>
                          </a:graphicData>
                        </a:graphic>
                      </wp:inline>
                    </w:drawing>
                  </w:r>
                </w:p>
              </w:tc>
              <w:tc>
                <w:tcPr>
                  <w:tcW w:w="4202" w:type="dxa"/>
                </w:tcPr>
                <w:p w14:paraId="6F6E982A">
                  <w:pPr>
                    <w:jc w:val="center"/>
                    <w:rPr>
                      <w:rFonts w:hint="eastAsia"/>
                      <w:sz w:val="24"/>
                    </w:rPr>
                  </w:pPr>
                  <w:r>
                    <w:rPr>
                      <w:rFonts w:hint="eastAsia"/>
                      <w:sz w:val="24"/>
                    </w:rPr>
                    <w:drawing>
                      <wp:inline distT="0" distB="0" distL="0" distR="0">
                        <wp:extent cx="2519045" cy="1802765"/>
                        <wp:effectExtent l="0" t="0" r="0" b="0"/>
                        <wp:docPr id="36" name="图片 35" descr="177e21e2bed414e5ae22662642c20cb3"/>
                        <wp:cNvGraphicFramePr/>
                        <a:graphic xmlns:a="http://schemas.openxmlformats.org/drawingml/2006/main">
                          <a:graphicData uri="http://schemas.openxmlformats.org/drawingml/2006/picture">
                            <pic:pic xmlns:pic="http://schemas.openxmlformats.org/drawingml/2006/picture">
                              <pic:nvPicPr>
                                <pic:cNvPr id="36" name="图片 35" descr="177e21e2bed414e5ae22662642c20cb3"/>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519045" cy="1802765"/>
                                </a:xfrm>
                                <a:prstGeom prst="rect">
                                  <a:avLst/>
                                </a:prstGeom>
                                <a:noFill/>
                                <a:ln>
                                  <a:noFill/>
                                </a:ln>
                              </pic:spPr>
                            </pic:pic>
                          </a:graphicData>
                        </a:graphic>
                      </wp:inline>
                    </w:drawing>
                  </w:r>
                </w:p>
              </w:tc>
            </w:tr>
          </w:tbl>
          <w:p w14:paraId="5EDD0AA5">
            <w:pPr>
              <w:adjustRightInd w:val="0"/>
              <w:snapToGrid w:val="0"/>
              <w:spacing w:line="360" w:lineRule="auto"/>
              <w:jc w:val="center"/>
              <w:rPr>
                <w:sz w:val="24"/>
                <w:szCs w:val="24"/>
              </w:rPr>
            </w:pPr>
            <w:r>
              <w:rPr>
                <w:rFonts w:hint="eastAsia"/>
                <w:b/>
                <w:bCs/>
                <w:sz w:val="24"/>
              </w:rPr>
              <w:t>图3.3.1-1  以礼河电厂三级电站生活区和配套生活污水处理设施</w:t>
            </w:r>
          </w:p>
          <w:p w14:paraId="3694D798">
            <w:pPr>
              <w:spacing w:line="360" w:lineRule="auto"/>
              <w:rPr>
                <w:b/>
                <w:bCs/>
                <w:sz w:val="24"/>
              </w:rPr>
            </w:pPr>
            <w:r>
              <w:rPr>
                <w:rFonts w:hint="eastAsia"/>
                <w:b/>
                <w:bCs/>
                <w:sz w:val="24"/>
              </w:rPr>
              <w:t>3.3.2 危废贮存间</w:t>
            </w:r>
          </w:p>
          <w:p w14:paraId="2EC85420">
            <w:pPr>
              <w:spacing w:line="360" w:lineRule="auto"/>
              <w:ind w:firstLine="480" w:firstLineChars="200"/>
              <w:rPr>
                <w:rFonts w:hint="eastAsia"/>
                <w:sz w:val="24"/>
              </w:rPr>
            </w:pPr>
            <w:r>
              <w:rPr>
                <w:rFonts w:hint="eastAsia"/>
                <w:sz w:val="24"/>
              </w:rPr>
              <w:t>根据现场调查，目前以礼河三级电站厂区内未设置危废贮存间，以礼河三级电站所产生的危险废物运送至距离该电站24km的娜姑镇，存放于以礼河电厂一级、二级、三级电站共用的危废贮存间。现有危废贮存间已经按照相关标准要求进行设计改造，满足《危险废物贮存污染控制标准》（GB 18597-2023）要求，定期交给云南源润再生资源利用有限公司（危废处置单位）转运、处置。本项目新建升压站新建危废贮存间不考虑现有以礼河三级电站危险废物贮存。</w:t>
            </w:r>
          </w:p>
        </w:tc>
      </w:tr>
      <w:tr w14:paraId="570F2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01" w:hRule="atLeast"/>
          <w:jc w:val="center"/>
        </w:trPr>
        <w:tc>
          <w:tcPr>
            <w:tcW w:w="277" w:type="pct"/>
            <w:noWrap/>
            <w:vAlign w:val="center"/>
          </w:tcPr>
          <w:p w14:paraId="7BBBAE90">
            <w:pPr>
              <w:adjustRightInd w:val="0"/>
              <w:snapToGrid w:val="0"/>
              <w:jc w:val="center"/>
              <w:rPr>
                <w:rFonts w:ascii="宋体" w:hAnsi="宋体" w:cs="宋体"/>
                <w:kern w:val="0"/>
                <w:sz w:val="24"/>
              </w:rPr>
            </w:pPr>
            <w:r>
              <w:rPr>
                <w:rFonts w:hint="eastAsia" w:ascii="宋体" w:hAnsi="宋体" w:cs="宋体"/>
                <w:kern w:val="0"/>
                <w:sz w:val="24"/>
              </w:rPr>
              <w:t>生态环境保护目标</w:t>
            </w:r>
          </w:p>
        </w:tc>
        <w:tc>
          <w:tcPr>
            <w:tcW w:w="4722" w:type="pct"/>
            <w:noWrap/>
          </w:tcPr>
          <w:p w14:paraId="06405985">
            <w:pPr>
              <w:autoSpaceDE w:val="0"/>
              <w:autoSpaceDN w:val="0"/>
              <w:spacing w:line="360" w:lineRule="auto"/>
              <w:rPr>
                <w:b/>
                <w:bCs/>
                <w:kern w:val="0"/>
                <w:sz w:val="24"/>
              </w:rPr>
            </w:pPr>
            <w:r>
              <w:rPr>
                <w:b/>
                <w:bCs/>
                <w:kern w:val="0"/>
                <w:sz w:val="24"/>
              </w:rPr>
              <w:t>3.4</w:t>
            </w:r>
            <w:r>
              <w:rPr>
                <w:rFonts w:hint="eastAsia"/>
                <w:b/>
                <w:bCs/>
                <w:kern w:val="0"/>
                <w:sz w:val="24"/>
              </w:rPr>
              <w:t xml:space="preserve"> </w:t>
            </w:r>
            <w:r>
              <w:rPr>
                <w:b/>
                <w:bCs/>
                <w:kern w:val="0"/>
                <w:sz w:val="24"/>
              </w:rPr>
              <w:t>生态环境保护目标</w:t>
            </w:r>
          </w:p>
          <w:p w14:paraId="131452F5">
            <w:pPr>
              <w:autoSpaceDE w:val="0"/>
              <w:autoSpaceDN w:val="0"/>
              <w:spacing w:line="360" w:lineRule="auto"/>
              <w:rPr>
                <w:b/>
                <w:bCs/>
                <w:kern w:val="0"/>
                <w:sz w:val="24"/>
              </w:rPr>
            </w:pPr>
            <w:r>
              <w:rPr>
                <w:rFonts w:hint="eastAsia"/>
                <w:b/>
                <w:bCs/>
                <w:kern w:val="0"/>
                <w:sz w:val="24"/>
              </w:rPr>
              <w:t>3.4.</w:t>
            </w:r>
            <w:r>
              <w:rPr>
                <w:b/>
                <w:bCs/>
                <w:kern w:val="0"/>
                <w:sz w:val="24"/>
              </w:rPr>
              <w:t>1</w:t>
            </w:r>
            <w:r>
              <w:rPr>
                <w:rFonts w:hint="eastAsia"/>
                <w:b/>
                <w:bCs/>
                <w:kern w:val="0"/>
                <w:sz w:val="24"/>
              </w:rPr>
              <w:t xml:space="preserve"> </w:t>
            </w:r>
            <w:r>
              <w:rPr>
                <w:b/>
                <w:bCs/>
                <w:kern w:val="0"/>
                <w:sz w:val="24"/>
              </w:rPr>
              <w:t>生态环境</w:t>
            </w:r>
            <w:r>
              <w:rPr>
                <w:rFonts w:hint="eastAsia"/>
                <w:b/>
                <w:bCs/>
                <w:kern w:val="0"/>
                <w:sz w:val="24"/>
              </w:rPr>
              <w:t>调查</w:t>
            </w:r>
            <w:r>
              <w:rPr>
                <w:b/>
                <w:bCs/>
                <w:kern w:val="0"/>
                <w:sz w:val="24"/>
              </w:rPr>
              <w:t>范围</w:t>
            </w:r>
          </w:p>
          <w:p w14:paraId="65203FD4">
            <w:pPr>
              <w:pStyle w:val="212"/>
              <w:ind w:firstLine="480"/>
              <w:rPr>
                <w:rFonts w:hint="eastAsia"/>
              </w:rPr>
            </w:pPr>
            <w:r>
              <w:rPr>
                <w:rFonts w:hint="eastAsia"/>
                <w:lang w:val="en-US"/>
              </w:rPr>
              <w:t>根据</w:t>
            </w:r>
            <w:r>
              <w:rPr>
                <w:rFonts w:hint="eastAsia"/>
              </w:rPr>
              <w:t>《建设项目环境影响报告表编制技术指南（生态影响类）（试行）》《建设项目环境影响报告表编制技术指南（</w:t>
            </w:r>
            <w:r>
              <w:rPr>
                <w:rFonts w:hint="eastAsia"/>
                <w:lang w:val="en-US"/>
              </w:rPr>
              <w:t>污染</w:t>
            </w:r>
            <w:r>
              <w:rPr>
                <w:rFonts w:hint="eastAsia"/>
              </w:rPr>
              <w:t>影响类）（试行）》《环境影响评价技术导则 输变电》（HJ</w:t>
            </w:r>
            <w:r>
              <w:rPr>
                <w:rFonts w:hint="eastAsia"/>
                <w:lang w:val="en-US"/>
              </w:rPr>
              <w:t xml:space="preserve"> </w:t>
            </w:r>
            <w:r>
              <w:rPr>
                <w:rFonts w:hint="eastAsia"/>
              </w:rPr>
              <w:t>24-2020），</w:t>
            </w:r>
            <w:r>
              <w:rPr>
                <w:rFonts w:hint="eastAsia"/>
                <w:lang w:val="en-US"/>
              </w:rPr>
              <w:t>本项目各环境要素</w:t>
            </w:r>
            <w:r>
              <w:rPr>
                <w:rFonts w:hint="eastAsia"/>
              </w:rPr>
              <w:t>评价范围见下表。</w:t>
            </w:r>
          </w:p>
          <w:p w14:paraId="1186D98A">
            <w:pPr>
              <w:pStyle w:val="219"/>
              <w:spacing w:before="0" w:beforeLines="0"/>
              <w:rPr>
                <w:sz w:val="24"/>
                <w:szCs w:val="24"/>
              </w:rPr>
            </w:pPr>
            <w:r>
              <w:rPr>
                <w:sz w:val="24"/>
                <w:szCs w:val="24"/>
              </w:rPr>
              <w:t>表3</w:t>
            </w:r>
            <w:r>
              <w:rPr>
                <w:rFonts w:hint="eastAsia"/>
                <w:sz w:val="24"/>
                <w:szCs w:val="24"/>
              </w:rPr>
              <w:t>.4.1-1  本</w:t>
            </w:r>
            <w:r>
              <w:rPr>
                <w:sz w:val="24"/>
                <w:szCs w:val="24"/>
              </w:rPr>
              <w:t>项目</w:t>
            </w:r>
            <w:r>
              <w:rPr>
                <w:rFonts w:hint="eastAsia"/>
                <w:sz w:val="24"/>
                <w:szCs w:val="24"/>
              </w:rPr>
              <w:t>调查范围</w:t>
            </w:r>
            <w:r>
              <w:rPr>
                <w:sz w:val="24"/>
                <w:szCs w:val="24"/>
              </w:rPr>
              <w:t>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8"/>
              <w:gridCol w:w="6239"/>
            </w:tblGrid>
            <w:tr w14:paraId="7352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82" w:type="dxa"/>
                </w:tcPr>
                <w:p w14:paraId="2EF8FCDA">
                  <w:pPr>
                    <w:pStyle w:val="83"/>
                    <w:adjustRightInd/>
                    <w:snapToGrid/>
                    <w:spacing w:beforeLines="0" w:afterLines="0" w:line="240" w:lineRule="auto"/>
                    <w:rPr>
                      <w:rFonts w:ascii="Times New Roman"/>
                      <w:b/>
                      <w:bCs/>
                    </w:rPr>
                  </w:pPr>
                  <w:r>
                    <w:rPr>
                      <w:rFonts w:hint="eastAsia" w:ascii="Times New Roman"/>
                      <w:b/>
                      <w:bCs/>
                    </w:rPr>
                    <w:t>环境要素</w:t>
                  </w:r>
                </w:p>
              </w:tc>
              <w:tc>
                <w:tcPr>
                  <w:tcW w:w="5628" w:type="dxa"/>
                </w:tcPr>
                <w:p w14:paraId="23C22F10">
                  <w:pPr>
                    <w:pStyle w:val="83"/>
                    <w:adjustRightInd/>
                    <w:snapToGrid/>
                    <w:spacing w:beforeLines="0" w:afterLines="0" w:line="240" w:lineRule="auto"/>
                    <w:rPr>
                      <w:rFonts w:ascii="Times New Roman"/>
                      <w:b/>
                      <w:bCs/>
                    </w:rPr>
                  </w:pPr>
                  <w:r>
                    <w:rPr>
                      <w:rFonts w:hint="eastAsia" w:ascii="Times New Roman"/>
                      <w:b/>
                      <w:bCs/>
                    </w:rPr>
                    <w:t>调查</w:t>
                  </w:r>
                  <w:r>
                    <w:rPr>
                      <w:rFonts w:ascii="Times New Roman"/>
                      <w:b/>
                      <w:bCs/>
                    </w:rPr>
                    <w:t>范围</w:t>
                  </w:r>
                </w:p>
              </w:tc>
            </w:tr>
            <w:tr w14:paraId="649C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82" w:type="dxa"/>
                  <w:vAlign w:val="center"/>
                </w:tcPr>
                <w:p w14:paraId="34A823D7">
                  <w:pPr>
                    <w:pStyle w:val="83"/>
                    <w:adjustRightInd/>
                    <w:snapToGrid/>
                    <w:spacing w:beforeLines="0" w:afterLines="0" w:line="240" w:lineRule="auto"/>
                    <w:rPr>
                      <w:rFonts w:ascii="Times New Roman"/>
                    </w:rPr>
                  </w:pPr>
                  <w:r>
                    <w:rPr>
                      <w:rFonts w:ascii="Times New Roman"/>
                    </w:rPr>
                    <w:t>生态环境</w:t>
                  </w:r>
                </w:p>
              </w:tc>
              <w:tc>
                <w:tcPr>
                  <w:tcW w:w="5628" w:type="dxa"/>
                  <w:vAlign w:val="center"/>
                </w:tcPr>
                <w:p w14:paraId="45F6C4F0">
                  <w:pPr>
                    <w:pStyle w:val="83"/>
                    <w:adjustRightInd/>
                    <w:snapToGrid/>
                    <w:spacing w:beforeLines="0" w:afterLines="0" w:line="240" w:lineRule="auto"/>
                    <w:rPr>
                      <w:rFonts w:ascii="Times New Roman"/>
                    </w:rPr>
                  </w:pPr>
                  <w:r>
                    <w:rPr>
                      <w:rFonts w:ascii="Times New Roman"/>
                    </w:rPr>
                    <w:t>项目光伏场区、集电线路用地范围外延300m区</w:t>
                  </w:r>
                  <w:r>
                    <w:rPr>
                      <w:rFonts w:ascii="Times New Roman"/>
                      <w:szCs w:val="21"/>
                    </w:rPr>
                    <w:t>域</w:t>
                  </w:r>
                  <w:r>
                    <w:rPr>
                      <w:rFonts w:ascii="Times New Roman"/>
                      <w:sz w:val="24"/>
                    </w:rPr>
                    <w:t>，</w:t>
                  </w:r>
                  <w:r>
                    <w:rPr>
                      <w:rFonts w:ascii="Times New Roman"/>
                    </w:rPr>
                    <w:t>以礼河三级电站厂界外</w:t>
                  </w:r>
                  <w:r>
                    <w:rPr>
                      <w:rFonts w:hint="eastAsia" w:ascii="Times New Roman"/>
                    </w:rPr>
                    <w:t>5</w:t>
                  </w:r>
                  <w:r>
                    <w:rPr>
                      <w:rFonts w:ascii="Times New Roman"/>
                    </w:rPr>
                    <w:t>00m。</w:t>
                  </w:r>
                </w:p>
              </w:tc>
            </w:tr>
            <w:tr w14:paraId="2A80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82" w:type="dxa"/>
                  <w:vAlign w:val="center"/>
                </w:tcPr>
                <w:p w14:paraId="1DA5DBA2">
                  <w:pPr>
                    <w:pStyle w:val="83"/>
                    <w:adjustRightInd/>
                    <w:snapToGrid/>
                    <w:spacing w:beforeLines="0" w:afterLines="0" w:line="240" w:lineRule="auto"/>
                    <w:rPr>
                      <w:rFonts w:ascii="Times New Roman"/>
                    </w:rPr>
                  </w:pPr>
                  <w:r>
                    <w:rPr>
                      <w:rFonts w:ascii="Times New Roman"/>
                    </w:rPr>
                    <w:t>大气环境</w:t>
                  </w:r>
                </w:p>
              </w:tc>
              <w:tc>
                <w:tcPr>
                  <w:tcW w:w="5628" w:type="dxa"/>
                  <w:vAlign w:val="center"/>
                </w:tcPr>
                <w:p w14:paraId="7FE00F11">
                  <w:pPr>
                    <w:pStyle w:val="83"/>
                    <w:adjustRightInd/>
                    <w:snapToGrid/>
                    <w:spacing w:beforeLines="0" w:afterLines="0" w:line="240" w:lineRule="auto"/>
                    <w:rPr>
                      <w:rFonts w:ascii="Times New Roman"/>
                    </w:rPr>
                  </w:pPr>
                  <w:r>
                    <w:rPr>
                      <w:rFonts w:ascii="Times New Roman"/>
                    </w:rPr>
                    <w:t>项目施工期主要为施工扬尘，运营期为食堂油烟，本次评价施工期扬尘对项目周边500m范围内居民点的影响。</w:t>
                  </w:r>
                </w:p>
              </w:tc>
            </w:tr>
            <w:tr w14:paraId="4BF1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82" w:type="dxa"/>
                  <w:vAlign w:val="center"/>
                </w:tcPr>
                <w:p w14:paraId="644DF3ED">
                  <w:pPr>
                    <w:pStyle w:val="83"/>
                    <w:adjustRightInd/>
                    <w:snapToGrid/>
                    <w:spacing w:beforeLines="0" w:afterLines="0" w:line="240" w:lineRule="auto"/>
                    <w:rPr>
                      <w:rFonts w:ascii="Times New Roman"/>
                    </w:rPr>
                  </w:pPr>
                  <w:r>
                    <w:rPr>
                      <w:rFonts w:ascii="Times New Roman"/>
                    </w:rPr>
                    <w:t>地表水环境</w:t>
                  </w:r>
                </w:p>
              </w:tc>
              <w:tc>
                <w:tcPr>
                  <w:tcW w:w="5628" w:type="dxa"/>
                  <w:vAlign w:val="center"/>
                </w:tcPr>
                <w:p w14:paraId="48E43D06">
                  <w:pPr>
                    <w:pStyle w:val="83"/>
                    <w:adjustRightInd/>
                    <w:snapToGrid/>
                    <w:spacing w:beforeLines="0" w:afterLines="0" w:line="240" w:lineRule="auto"/>
                    <w:rPr>
                      <w:rFonts w:ascii="Times New Roman"/>
                    </w:rPr>
                  </w:pPr>
                  <w:r>
                    <w:rPr>
                      <w:rFonts w:ascii="Times New Roman"/>
                    </w:rPr>
                    <w:t>对项目</w:t>
                  </w:r>
                  <w:r>
                    <w:rPr>
                      <w:rFonts w:hint="eastAsia" w:ascii="Times New Roman"/>
                    </w:rPr>
                    <w:t>邻近的</w:t>
                  </w:r>
                  <w:r>
                    <w:rPr>
                      <w:rFonts w:ascii="Times New Roman"/>
                    </w:rPr>
                    <w:t>小江、盐水沟地表水进行分析，对施工期污水、运营期污水进行分析。</w:t>
                  </w:r>
                </w:p>
              </w:tc>
            </w:tr>
            <w:tr w14:paraId="2BDA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82" w:type="dxa"/>
                  <w:vAlign w:val="center"/>
                </w:tcPr>
                <w:p w14:paraId="7CC62AF0">
                  <w:pPr>
                    <w:pStyle w:val="83"/>
                    <w:adjustRightInd/>
                    <w:snapToGrid/>
                    <w:spacing w:beforeLines="0" w:afterLines="0" w:line="240" w:lineRule="auto"/>
                    <w:rPr>
                      <w:rFonts w:ascii="Times New Roman"/>
                    </w:rPr>
                  </w:pPr>
                  <w:r>
                    <w:rPr>
                      <w:rFonts w:ascii="Times New Roman"/>
                    </w:rPr>
                    <w:t>声环境</w:t>
                  </w:r>
                </w:p>
              </w:tc>
              <w:tc>
                <w:tcPr>
                  <w:tcW w:w="5628" w:type="dxa"/>
                  <w:vAlign w:val="center"/>
                </w:tcPr>
                <w:p w14:paraId="17CFA2A3">
                  <w:pPr>
                    <w:pStyle w:val="83"/>
                    <w:adjustRightInd/>
                    <w:snapToGrid/>
                    <w:spacing w:beforeLines="0" w:afterLines="0" w:line="240" w:lineRule="auto"/>
                    <w:rPr>
                      <w:rFonts w:ascii="Times New Roman"/>
                    </w:rPr>
                  </w:pPr>
                  <w:r>
                    <w:rPr>
                      <w:rFonts w:ascii="Times New Roman"/>
                    </w:rPr>
                    <w:t>项目红线范围、</w:t>
                  </w:r>
                  <w:r>
                    <w:rPr>
                      <w:rFonts w:hint="eastAsia" w:ascii="Times New Roman"/>
                    </w:rPr>
                    <w:t>新建</w:t>
                  </w:r>
                  <w:r>
                    <w:rPr>
                      <w:rFonts w:ascii="Times New Roman"/>
                    </w:rPr>
                    <w:t>升压站用地范围外50m</w:t>
                  </w:r>
                </w:p>
              </w:tc>
            </w:tr>
            <w:tr w14:paraId="347B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82" w:type="dxa"/>
                  <w:vAlign w:val="center"/>
                </w:tcPr>
                <w:p w14:paraId="20ED37EE">
                  <w:pPr>
                    <w:pStyle w:val="83"/>
                    <w:adjustRightInd/>
                    <w:snapToGrid/>
                    <w:spacing w:beforeLines="0" w:afterLines="0" w:line="240" w:lineRule="auto"/>
                    <w:rPr>
                      <w:rFonts w:ascii="Times New Roman"/>
                    </w:rPr>
                  </w:pPr>
                  <w:r>
                    <w:rPr>
                      <w:rFonts w:ascii="Times New Roman"/>
                    </w:rPr>
                    <w:t>电磁环境</w:t>
                  </w:r>
                </w:p>
              </w:tc>
              <w:tc>
                <w:tcPr>
                  <w:tcW w:w="5628" w:type="dxa"/>
                  <w:vAlign w:val="center"/>
                </w:tcPr>
                <w:p w14:paraId="4710780E">
                  <w:pPr>
                    <w:pStyle w:val="83"/>
                    <w:adjustRightInd/>
                    <w:snapToGrid/>
                    <w:spacing w:beforeLines="0" w:afterLines="0" w:line="240" w:lineRule="auto"/>
                    <w:rPr>
                      <w:rFonts w:ascii="Times New Roman"/>
                    </w:rPr>
                  </w:pPr>
                  <w:r>
                    <w:rPr>
                      <w:rFonts w:ascii="Times New Roman"/>
                    </w:rPr>
                    <w:t>以礼河</w:t>
                  </w:r>
                  <w:r>
                    <w:rPr>
                      <w:rFonts w:hint="eastAsia" w:ascii="Times New Roman"/>
                    </w:rPr>
                    <w:t>电厂</w:t>
                  </w:r>
                  <w:r>
                    <w:rPr>
                      <w:rFonts w:ascii="Times New Roman"/>
                    </w:rPr>
                    <w:t>三级电站厂界外30m</w:t>
                  </w:r>
                </w:p>
              </w:tc>
            </w:tr>
          </w:tbl>
          <w:p w14:paraId="392B72A8">
            <w:pPr>
              <w:autoSpaceDE w:val="0"/>
              <w:autoSpaceDN w:val="0"/>
              <w:spacing w:before="120" w:beforeLines="50" w:line="360" w:lineRule="auto"/>
              <w:rPr>
                <w:rFonts w:hint="eastAsia"/>
                <w:b/>
                <w:bCs/>
                <w:kern w:val="0"/>
                <w:sz w:val="24"/>
              </w:rPr>
            </w:pPr>
            <w:r>
              <w:rPr>
                <w:rFonts w:hint="eastAsia"/>
                <w:b/>
                <w:bCs/>
                <w:kern w:val="0"/>
                <w:sz w:val="24"/>
              </w:rPr>
              <w:t>3.4.2 生态保护目标</w:t>
            </w:r>
          </w:p>
          <w:p w14:paraId="3F8F73FF">
            <w:pPr>
              <w:spacing w:line="360" w:lineRule="auto"/>
              <w:ind w:firstLine="480" w:firstLineChars="200"/>
              <w:rPr>
                <w:rFonts w:hint="eastAsia"/>
              </w:rPr>
            </w:pPr>
            <w:r>
              <w:rPr>
                <w:rFonts w:hint="eastAsia"/>
                <w:sz w:val="24"/>
                <w:szCs w:val="24"/>
              </w:rPr>
              <w:t>项目生态环境调查范围涵盖光伏场区、集电线路用地范围外延300m的区域。新建升压站位于以礼河三级电站厂界预留建设用地内，其调查范围为以礼河三级电站厂界外500m的区域。</w:t>
            </w:r>
          </w:p>
          <w:p w14:paraId="2FF99069">
            <w:pPr>
              <w:spacing w:line="360" w:lineRule="auto"/>
              <w:ind w:firstLine="480" w:firstLineChars="200"/>
              <w:rPr>
                <w:sz w:val="24"/>
              </w:rPr>
            </w:pPr>
            <w:r>
              <w:rPr>
                <w:sz w:val="24"/>
              </w:rPr>
              <w:t>经调查，本项目不涉及自然保护区、风景名胜区、饮用水水源保护区</w:t>
            </w:r>
            <w:r>
              <w:rPr>
                <w:rFonts w:hint="eastAsia"/>
                <w:sz w:val="24"/>
              </w:rPr>
              <w:t>、生态保护红线、</w:t>
            </w:r>
            <w:r>
              <w:rPr>
                <w:sz w:val="24"/>
              </w:rPr>
              <w:t>森林公园和珍稀物种集中分布区等</w:t>
            </w:r>
            <w:r>
              <w:rPr>
                <w:rFonts w:hint="eastAsia"/>
                <w:sz w:val="24"/>
              </w:rPr>
              <w:t>各类</w:t>
            </w:r>
            <w:r>
              <w:rPr>
                <w:sz w:val="24"/>
              </w:rPr>
              <w:t>环境敏感区。</w:t>
            </w:r>
            <w:r>
              <w:rPr>
                <w:rFonts w:hint="eastAsia"/>
                <w:sz w:val="24"/>
              </w:rPr>
              <w:t>集电线路无害化跨越“金沙江下游-小江流域水土流失控制生态保护红线”约877m。</w:t>
            </w:r>
          </w:p>
          <w:p w14:paraId="00A6F64E">
            <w:pPr>
              <w:pStyle w:val="219"/>
              <w:spacing w:before="0" w:beforeLines="0"/>
              <w:rPr>
                <w:sz w:val="24"/>
                <w:szCs w:val="24"/>
              </w:rPr>
            </w:pPr>
            <w:r>
              <w:rPr>
                <w:sz w:val="24"/>
                <w:szCs w:val="24"/>
              </w:rPr>
              <w:t>表3</w:t>
            </w:r>
            <w:r>
              <w:rPr>
                <w:rFonts w:hint="eastAsia"/>
                <w:sz w:val="24"/>
                <w:szCs w:val="24"/>
              </w:rPr>
              <w:t>.4.2-1</w:t>
            </w:r>
            <w:r>
              <w:rPr>
                <w:sz w:val="24"/>
                <w:szCs w:val="24"/>
              </w:rPr>
              <w:t xml:space="preserve">  本项目环境保护目标一览表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15"/>
              <w:gridCol w:w="2835"/>
              <w:gridCol w:w="2440"/>
              <w:gridCol w:w="957"/>
            </w:tblGrid>
            <w:tr w14:paraId="273D69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54" w:type="pct"/>
                  <w:vAlign w:val="center"/>
                </w:tcPr>
                <w:p w14:paraId="56462671">
                  <w:pPr>
                    <w:pStyle w:val="229"/>
                    <w:jc w:val="center"/>
                    <w:rPr>
                      <w:rStyle w:val="230"/>
                    </w:rPr>
                  </w:pPr>
                  <w:r>
                    <w:rPr>
                      <w:rStyle w:val="230"/>
                    </w:rPr>
                    <w:t>保护对象</w:t>
                  </w:r>
                </w:p>
              </w:tc>
              <w:tc>
                <w:tcPr>
                  <w:tcW w:w="1658" w:type="pct"/>
                  <w:vAlign w:val="center"/>
                </w:tcPr>
                <w:p w14:paraId="0E66D177">
                  <w:pPr>
                    <w:pStyle w:val="229"/>
                    <w:jc w:val="center"/>
                    <w:rPr>
                      <w:rStyle w:val="230"/>
                    </w:rPr>
                  </w:pPr>
                  <w:r>
                    <w:rPr>
                      <w:rStyle w:val="230"/>
                    </w:rPr>
                    <w:t>与项目的位置关系</w:t>
                  </w:r>
                </w:p>
              </w:tc>
              <w:tc>
                <w:tcPr>
                  <w:tcW w:w="1427" w:type="pct"/>
                  <w:vAlign w:val="center"/>
                </w:tcPr>
                <w:p w14:paraId="5A6F6205">
                  <w:pPr>
                    <w:pStyle w:val="229"/>
                    <w:jc w:val="center"/>
                    <w:rPr>
                      <w:rStyle w:val="230"/>
                    </w:rPr>
                  </w:pPr>
                  <w:r>
                    <w:rPr>
                      <w:rStyle w:val="230"/>
                    </w:rPr>
                    <w:t>保护要求</w:t>
                  </w:r>
                </w:p>
              </w:tc>
              <w:tc>
                <w:tcPr>
                  <w:tcW w:w="560" w:type="pct"/>
                  <w:vAlign w:val="center"/>
                </w:tcPr>
                <w:p w14:paraId="75A4AF75">
                  <w:pPr>
                    <w:pStyle w:val="229"/>
                    <w:jc w:val="center"/>
                    <w:rPr>
                      <w:rStyle w:val="230"/>
                    </w:rPr>
                  </w:pPr>
                  <w:r>
                    <w:rPr>
                      <w:rStyle w:val="230"/>
                    </w:rPr>
                    <w:t>影响途径</w:t>
                  </w:r>
                </w:p>
              </w:tc>
            </w:tr>
            <w:tr w14:paraId="39A27D4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354" w:type="pct"/>
                  <w:vAlign w:val="center"/>
                </w:tcPr>
                <w:p w14:paraId="383D7A5F">
                  <w:r>
                    <w:t>暖温性针叶林、</w:t>
                  </w:r>
                  <w:r>
                    <w:rPr>
                      <w:rFonts w:hint="eastAsia"/>
                    </w:rPr>
                    <w:t>暖性石灰岩灌丛</w:t>
                  </w:r>
                  <w:r>
                    <w:t>、</w:t>
                  </w:r>
                  <w:r>
                    <w:rPr>
                      <w:rFonts w:hint="eastAsia"/>
                    </w:rPr>
                    <w:t>暖温性稀树灌木草丛</w:t>
                  </w:r>
                </w:p>
              </w:tc>
              <w:tc>
                <w:tcPr>
                  <w:tcW w:w="1658" w:type="pct"/>
                  <w:vAlign w:val="center"/>
                </w:tcPr>
                <w:p w14:paraId="1426AC63">
                  <w:pPr>
                    <w:pStyle w:val="231"/>
                    <w:spacing w:before="0" w:after="0"/>
                    <w:rPr>
                      <w:rFonts w:cs="Times New Roman"/>
                      <w:szCs w:val="21"/>
                      <w:highlight w:val="yellow"/>
                    </w:rPr>
                  </w:pPr>
                  <w:r>
                    <w:rPr>
                      <w:rFonts w:hint="eastAsia" w:cs="Times New Roman"/>
                      <w:szCs w:val="21"/>
                    </w:rPr>
                    <w:t>调查</w:t>
                  </w:r>
                  <w:r>
                    <w:rPr>
                      <w:rFonts w:cs="Times New Roman"/>
                      <w:szCs w:val="21"/>
                    </w:rPr>
                    <w:t>区</w:t>
                  </w:r>
                  <w:r>
                    <w:rPr>
                      <w:rFonts w:hint="eastAsia" w:cs="Times New Roman"/>
                      <w:szCs w:val="21"/>
                    </w:rPr>
                    <w:t>内</w:t>
                  </w:r>
                  <w:r>
                    <w:rPr>
                      <w:rFonts w:cs="Times New Roman"/>
                      <w:szCs w:val="21"/>
                    </w:rPr>
                    <w:t>分布，</w:t>
                  </w:r>
                  <w:r>
                    <w:rPr>
                      <w:rFonts w:hint="eastAsia" w:cs="Times New Roman"/>
                      <w:szCs w:val="21"/>
                    </w:rPr>
                    <w:t>项目占用少量暖温性稀树灌木草丛</w:t>
                  </w:r>
                </w:p>
              </w:tc>
              <w:tc>
                <w:tcPr>
                  <w:tcW w:w="1427" w:type="pct"/>
                  <w:vMerge w:val="restart"/>
                  <w:vAlign w:val="center"/>
                </w:tcPr>
                <w:p w14:paraId="101CFE03">
                  <w:pPr>
                    <w:pStyle w:val="95"/>
                    <w:spacing w:before="0" w:after="0"/>
                    <w:jc w:val="both"/>
                    <w:rPr>
                      <w:szCs w:val="21"/>
                    </w:rPr>
                  </w:pPr>
                  <w:r>
                    <w:rPr>
                      <w:szCs w:val="21"/>
                    </w:rPr>
                    <w:t>不因项目建设导致某种植被类型严重受损或某种野生动植物灭绝，不因项目建设造成某种动植物种群或栖息生境发生剧烈变化，不降低区域生态环境功能。</w:t>
                  </w:r>
                  <w:r>
                    <w:rPr>
                      <w:rFonts w:hint="eastAsia"/>
                      <w:szCs w:val="21"/>
                    </w:rPr>
                    <w:t>不得影响优先保护区和生态保护红线区的环境质量。</w:t>
                  </w:r>
                </w:p>
              </w:tc>
              <w:tc>
                <w:tcPr>
                  <w:tcW w:w="560" w:type="pct"/>
                  <w:vAlign w:val="center"/>
                </w:tcPr>
                <w:p w14:paraId="07CFC7EA">
                  <w:pPr>
                    <w:pStyle w:val="95"/>
                    <w:spacing w:before="0" w:after="0"/>
                    <w:rPr>
                      <w:szCs w:val="21"/>
                    </w:rPr>
                  </w:pPr>
                  <w:r>
                    <w:rPr>
                      <w:szCs w:val="21"/>
                    </w:rPr>
                    <w:t>永久占地和临时占地</w:t>
                  </w:r>
                </w:p>
              </w:tc>
            </w:tr>
            <w:tr w14:paraId="57978B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354" w:type="pct"/>
                  <w:vAlign w:val="center"/>
                </w:tcPr>
                <w:p w14:paraId="1C20B1B5">
                  <w:pPr>
                    <w:pStyle w:val="231"/>
                    <w:spacing w:before="0" w:after="0"/>
                    <w:rPr>
                      <w:rFonts w:cs="Times New Roman"/>
                      <w:szCs w:val="21"/>
                    </w:rPr>
                  </w:pPr>
                  <w:r>
                    <w:rPr>
                      <w:rFonts w:cs="Times New Roman"/>
                      <w:szCs w:val="21"/>
                    </w:rPr>
                    <w:t>国家</w:t>
                  </w:r>
                  <w:r>
                    <w:rPr>
                      <w:rFonts w:hint="eastAsia" w:cs="Times New Roman"/>
                      <w:szCs w:val="21"/>
                    </w:rPr>
                    <w:t>二</w:t>
                  </w:r>
                  <w:r>
                    <w:rPr>
                      <w:rFonts w:cs="Times New Roman"/>
                      <w:szCs w:val="21"/>
                    </w:rPr>
                    <w:t>级重点保护野生动物</w:t>
                  </w:r>
                  <w:r>
                    <w:rPr>
                      <w:rFonts w:hint="eastAsia" w:cs="Times New Roman"/>
                      <w:szCs w:val="21"/>
                    </w:rPr>
                    <w:t>3种，分别为</w:t>
                  </w:r>
                  <w:r>
                    <w:rPr>
                      <w:rFonts w:cs="Times New Roman"/>
                      <w:szCs w:val="21"/>
                    </w:rPr>
                    <w:t>松雀鹰、普通鵟、红隼</w:t>
                  </w:r>
                  <w:r>
                    <w:rPr>
                      <w:rFonts w:hint="eastAsia" w:cs="Times New Roman"/>
                      <w:szCs w:val="21"/>
                    </w:rPr>
                    <w:t>。</w:t>
                  </w:r>
                </w:p>
              </w:tc>
              <w:tc>
                <w:tcPr>
                  <w:tcW w:w="1658" w:type="pct"/>
                  <w:vAlign w:val="center"/>
                </w:tcPr>
                <w:p w14:paraId="2CB2E581">
                  <w:pPr>
                    <w:pStyle w:val="95"/>
                    <w:spacing w:before="0" w:after="0"/>
                    <w:jc w:val="both"/>
                    <w:rPr>
                      <w:rFonts w:hint="eastAsia"/>
                      <w:szCs w:val="21"/>
                      <w:highlight w:val="yellow"/>
                    </w:rPr>
                  </w:pPr>
                  <w:r>
                    <w:rPr>
                      <w:szCs w:val="21"/>
                    </w:rPr>
                    <w:t>项目</w:t>
                  </w:r>
                  <w:r>
                    <w:rPr>
                      <w:rFonts w:hint="eastAsia"/>
                      <w:szCs w:val="21"/>
                    </w:rPr>
                    <w:t>调查</w:t>
                  </w:r>
                  <w:r>
                    <w:rPr>
                      <w:szCs w:val="21"/>
                    </w:rPr>
                    <w:t>区内</w:t>
                  </w:r>
                  <w:r>
                    <w:rPr>
                      <w:rFonts w:hint="eastAsia"/>
                      <w:szCs w:val="21"/>
                    </w:rPr>
                    <w:t>。</w:t>
                  </w:r>
                </w:p>
              </w:tc>
              <w:tc>
                <w:tcPr>
                  <w:tcW w:w="1427" w:type="pct"/>
                  <w:vMerge w:val="continue"/>
                  <w:vAlign w:val="center"/>
                </w:tcPr>
                <w:p w14:paraId="53961843">
                  <w:pPr>
                    <w:pStyle w:val="95"/>
                    <w:spacing w:before="0" w:after="0"/>
                    <w:rPr>
                      <w:szCs w:val="21"/>
                    </w:rPr>
                  </w:pPr>
                </w:p>
              </w:tc>
              <w:tc>
                <w:tcPr>
                  <w:tcW w:w="560" w:type="pct"/>
                  <w:vAlign w:val="center"/>
                </w:tcPr>
                <w:p w14:paraId="734286CC">
                  <w:pPr>
                    <w:pStyle w:val="95"/>
                    <w:spacing w:before="0" w:after="0"/>
                    <w:rPr>
                      <w:rFonts w:hint="eastAsia"/>
                      <w:szCs w:val="21"/>
                    </w:rPr>
                  </w:pPr>
                  <w:r>
                    <w:rPr>
                      <w:szCs w:val="21"/>
                    </w:rPr>
                    <w:t>施工干扰</w:t>
                  </w:r>
                </w:p>
              </w:tc>
            </w:tr>
            <w:tr w14:paraId="58EDEA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354" w:type="pct"/>
                  <w:vAlign w:val="center"/>
                </w:tcPr>
                <w:p w14:paraId="4093AC4D">
                  <w:pPr>
                    <w:pStyle w:val="231"/>
                    <w:spacing w:before="0" w:after="0"/>
                    <w:rPr>
                      <w:rFonts w:cs="Times New Roman"/>
                      <w:szCs w:val="21"/>
                    </w:rPr>
                  </w:pPr>
                  <w:r>
                    <w:rPr>
                      <w:rStyle w:val="230"/>
                      <w:rFonts w:hint="eastAsia"/>
                    </w:rPr>
                    <w:t>生物多样性优先保护区</w:t>
                  </w:r>
                </w:p>
              </w:tc>
              <w:tc>
                <w:tcPr>
                  <w:tcW w:w="1658" w:type="pct"/>
                  <w:vAlign w:val="center"/>
                </w:tcPr>
                <w:p w14:paraId="1FB25589">
                  <w:pPr>
                    <w:pStyle w:val="95"/>
                    <w:spacing w:before="0" w:after="0"/>
                    <w:jc w:val="both"/>
                    <w:rPr>
                      <w:szCs w:val="21"/>
                    </w:rPr>
                  </w:pPr>
                  <w:r>
                    <w:rPr>
                      <w:rFonts w:hint="eastAsia"/>
                      <w:szCs w:val="21"/>
                    </w:rPr>
                    <w:t>部分光伏阵列区、集电线路、道路涉及</w:t>
                  </w:r>
                </w:p>
              </w:tc>
              <w:tc>
                <w:tcPr>
                  <w:tcW w:w="1427" w:type="pct"/>
                  <w:vMerge w:val="continue"/>
                  <w:vAlign w:val="center"/>
                </w:tcPr>
                <w:p w14:paraId="4EFA8EDD">
                  <w:pPr>
                    <w:pStyle w:val="95"/>
                    <w:spacing w:before="0" w:after="0"/>
                    <w:rPr>
                      <w:szCs w:val="21"/>
                    </w:rPr>
                  </w:pPr>
                </w:p>
              </w:tc>
              <w:tc>
                <w:tcPr>
                  <w:tcW w:w="560" w:type="pct"/>
                  <w:vAlign w:val="center"/>
                </w:tcPr>
                <w:p w14:paraId="5E913B5B">
                  <w:pPr>
                    <w:pStyle w:val="95"/>
                    <w:spacing w:before="0" w:after="0"/>
                    <w:rPr>
                      <w:szCs w:val="21"/>
                    </w:rPr>
                  </w:pPr>
                  <w:r>
                    <w:rPr>
                      <w:szCs w:val="21"/>
                    </w:rPr>
                    <w:t>施工干扰</w:t>
                  </w:r>
                </w:p>
              </w:tc>
            </w:tr>
            <w:tr w14:paraId="64B2B4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1354" w:type="pct"/>
                  <w:vAlign w:val="center"/>
                </w:tcPr>
                <w:p w14:paraId="4D020801">
                  <w:pPr>
                    <w:pStyle w:val="231"/>
                    <w:spacing w:before="0" w:after="0"/>
                    <w:rPr>
                      <w:rFonts w:cs="Times New Roman"/>
                      <w:szCs w:val="21"/>
                    </w:rPr>
                  </w:pPr>
                  <w:r>
                    <w:rPr>
                      <w:rStyle w:val="230"/>
                      <w:rFonts w:hint="eastAsia"/>
                    </w:rPr>
                    <w:t>生态保护红线</w:t>
                  </w:r>
                </w:p>
              </w:tc>
              <w:tc>
                <w:tcPr>
                  <w:tcW w:w="1658" w:type="pct"/>
                  <w:vAlign w:val="center"/>
                </w:tcPr>
                <w:p w14:paraId="14DE7D1D">
                  <w:pPr>
                    <w:pStyle w:val="95"/>
                    <w:spacing w:before="0" w:after="0"/>
                    <w:jc w:val="both"/>
                    <w:rPr>
                      <w:szCs w:val="21"/>
                    </w:rPr>
                  </w:pPr>
                  <w:r>
                    <w:rPr>
                      <w:rFonts w:hint="eastAsia"/>
                      <w:szCs w:val="21"/>
                    </w:rPr>
                    <w:t>集电线路跨越</w:t>
                  </w:r>
                </w:p>
              </w:tc>
              <w:tc>
                <w:tcPr>
                  <w:tcW w:w="1427" w:type="pct"/>
                  <w:vMerge w:val="continue"/>
                  <w:vAlign w:val="center"/>
                </w:tcPr>
                <w:p w14:paraId="1CCC2B2A">
                  <w:pPr>
                    <w:pStyle w:val="95"/>
                    <w:spacing w:before="0" w:after="0"/>
                    <w:rPr>
                      <w:szCs w:val="21"/>
                    </w:rPr>
                  </w:pPr>
                </w:p>
              </w:tc>
              <w:tc>
                <w:tcPr>
                  <w:tcW w:w="560" w:type="pct"/>
                  <w:vAlign w:val="center"/>
                </w:tcPr>
                <w:p w14:paraId="5A80A099">
                  <w:pPr>
                    <w:pStyle w:val="95"/>
                    <w:spacing w:before="0" w:after="0"/>
                    <w:rPr>
                      <w:szCs w:val="21"/>
                    </w:rPr>
                  </w:pPr>
                  <w:r>
                    <w:rPr>
                      <w:szCs w:val="21"/>
                    </w:rPr>
                    <w:t>施工干扰</w:t>
                  </w:r>
                </w:p>
              </w:tc>
            </w:tr>
          </w:tbl>
          <w:p w14:paraId="3FD9E1EA">
            <w:pPr>
              <w:autoSpaceDE w:val="0"/>
              <w:autoSpaceDN w:val="0"/>
              <w:spacing w:line="360" w:lineRule="auto"/>
              <w:rPr>
                <w:rFonts w:hint="eastAsia"/>
                <w:b/>
                <w:bCs/>
                <w:kern w:val="0"/>
                <w:sz w:val="24"/>
              </w:rPr>
            </w:pPr>
            <w:r>
              <w:rPr>
                <w:rFonts w:hint="eastAsia"/>
                <w:b/>
                <w:bCs/>
                <w:kern w:val="0"/>
                <w:sz w:val="24"/>
              </w:rPr>
              <w:t>3.4.3 大气环境保护目标</w:t>
            </w:r>
          </w:p>
          <w:p w14:paraId="621DF28D">
            <w:pPr>
              <w:spacing w:line="360" w:lineRule="auto"/>
              <w:ind w:firstLine="480" w:firstLineChars="200"/>
              <w:rPr>
                <w:sz w:val="24"/>
              </w:rPr>
            </w:pPr>
            <w:r>
              <w:rPr>
                <w:sz w:val="24"/>
              </w:rPr>
              <w:t>经现场调查，</w:t>
            </w:r>
            <w:r>
              <w:rPr>
                <w:rFonts w:hint="eastAsia"/>
                <w:sz w:val="24"/>
              </w:rPr>
              <w:t>本项目</w:t>
            </w:r>
            <w:r>
              <w:rPr>
                <w:sz w:val="24"/>
              </w:rPr>
              <w:t>用地范围及红线外500m范围大气环境敏感目标</w:t>
            </w:r>
            <w:r>
              <w:rPr>
                <w:rFonts w:hint="eastAsia"/>
                <w:sz w:val="24"/>
              </w:rPr>
              <w:t>，见下表</w:t>
            </w:r>
            <w:r>
              <w:rPr>
                <w:sz w:val="24"/>
              </w:rPr>
              <w:t>。</w:t>
            </w:r>
          </w:p>
          <w:p w14:paraId="4B18AD4B">
            <w:pPr>
              <w:pStyle w:val="219"/>
              <w:spacing w:before="0" w:beforeLines="0"/>
              <w:rPr>
                <w:sz w:val="24"/>
                <w:szCs w:val="24"/>
              </w:rPr>
            </w:pPr>
            <w:r>
              <w:rPr>
                <w:sz w:val="24"/>
                <w:szCs w:val="24"/>
              </w:rPr>
              <w:t>表3</w:t>
            </w:r>
            <w:r>
              <w:rPr>
                <w:rFonts w:hint="eastAsia"/>
                <w:sz w:val="24"/>
                <w:szCs w:val="24"/>
              </w:rPr>
              <w:t>.4.3</w:t>
            </w:r>
            <w:r>
              <w:rPr>
                <w:sz w:val="24"/>
                <w:szCs w:val="24"/>
              </w:rPr>
              <w:t>-</w:t>
            </w:r>
            <w:r>
              <w:rPr>
                <w:rFonts w:hint="eastAsia"/>
                <w:sz w:val="24"/>
                <w:szCs w:val="24"/>
              </w:rPr>
              <w:t>1  本</w:t>
            </w:r>
            <w:r>
              <w:rPr>
                <w:sz w:val="24"/>
                <w:szCs w:val="24"/>
              </w:rPr>
              <w:t>项目大气环境保护目标一览表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84"/>
              <w:gridCol w:w="895"/>
              <w:gridCol w:w="1535"/>
              <w:gridCol w:w="1060"/>
              <w:gridCol w:w="1134"/>
              <w:gridCol w:w="803"/>
              <w:gridCol w:w="931"/>
              <w:gridCol w:w="930"/>
              <w:gridCol w:w="875"/>
            </w:tblGrid>
            <w:tr w14:paraId="7155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Merge w:val="restart"/>
                  <w:vAlign w:val="center"/>
                </w:tcPr>
                <w:p w14:paraId="661179AD">
                  <w:pPr>
                    <w:pStyle w:val="95"/>
                    <w:spacing w:before="0" w:after="0"/>
                    <w:rPr>
                      <w:b/>
                      <w:bCs/>
                    </w:rPr>
                  </w:pPr>
                  <w:r>
                    <w:rPr>
                      <w:b/>
                      <w:bCs/>
                    </w:rPr>
                    <w:t>序号</w:t>
                  </w:r>
                </w:p>
              </w:tc>
              <w:tc>
                <w:tcPr>
                  <w:tcW w:w="524" w:type="pct"/>
                  <w:vMerge w:val="restart"/>
                  <w:vAlign w:val="center"/>
                </w:tcPr>
                <w:p w14:paraId="12C49C0A">
                  <w:pPr>
                    <w:pStyle w:val="95"/>
                    <w:spacing w:before="0" w:after="0"/>
                    <w:rPr>
                      <w:rFonts w:hint="eastAsia"/>
                      <w:b/>
                      <w:bCs/>
                    </w:rPr>
                  </w:pPr>
                  <w:r>
                    <w:rPr>
                      <w:b/>
                      <w:bCs/>
                    </w:rPr>
                    <w:t>保护目标</w:t>
                  </w:r>
                  <w:r>
                    <w:rPr>
                      <w:rFonts w:hint="eastAsia"/>
                      <w:b/>
                      <w:bCs/>
                    </w:rPr>
                    <w:t>名称</w:t>
                  </w:r>
                </w:p>
              </w:tc>
              <w:tc>
                <w:tcPr>
                  <w:tcW w:w="898" w:type="pct"/>
                  <w:vMerge w:val="restart"/>
                  <w:vAlign w:val="center"/>
                </w:tcPr>
                <w:p w14:paraId="44A44834">
                  <w:pPr>
                    <w:pStyle w:val="95"/>
                    <w:spacing w:before="0" w:after="0"/>
                    <w:rPr>
                      <w:b/>
                      <w:bCs/>
                    </w:rPr>
                  </w:pPr>
                  <w:r>
                    <w:rPr>
                      <w:rFonts w:hint="eastAsia"/>
                      <w:b/>
                      <w:bCs/>
                    </w:rPr>
                    <w:t>坐标</w:t>
                  </w:r>
                </w:p>
              </w:tc>
              <w:tc>
                <w:tcPr>
                  <w:tcW w:w="2298" w:type="pct"/>
                  <w:gridSpan w:val="4"/>
                  <w:vAlign w:val="center"/>
                </w:tcPr>
                <w:p w14:paraId="1FB69455">
                  <w:pPr>
                    <w:pStyle w:val="95"/>
                    <w:spacing w:before="0" w:after="0"/>
                    <w:rPr>
                      <w:rFonts w:hint="eastAsia"/>
                      <w:b/>
                      <w:bCs/>
                    </w:rPr>
                  </w:pPr>
                  <w:r>
                    <w:rPr>
                      <w:b/>
                      <w:bCs/>
                    </w:rPr>
                    <w:t>位置关系</w:t>
                  </w:r>
                </w:p>
              </w:tc>
              <w:tc>
                <w:tcPr>
                  <w:tcW w:w="544" w:type="pct"/>
                  <w:vMerge w:val="restart"/>
                  <w:vAlign w:val="center"/>
                </w:tcPr>
                <w:p w14:paraId="294D88AE">
                  <w:pPr>
                    <w:pStyle w:val="95"/>
                    <w:spacing w:before="0" w:after="0"/>
                    <w:rPr>
                      <w:b/>
                      <w:bCs/>
                    </w:rPr>
                  </w:pPr>
                  <w:r>
                    <w:rPr>
                      <w:rFonts w:hint="eastAsia"/>
                      <w:b/>
                      <w:bCs/>
                    </w:rPr>
                    <w:t>居民点</w:t>
                  </w:r>
                  <w:r>
                    <w:rPr>
                      <w:b/>
                      <w:bCs/>
                    </w:rPr>
                    <w:t>规模</w:t>
                  </w:r>
                </w:p>
              </w:tc>
              <w:tc>
                <w:tcPr>
                  <w:tcW w:w="512" w:type="pct"/>
                  <w:vMerge w:val="restart"/>
                  <w:vAlign w:val="center"/>
                </w:tcPr>
                <w:p w14:paraId="4820F93F">
                  <w:pPr>
                    <w:pStyle w:val="95"/>
                    <w:spacing w:before="0" w:after="0"/>
                    <w:rPr>
                      <w:b/>
                      <w:bCs/>
                    </w:rPr>
                  </w:pPr>
                  <w:r>
                    <w:rPr>
                      <w:b/>
                      <w:bCs/>
                    </w:rPr>
                    <w:t>保护</w:t>
                  </w:r>
                  <w:r>
                    <w:rPr>
                      <w:rFonts w:hint="eastAsia"/>
                      <w:b/>
                      <w:bCs/>
                    </w:rPr>
                    <w:t>级别、标准</w:t>
                  </w:r>
                </w:p>
              </w:tc>
            </w:tr>
            <w:tr w14:paraId="4272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Merge w:val="continue"/>
                  <w:vAlign w:val="center"/>
                </w:tcPr>
                <w:p w14:paraId="7311257B">
                  <w:pPr>
                    <w:pStyle w:val="95"/>
                    <w:spacing w:before="0" w:after="0"/>
                    <w:rPr>
                      <w:b/>
                      <w:bCs/>
                    </w:rPr>
                  </w:pPr>
                </w:p>
              </w:tc>
              <w:tc>
                <w:tcPr>
                  <w:tcW w:w="524" w:type="pct"/>
                  <w:vMerge w:val="continue"/>
                  <w:vAlign w:val="center"/>
                </w:tcPr>
                <w:p w14:paraId="4445A03B">
                  <w:pPr>
                    <w:pStyle w:val="95"/>
                    <w:spacing w:before="0" w:after="0"/>
                    <w:rPr>
                      <w:b/>
                      <w:bCs/>
                    </w:rPr>
                  </w:pPr>
                </w:p>
              </w:tc>
              <w:tc>
                <w:tcPr>
                  <w:tcW w:w="898" w:type="pct"/>
                  <w:vMerge w:val="continue"/>
                  <w:vAlign w:val="center"/>
                </w:tcPr>
                <w:p w14:paraId="2EC89B72">
                  <w:pPr>
                    <w:pStyle w:val="95"/>
                    <w:spacing w:before="0" w:after="0"/>
                    <w:rPr>
                      <w:rFonts w:hint="eastAsia"/>
                      <w:b/>
                      <w:bCs/>
                    </w:rPr>
                  </w:pPr>
                </w:p>
              </w:tc>
              <w:tc>
                <w:tcPr>
                  <w:tcW w:w="620" w:type="pct"/>
                  <w:vAlign w:val="center"/>
                </w:tcPr>
                <w:p w14:paraId="4B03EE9C">
                  <w:pPr>
                    <w:pStyle w:val="95"/>
                    <w:spacing w:before="0" w:after="0"/>
                    <w:rPr>
                      <w:b/>
                      <w:bCs/>
                    </w:rPr>
                  </w:pPr>
                  <w:r>
                    <w:rPr>
                      <w:rFonts w:hint="eastAsia"/>
                      <w:b/>
                      <w:bCs/>
                    </w:rPr>
                    <w:t>线路</w:t>
                  </w:r>
                </w:p>
              </w:tc>
              <w:tc>
                <w:tcPr>
                  <w:tcW w:w="663" w:type="pct"/>
                  <w:vAlign w:val="center"/>
                </w:tcPr>
                <w:p w14:paraId="614E8F88">
                  <w:pPr>
                    <w:pStyle w:val="95"/>
                    <w:spacing w:before="0" w:after="0"/>
                    <w:rPr>
                      <w:b/>
                      <w:bCs/>
                    </w:rPr>
                  </w:pPr>
                  <w:r>
                    <w:rPr>
                      <w:rFonts w:hint="eastAsia"/>
                      <w:b/>
                      <w:bCs/>
                    </w:rPr>
                    <w:t>阵列</w:t>
                  </w:r>
                </w:p>
              </w:tc>
              <w:tc>
                <w:tcPr>
                  <w:tcW w:w="470" w:type="pct"/>
                  <w:vAlign w:val="center"/>
                </w:tcPr>
                <w:p w14:paraId="271EC349">
                  <w:pPr>
                    <w:pStyle w:val="95"/>
                    <w:spacing w:before="0" w:after="0"/>
                    <w:rPr>
                      <w:b/>
                      <w:bCs/>
                    </w:rPr>
                  </w:pPr>
                  <w:r>
                    <w:rPr>
                      <w:rFonts w:hint="eastAsia"/>
                      <w:b/>
                      <w:bCs/>
                    </w:rPr>
                    <w:t>升压站</w:t>
                  </w:r>
                </w:p>
              </w:tc>
              <w:tc>
                <w:tcPr>
                  <w:tcW w:w="545" w:type="pct"/>
                  <w:vAlign w:val="center"/>
                </w:tcPr>
                <w:p w14:paraId="5A114A0B">
                  <w:pPr>
                    <w:pStyle w:val="95"/>
                    <w:spacing w:before="0" w:after="0"/>
                    <w:rPr>
                      <w:b/>
                      <w:bCs/>
                    </w:rPr>
                  </w:pPr>
                  <w:r>
                    <w:rPr>
                      <w:rFonts w:hint="eastAsia"/>
                      <w:b/>
                      <w:bCs/>
                    </w:rPr>
                    <w:t>箱变</w:t>
                  </w:r>
                </w:p>
              </w:tc>
              <w:tc>
                <w:tcPr>
                  <w:tcW w:w="544" w:type="pct"/>
                  <w:vMerge w:val="continue"/>
                  <w:vAlign w:val="center"/>
                </w:tcPr>
                <w:p w14:paraId="77B54D38">
                  <w:pPr>
                    <w:pStyle w:val="95"/>
                    <w:spacing w:before="0" w:after="0"/>
                    <w:rPr>
                      <w:b/>
                      <w:bCs/>
                    </w:rPr>
                  </w:pPr>
                </w:p>
              </w:tc>
              <w:tc>
                <w:tcPr>
                  <w:tcW w:w="512" w:type="pct"/>
                  <w:vMerge w:val="continue"/>
                  <w:vAlign w:val="center"/>
                </w:tcPr>
                <w:p w14:paraId="3F9288D9">
                  <w:pPr>
                    <w:pStyle w:val="95"/>
                    <w:spacing w:before="0" w:after="0"/>
                    <w:rPr>
                      <w:b/>
                      <w:bCs/>
                    </w:rPr>
                  </w:pPr>
                </w:p>
              </w:tc>
            </w:tr>
            <w:tr w14:paraId="40608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20F368C1">
                  <w:pPr>
                    <w:pStyle w:val="95"/>
                    <w:numPr>
                      <w:ilvl w:val="0"/>
                      <w:numId w:val="10"/>
                    </w:numPr>
                    <w:spacing w:before="0" w:after="0"/>
                    <w:rPr>
                      <w:rFonts w:hint="eastAsia"/>
                    </w:rPr>
                  </w:pPr>
                </w:p>
              </w:tc>
              <w:tc>
                <w:tcPr>
                  <w:tcW w:w="524" w:type="pct"/>
                  <w:vAlign w:val="center"/>
                </w:tcPr>
                <w:p w14:paraId="5EA650C0">
                  <w:pPr>
                    <w:pStyle w:val="95"/>
                    <w:spacing w:before="0" w:after="0"/>
                    <w:rPr>
                      <w:b/>
                      <w:bCs/>
                    </w:rPr>
                  </w:pPr>
                  <w:r>
                    <w:rPr>
                      <w:rFonts w:hint="eastAsia"/>
                    </w:rPr>
                    <w:t>菠萝塘居民点</w:t>
                  </w:r>
                </w:p>
              </w:tc>
              <w:tc>
                <w:tcPr>
                  <w:tcW w:w="898" w:type="pct"/>
                  <w:vAlign w:val="center"/>
                </w:tcPr>
                <w:p w14:paraId="6478F8FC">
                  <w:pPr>
                    <w:adjustRightInd w:val="0"/>
                    <w:snapToGrid w:val="0"/>
                    <w:jc w:val="center"/>
                  </w:pPr>
                  <w:r>
                    <w:t>103°04'49.9463"</w:t>
                  </w:r>
                </w:p>
                <w:p w14:paraId="144E306B">
                  <w:pPr>
                    <w:pStyle w:val="95"/>
                    <w:spacing w:before="0" w:after="0"/>
                    <w:rPr>
                      <w:rFonts w:hint="eastAsia"/>
                      <w:b/>
                      <w:bCs/>
                    </w:rPr>
                  </w:pPr>
                  <w:r>
                    <w:t>26°31'09.0479"</w:t>
                  </w:r>
                </w:p>
              </w:tc>
              <w:tc>
                <w:tcPr>
                  <w:tcW w:w="620" w:type="pct"/>
                  <w:vAlign w:val="center"/>
                </w:tcPr>
                <w:p w14:paraId="6C71211C">
                  <w:pPr>
                    <w:pStyle w:val="95"/>
                    <w:spacing w:before="0" w:after="0"/>
                    <w:rPr>
                      <w:b/>
                      <w:bCs/>
                    </w:rPr>
                  </w:pPr>
                  <w:r>
                    <w:rPr>
                      <w:rFonts w:hint="eastAsia"/>
                    </w:rPr>
                    <w:t>1</w:t>
                  </w:r>
                  <w:r>
                    <w:t>ULN1</w:t>
                  </w:r>
                  <w:r>
                    <w:rPr>
                      <w:rFonts w:hint="eastAsia"/>
                    </w:rPr>
                    <w:t>塔基北侧2</w:t>
                  </w:r>
                  <w:r>
                    <w:t>0</w:t>
                  </w:r>
                  <w:r>
                    <w:rPr>
                      <w:rFonts w:hint="eastAsia"/>
                    </w:rPr>
                    <w:t>m</w:t>
                  </w:r>
                </w:p>
              </w:tc>
              <w:tc>
                <w:tcPr>
                  <w:tcW w:w="663" w:type="pct"/>
                  <w:vAlign w:val="center"/>
                </w:tcPr>
                <w:p w14:paraId="047903C5">
                  <w:pPr>
                    <w:pStyle w:val="95"/>
                    <w:spacing w:before="0" w:after="0"/>
                    <w:rPr>
                      <w:b/>
                      <w:bCs/>
                    </w:rPr>
                  </w:pPr>
                  <w:r>
                    <w:rPr>
                      <w:rFonts w:hint="eastAsia"/>
                    </w:rPr>
                    <w:t>L</w:t>
                  </w:r>
                  <w:r>
                    <w:t>03</w:t>
                  </w:r>
                  <w:r>
                    <w:rPr>
                      <w:rFonts w:hint="eastAsia"/>
                    </w:rPr>
                    <w:t>阵列西侧1</w:t>
                  </w:r>
                  <w:r>
                    <w:t>30</w:t>
                  </w:r>
                  <w:r>
                    <w:rPr>
                      <w:rFonts w:hint="eastAsia"/>
                    </w:rPr>
                    <w:t>m</w:t>
                  </w:r>
                </w:p>
              </w:tc>
              <w:tc>
                <w:tcPr>
                  <w:tcW w:w="470" w:type="pct"/>
                  <w:vAlign w:val="center"/>
                </w:tcPr>
                <w:p w14:paraId="49D7B935">
                  <w:pPr>
                    <w:pStyle w:val="95"/>
                    <w:spacing w:before="0" w:after="0"/>
                  </w:pPr>
                  <w:r>
                    <w:rPr>
                      <w:rFonts w:hint="eastAsia"/>
                    </w:rPr>
                    <w:t>西北侧2km</w:t>
                  </w:r>
                </w:p>
              </w:tc>
              <w:tc>
                <w:tcPr>
                  <w:tcW w:w="545" w:type="pct"/>
                  <w:vAlign w:val="center"/>
                </w:tcPr>
                <w:p w14:paraId="42ED456A">
                  <w:pPr>
                    <w:pStyle w:val="95"/>
                    <w:spacing w:before="0" w:after="0"/>
                  </w:pPr>
                  <w:r>
                    <w:rPr>
                      <w:rFonts w:hint="eastAsia"/>
                    </w:rPr>
                    <w:t>西南侧2</w:t>
                  </w:r>
                  <w:r>
                    <w:t>30</w:t>
                  </w:r>
                  <w:r>
                    <w:rPr>
                      <w:rFonts w:hint="eastAsia"/>
                    </w:rPr>
                    <w:t>m</w:t>
                  </w:r>
                </w:p>
              </w:tc>
              <w:tc>
                <w:tcPr>
                  <w:tcW w:w="544" w:type="pct"/>
                  <w:vAlign w:val="center"/>
                </w:tcPr>
                <w:p w14:paraId="35ADE590">
                  <w:pPr>
                    <w:pStyle w:val="95"/>
                    <w:spacing w:before="0" w:after="0"/>
                    <w:rPr>
                      <w:b/>
                      <w:bCs/>
                    </w:rPr>
                  </w:pPr>
                  <w:r>
                    <w:t>45</w:t>
                  </w:r>
                  <w:r>
                    <w:rPr>
                      <w:rFonts w:hint="eastAsia"/>
                    </w:rPr>
                    <w:t>户，约</w:t>
                  </w:r>
                  <w:r>
                    <w:rPr>
                      <w:rFonts w:eastAsia="等线"/>
                    </w:rPr>
                    <w:t>135</w:t>
                  </w:r>
                  <w:r>
                    <w:rPr>
                      <w:rFonts w:hint="eastAsia"/>
                    </w:rPr>
                    <w:t>人</w:t>
                  </w:r>
                </w:p>
              </w:tc>
              <w:tc>
                <w:tcPr>
                  <w:tcW w:w="512" w:type="pct"/>
                  <w:vMerge w:val="restart"/>
                  <w:vAlign w:val="center"/>
                </w:tcPr>
                <w:p w14:paraId="0DAEE40C">
                  <w:pPr>
                    <w:pStyle w:val="95"/>
                    <w:spacing w:before="0" w:after="0"/>
                    <w:rPr>
                      <w:b/>
                      <w:bCs/>
                    </w:rPr>
                  </w:pPr>
                  <w:r>
                    <w:rPr>
                      <w:rFonts w:hint="eastAsia"/>
                    </w:rPr>
                    <w:t>2</w:t>
                  </w:r>
                  <w:r>
                    <w:t>030</w:t>
                  </w:r>
                  <w:r>
                    <w:rPr>
                      <w:rFonts w:hint="eastAsia"/>
                    </w:rPr>
                    <w:t>年1</w:t>
                  </w:r>
                  <w:r>
                    <w:t>2</w:t>
                  </w:r>
                  <w:r>
                    <w:rPr>
                      <w:rFonts w:hint="eastAsia"/>
                    </w:rPr>
                    <w:t>月3</w:t>
                  </w:r>
                  <w:r>
                    <w:t>1</w:t>
                  </w:r>
                  <w:r>
                    <w:rPr>
                      <w:rFonts w:hint="eastAsia"/>
                    </w:rPr>
                    <w:t>日前执行</w:t>
                  </w:r>
                  <w:r>
                    <w:t>《环境空气质量标准》（GB 3095-2026）</w:t>
                  </w:r>
                  <w:r>
                    <w:rPr>
                      <w:rFonts w:hint="eastAsia"/>
                    </w:rPr>
                    <w:t>过渡阶段</w:t>
                  </w:r>
                  <w:r>
                    <w:t>二级标准</w:t>
                  </w:r>
                  <w:r>
                    <w:rPr>
                      <w:rFonts w:hint="eastAsia"/>
                    </w:rPr>
                    <w:t>，2</w:t>
                  </w:r>
                  <w:r>
                    <w:t>031</w:t>
                  </w:r>
                  <w:r>
                    <w:rPr>
                      <w:rFonts w:hint="eastAsia"/>
                    </w:rPr>
                    <w:t>年1月1日起执行</w:t>
                  </w:r>
                  <w:r>
                    <w:t>《环境空气质量标准》（GB 3095-2026）二级标准</w:t>
                  </w:r>
                </w:p>
              </w:tc>
            </w:tr>
            <w:tr w14:paraId="7C39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02315E83">
                  <w:pPr>
                    <w:pStyle w:val="95"/>
                    <w:numPr>
                      <w:ilvl w:val="0"/>
                      <w:numId w:val="10"/>
                    </w:numPr>
                    <w:spacing w:before="0" w:after="0"/>
                    <w:rPr>
                      <w:rFonts w:hint="eastAsia"/>
                    </w:rPr>
                  </w:pPr>
                </w:p>
              </w:tc>
              <w:tc>
                <w:tcPr>
                  <w:tcW w:w="524" w:type="pct"/>
                  <w:vAlign w:val="center"/>
                </w:tcPr>
                <w:p w14:paraId="338DF95D">
                  <w:pPr>
                    <w:pStyle w:val="95"/>
                    <w:spacing w:before="0" w:after="0"/>
                    <w:rPr>
                      <w:b/>
                      <w:bCs/>
                    </w:rPr>
                  </w:pPr>
                  <w:r>
                    <w:rPr>
                      <w:rFonts w:hint="eastAsia"/>
                    </w:rPr>
                    <w:t>黑泥塘居民点</w:t>
                  </w:r>
                </w:p>
              </w:tc>
              <w:tc>
                <w:tcPr>
                  <w:tcW w:w="898" w:type="pct"/>
                  <w:vAlign w:val="center"/>
                </w:tcPr>
                <w:p w14:paraId="0A56253E">
                  <w:pPr>
                    <w:adjustRightInd w:val="0"/>
                    <w:jc w:val="center"/>
                    <w:rPr>
                      <w:rFonts w:eastAsia="等线"/>
                    </w:rPr>
                  </w:pPr>
                  <w:r>
                    <w:rPr>
                      <w:rFonts w:eastAsia="等线"/>
                    </w:rPr>
                    <w:t>103°05'01.0092"</w:t>
                  </w:r>
                </w:p>
                <w:p w14:paraId="28AFD111">
                  <w:pPr>
                    <w:pStyle w:val="95"/>
                    <w:spacing w:before="0" w:after="0"/>
                    <w:rPr>
                      <w:rFonts w:hint="eastAsia"/>
                      <w:b/>
                      <w:bCs/>
                    </w:rPr>
                  </w:pPr>
                  <w:r>
                    <w:rPr>
                      <w:rFonts w:eastAsia="等线"/>
                    </w:rPr>
                    <w:t>26°30'29.3556"</w:t>
                  </w:r>
                </w:p>
              </w:tc>
              <w:tc>
                <w:tcPr>
                  <w:tcW w:w="620" w:type="pct"/>
                  <w:vAlign w:val="center"/>
                </w:tcPr>
                <w:p w14:paraId="201C09D9">
                  <w:pPr>
                    <w:pStyle w:val="95"/>
                    <w:spacing w:before="0" w:after="0"/>
                    <w:rPr>
                      <w:b/>
                      <w:bCs/>
                    </w:rPr>
                  </w:pPr>
                  <w:r>
                    <w:rPr>
                      <w:rFonts w:hint="eastAsia"/>
                    </w:rPr>
                    <w:t>1</w:t>
                  </w:r>
                  <w:r>
                    <w:t>ULN6</w:t>
                  </w:r>
                  <w:r>
                    <w:rPr>
                      <w:rFonts w:hint="eastAsia"/>
                    </w:rPr>
                    <w:t>塔基西侧1</w:t>
                  </w:r>
                  <w:r>
                    <w:t>0</w:t>
                  </w:r>
                  <w:r>
                    <w:rPr>
                      <w:rFonts w:hint="eastAsia"/>
                    </w:rPr>
                    <w:t>m</w:t>
                  </w:r>
                </w:p>
              </w:tc>
              <w:tc>
                <w:tcPr>
                  <w:tcW w:w="663" w:type="pct"/>
                  <w:vAlign w:val="center"/>
                </w:tcPr>
                <w:p w14:paraId="55211F5C">
                  <w:pPr>
                    <w:pStyle w:val="95"/>
                    <w:spacing w:before="0" w:after="0"/>
                    <w:rPr>
                      <w:b/>
                      <w:bCs/>
                    </w:rPr>
                  </w:pPr>
                  <w:r>
                    <w:rPr>
                      <w:rFonts w:hint="eastAsia"/>
                    </w:rPr>
                    <w:t>L</w:t>
                  </w:r>
                  <w:r>
                    <w:t>03</w:t>
                  </w:r>
                  <w:r>
                    <w:rPr>
                      <w:rFonts w:hint="eastAsia"/>
                    </w:rPr>
                    <w:t>阵列南侧8</w:t>
                  </w:r>
                  <w:r>
                    <w:t>80</w:t>
                  </w:r>
                  <w:r>
                    <w:rPr>
                      <w:rFonts w:hint="eastAsia"/>
                    </w:rPr>
                    <w:t>m</w:t>
                  </w:r>
                </w:p>
              </w:tc>
              <w:tc>
                <w:tcPr>
                  <w:tcW w:w="470" w:type="pct"/>
                  <w:vAlign w:val="center"/>
                </w:tcPr>
                <w:p w14:paraId="32B1B3B7">
                  <w:pPr>
                    <w:pStyle w:val="95"/>
                    <w:spacing w:before="0" w:after="0"/>
                  </w:pPr>
                  <w:r>
                    <w:rPr>
                      <w:rFonts w:hint="eastAsia"/>
                    </w:rPr>
                    <w:t>西北侧1</w:t>
                  </w:r>
                  <w:r>
                    <w:t>.2</w:t>
                  </w:r>
                  <w:r>
                    <w:rPr>
                      <w:rFonts w:hint="eastAsia"/>
                    </w:rPr>
                    <w:t>km</w:t>
                  </w:r>
                </w:p>
              </w:tc>
              <w:tc>
                <w:tcPr>
                  <w:tcW w:w="545" w:type="pct"/>
                  <w:vAlign w:val="center"/>
                </w:tcPr>
                <w:p w14:paraId="7390BE9B">
                  <w:pPr>
                    <w:pStyle w:val="95"/>
                    <w:spacing w:before="0" w:after="0"/>
                  </w:pPr>
                  <w:r>
                    <w:rPr>
                      <w:rFonts w:hint="eastAsia"/>
                    </w:rPr>
                    <w:t>西南侧1</w:t>
                  </w:r>
                  <w:r>
                    <w:t>.4</w:t>
                  </w:r>
                  <w:r>
                    <w:rPr>
                      <w:rFonts w:hint="eastAsia"/>
                    </w:rPr>
                    <w:t>km</w:t>
                  </w:r>
                </w:p>
              </w:tc>
              <w:tc>
                <w:tcPr>
                  <w:tcW w:w="544" w:type="pct"/>
                  <w:vAlign w:val="center"/>
                </w:tcPr>
                <w:p w14:paraId="41560B75">
                  <w:pPr>
                    <w:pStyle w:val="95"/>
                    <w:spacing w:before="0" w:after="0"/>
                    <w:rPr>
                      <w:b/>
                      <w:bCs/>
                    </w:rPr>
                  </w:pPr>
                  <w:r>
                    <w:t>30</w:t>
                  </w:r>
                  <w:r>
                    <w:rPr>
                      <w:rFonts w:hint="eastAsia"/>
                    </w:rPr>
                    <w:t>户，约</w:t>
                  </w:r>
                  <w:r>
                    <w:rPr>
                      <w:rFonts w:eastAsia="等线"/>
                    </w:rPr>
                    <w:t>90</w:t>
                  </w:r>
                  <w:r>
                    <w:rPr>
                      <w:rFonts w:hint="eastAsia"/>
                    </w:rPr>
                    <w:t>人</w:t>
                  </w:r>
                </w:p>
              </w:tc>
              <w:tc>
                <w:tcPr>
                  <w:tcW w:w="512" w:type="pct"/>
                  <w:vMerge w:val="continue"/>
                  <w:vAlign w:val="center"/>
                </w:tcPr>
                <w:p w14:paraId="331AA7E3">
                  <w:pPr>
                    <w:pStyle w:val="95"/>
                    <w:spacing w:before="0" w:after="0"/>
                    <w:rPr>
                      <w:b/>
                      <w:bCs/>
                    </w:rPr>
                  </w:pPr>
                </w:p>
              </w:tc>
            </w:tr>
            <w:tr w14:paraId="0B21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1352C0F7">
                  <w:pPr>
                    <w:pStyle w:val="95"/>
                    <w:numPr>
                      <w:ilvl w:val="0"/>
                      <w:numId w:val="10"/>
                    </w:numPr>
                    <w:spacing w:before="0" w:after="0"/>
                    <w:rPr>
                      <w:rFonts w:hint="eastAsia"/>
                    </w:rPr>
                  </w:pPr>
                </w:p>
              </w:tc>
              <w:tc>
                <w:tcPr>
                  <w:tcW w:w="524" w:type="pct"/>
                  <w:vAlign w:val="center"/>
                </w:tcPr>
                <w:p w14:paraId="77F5F202">
                  <w:pPr>
                    <w:pStyle w:val="95"/>
                    <w:spacing w:before="0" w:after="0"/>
                    <w:rPr>
                      <w:b/>
                      <w:bCs/>
                    </w:rPr>
                  </w:pPr>
                  <w:r>
                    <w:rPr>
                      <w:rFonts w:hint="eastAsia"/>
                    </w:rPr>
                    <w:t>酸多梨树居民点</w:t>
                  </w:r>
                </w:p>
              </w:tc>
              <w:tc>
                <w:tcPr>
                  <w:tcW w:w="898" w:type="pct"/>
                  <w:vAlign w:val="center"/>
                </w:tcPr>
                <w:p w14:paraId="3B4C8A9A">
                  <w:pPr>
                    <w:adjustRightInd w:val="0"/>
                    <w:jc w:val="center"/>
                    <w:rPr>
                      <w:rFonts w:eastAsia="等线"/>
                    </w:rPr>
                  </w:pPr>
                  <w:r>
                    <w:rPr>
                      <w:rFonts w:eastAsia="等线"/>
                    </w:rPr>
                    <w:t>103°06'29.3669"</w:t>
                  </w:r>
                </w:p>
                <w:p w14:paraId="06208B24">
                  <w:pPr>
                    <w:pStyle w:val="95"/>
                    <w:spacing w:before="0" w:after="0"/>
                    <w:rPr>
                      <w:rFonts w:hint="eastAsia"/>
                      <w:b/>
                      <w:bCs/>
                    </w:rPr>
                  </w:pPr>
                  <w:r>
                    <w:rPr>
                      <w:rFonts w:eastAsia="等线"/>
                    </w:rPr>
                    <w:t>26°31'15.4312"</w:t>
                  </w:r>
                </w:p>
              </w:tc>
              <w:tc>
                <w:tcPr>
                  <w:tcW w:w="620" w:type="pct"/>
                  <w:vAlign w:val="center"/>
                </w:tcPr>
                <w:p w14:paraId="149024BC">
                  <w:pPr>
                    <w:pStyle w:val="95"/>
                    <w:spacing w:before="0" w:after="0"/>
                    <w:rPr>
                      <w:b/>
                      <w:bCs/>
                    </w:rPr>
                  </w:pPr>
                  <w:r>
                    <w:rPr>
                      <w:rFonts w:hint="eastAsia"/>
                    </w:rPr>
                    <w:t>集电线路北侧1</w:t>
                  </w:r>
                  <w:r>
                    <w:t>0</w:t>
                  </w:r>
                  <w:r>
                    <w:rPr>
                      <w:rFonts w:hint="eastAsia"/>
                    </w:rPr>
                    <w:t>m</w:t>
                  </w:r>
                </w:p>
              </w:tc>
              <w:tc>
                <w:tcPr>
                  <w:tcW w:w="663" w:type="pct"/>
                  <w:vAlign w:val="center"/>
                </w:tcPr>
                <w:p w14:paraId="1DB831B7">
                  <w:pPr>
                    <w:pStyle w:val="95"/>
                    <w:spacing w:before="0" w:after="0"/>
                    <w:rPr>
                      <w:b/>
                      <w:bCs/>
                    </w:rPr>
                  </w:pPr>
                  <w:r>
                    <w:rPr>
                      <w:rFonts w:hint="eastAsia"/>
                    </w:rPr>
                    <w:t>L</w:t>
                  </w:r>
                  <w:r>
                    <w:t>02</w:t>
                  </w:r>
                  <w:r>
                    <w:rPr>
                      <w:rFonts w:hint="eastAsia"/>
                    </w:rPr>
                    <w:t>阵列西北侧1</w:t>
                  </w:r>
                  <w:r>
                    <w:t>0</w:t>
                  </w:r>
                  <w:r>
                    <w:rPr>
                      <w:rFonts w:hint="eastAsia"/>
                    </w:rPr>
                    <w:t>m</w:t>
                  </w:r>
                </w:p>
              </w:tc>
              <w:tc>
                <w:tcPr>
                  <w:tcW w:w="470" w:type="pct"/>
                  <w:vAlign w:val="center"/>
                </w:tcPr>
                <w:p w14:paraId="1ABFF8A7">
                  <w:pPr>
                    <w:pStyle w:val="95"/>
                    <w:spacing w:before="0" w:after="0"/>
                  </w:pPr>
                  <w:r>
                    <w:rPr>
                      <w:rFonts w:hint="eastAsia"/>
                    </w:rPr>
                    <w:t>东北侧2</w:t>
                  </w:r>
                  <w:r>
                    <w:t>.1</w:t>
                  </w:r>
                  <w:r>
                    <w:rPr>
                      <w:rFonts w:hint="eastAsia"/>
                    </w:rPr>
                    <w:t>km</w:t>
                  </w:r>
                </w:p>
              </w:tc>
              <w:tc>
                <w:tcPr>
                  <w:tcW w:w="545" w:type="pct"/>
                  <w:vAlign w:val="center"/>
                </w:tcPr>
                <w:p w14:paraId="548C5AB8">
                  <w:pPr>
                    <w:pStyle w:val="95"/>
                    <w:spacing w:before="0" w:after="0"/>
                    <w:rPr>
                      <w:rFonts w:hint="eastAsia"/>
                    </w:rPr>
                  </w:pPr>
                  <w:r>
                    <w:rPr>
                      <w:rFonts w:hint="eastAsia"/>
                    </w:rPr>
                    <w:t>东北侧5</w:t>
                  </w:r>
                  <w:r>
                    <w:t>0</w:t>
                  </w:r>
                  <w:r>
                    <w:rPr>
                      <w:rFonts w:hint="eastAsia"/>
                    </w:rPr>
                    <w:t>m</w:t>
                  </w:r>
                </w:p>
              </w:tc>
              <w:tc>
                <w:tcPr>
                  <w:tcW w:w="544" w:type="pct"/>
                  <w:vAlign w:val="center"/>
                </w:tcPr>
                <w:p w14:paraId="4434EA5D">
                  <w:pPr>
                    <w:pStyle w:val="95"/>
                    <w:spacing w:before="0" w:after="0"/>
                    <w:rPr>
                      <w:b/>
                      <w:bCs/>
                    </w:rPr>
                  </w:pPr>
                  <w:r>
                    <w:t>4</w:t>
                  </w:r>
                  <w:r>
                    <w:rPr>
                      <w:rFonts w:hint="eastAsia"/>
                    </w:rPr>
                    <w:t>户，约</w:t>
                  </w:r>
                  <w:r>
                    <w:t>12</w:t>
                  </w:r>
                  <w:r>
                    <w:rPr>
                      <w:rFonts w:hint="eastAsia"/>
                    </w:rPr>
                    <w:t>人</w:t>
                  </w:r>
                </w:p>
              </w:tc>
              <w:tc>
                <w:tcPr>
                  <w:tcW w:w="512" w:type="pct"/>
                  <w:vMerge w:val="continue"/>
                  <w:vAlign w:val="center"/>
                </w:tcPr>
                <w:p w14:paraId="553828AA">
                  <w:pPr>
                    <w:pStyle w:val="95"/>
                    <w:spacing w:before="0" w:after="0"/>
                    <w:rPr>
                      <w:b/>
                      <w:bCs/>
                    </w:rPr>
                  </w:pPr>
                </w:p>
              </w:tc>
            </w:tr>
            <w:tr w14:paraId="5467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344F7248">
                  <w:pPr>
                    <w:pStyle w:val="95"/>
                    <w:numPr>
                      <w:ilvl w:val="0"/>
                      <w:numId w:val="10"/>
                    </w:numPr>
                    <w:spacing w:before="0" w:after="0"/>
                    <w:rPr>
                      <w:rFonts w:hint="eastAsia"/>
                    </w:rPr>
                  </w:pPr>
                </w:p>
              </w:tc>
              <w:tc>
                <w:tcPr>
                  <w:tcW w:w="524" w:type="pct"/>
                  <w:vAlign w:val="center"/>
                </w:tcPr>
                <w:p w14:paraId="26DF15B3">
                  <w:pPr>
                    <w:pStyle w:val="95"/>
                    <w:spacing w:before="0" w:after="0"/>
                    <w:rPr>
                      <w:b/>
                      <w:bCs/>
                    </w:rPr>
                  </w:pPr>
                  <w:r>
                    <w:rPr>
                      <w:rFonts w:hint="eastAsia"/>
                    </w:rPr>
                    <w:t>大水井居民点</w:t>
                  </w:r>
                </w:p>
              </w:tc>
              <w:tc>
                <w:tcPr>
                  <w:tcW w:w="898" w:type="pct"/>
                  <w:vAlign w:val="center"/>
                </w:tcPr>
                <w:p w14:paraId="5AE1F8BA">
                  <w:pPr>
                    <w:adjustRightInd w:val="0"/>
                    <w:jc w:val="center"/>
                    <w:rPr>
                      <w:rFonts w:eastAsia="等线"/>
                    </w:rPr>
                  </w:pPr>
                  <w:r>
                    <w:rPr>
                      <w:rFonts w:eastAsia="等线"/>
                    </w:rPr>
                    <w:t>103°06'33.5006"</w:t>
                  </w:r>
                </w:p>
                <w:p w14:paraId="50282913">
                  <w:pPr>
                    <w:pStyle w:val="95"/>
                    <w:spacing w:before="0" w:after="0"/>
                    <w:rPr>
                      <w:rFonts w:hint="eastAsia"/>
                      <w:b/>
                      <w:bCs/>
                    </w:rPr>
                  </w:pPr>
                  <w:r>
                    <w:rPr>
                      <w:rFonts w:eastAsia="等线"/>
                    </w:rPr>
                    <w:t>26°31'07.8629"</w:t>
                  </w:r>
                </w:p>
              </w:tc>
              <w:tc>
                <w:tcPr>
                  <w:tcW w:w="620" w:type="pct"/>
                  <w:vAlign w:val="center"/>
                </w:tcPr>
                <w:p w14:paraId="2BCA86F4">
                  <w:pPr>
                    <w:pStyle w:val="95"/>
                    <w:spacing w:before="0" w:after="0"/>
                    <w:rPr>
                      <w:b/>
                      <w:bCs/>
                    </w:rPr>
                  </w:pPr>
                  <w:r>
                    <w:rPr>
                      <w:rFonts w:hint="eastAsia"/>
                    </w:rPr>
                    <w:t>集电线路西南侧1</w:t>
                  </w:r>
                  <w:r>
                    <w:t>00</w:t>
                  </w:r>
                  <w:r>
                    <w:rPr>
                      <w:rFonts w:hint="eastAsia"/>
                    </w:rPr>
                    <w:t>m</w:t>
                  </w:r>
                </w:p>
              </w:tc>
              <w:tc>
                <w:tcPr>
                  <w:tcW w:w="663" w:type="pct"/>
                  <w:vAlign w:val="center"/>
                </w:tcPr>
                <w:p w14:paraId="4B0CB6E4">
                  <w:pPr>
                    <w:pStyle w:val="95"/>
                    <w:spacing w:before="0" w:after="0"/>
                    <w:rPr>
                      <w:b/>
                      <w:bCs/>
                    </w:rPr>
                  </w:pPr>
                  <w:r>
                    <w:rPr>
                      <w:rFonts w:hint="eastAsia"/>
                    </w:rPr>
                    <w:t>L</w:t>
                  </w:r>
                  <w:r>
                    <w:t>02</w:t>
                  </w:r>
                  <w:r>
                    <w:rPr>
                      <w:rFonts w:hint="eastAsia"/>
                    </w:rPr>
                    <w:t>阵列东南侧1</w:t>
                  </w:r>
                  <w:r>
                    <w:t>20</w:t>
                  </w:r>
                  <w:r>
                    <w:rPr>
                      <w:rFonts w:hint="eastAsia"/>
                    </w:rPr>
                    <w:t>m</w:t>
                  </w:r>
                </w:p>
              </w:tc>
              <w:tc>
                <w:tcPr>
                  <w:tcW w:w="470" w:type="pct"/>
                  <w:vAlign w:val="center"/>
                </w:tcPr>
                <w:p w14:paraId="7C60E7D0">
                  <w:pPr>
                    <w:pStyle w:val="95"/>
                    <w:spacing w:before="0" w:after="0"/>
                  </w:pPr>
                  <w:r>
                    <w:rPr>
                      <w:rFonts w:hint="eastAsia"/>
                    </w:rPr>
                    <w:t>东北侧2km</w:t>
                  </w:r>
                </w:p>
              </w:tc>
              <w:tc>
                <w:tcPr>
                  <w:tcW w:w="545" w:type="pct"/>
                  <w:vAlign w:val="center"/>
                </w:tcPr>
                <w:p w14:paraId="662785C2">
                  <w:pPr>
                    <w:pStyle w:val="95"/>
                    <w:spacing w:before="0" w:after="0"/>
                  </w:pPr>
                  <w:r>
                    <w:rPr>
                      <w:rFonts w:hint="eastAsia"/>
                    </w:rPr>
                    <w:t>东南侧4</w:t>
                  </w:r>
                  <w:r>
                    <w:t>00</w:t>
                  </w:r>
                  <w:r>
                    <w:rPr>
                      <w:rFonts w:hint="eastAsia"/>
                    </w:rPr>
                    <w:t>m</w:t>
                  </w:r>
                </w:p>
              </w:tc>
              <w:tc>
                <w:tcPr>
                  <w:tcW w:w="544" w:type="pct"/>
                  <w:vAlign w:val="center"/>
                </w:tcPr>
                <w:p w14:paraId="6926A3E6">
                  <w:pPr>
                    <w:pStyle w:val="95"/>
                    <w:spacing w:before="0" w:after="0"/>
                    <w:rPr>
                      <w:b/>
                      <w:bCs/>
                    </w:rPr>
                  </w:pPr>
                  <w:r>
                    <w:t>7</w:t>
                  </w:r>
                  <w:r>
                    <w:rPr>
                      <w:rFonts w:hint="eastAsia"/>
                    </w:rPr>
                    <w:t>户，约</w:t>
                  </w:r>
                  <w:r>
                    <w:t>21</w:t>
                  </w:r>
                  <w:r>
                    <w:rPr>
                      <w:rFonts w:hint="eastAsia"/>
                    </w:rPr>
                    <w:t>人</w:t>
                  </w:r>
                </w:p>
              </w:tc>
              <w:tc>
                <w:tcPr>
                  <w:tcW w:w="512" w:type="pct"/>
                  <w:vMerge w:val="continue"/>
                  <w:vAlign w:val="center"/>
                </w:tcPr>
                <w:p w14:paraId="1D0B8AA8">
                  <w:pPr>
                    <w:pStyle w:val="95"/>
                    <w:spacing w:before="0" w:after="0"/>
                    <w:rPr>
                      <w:b/>
                      <w:bCs/>
                    </w:rPr>
                  </w:pPr>
                </w:p>
              </w:tc>
            </w:tr>
            <w:tr w14:paraId="2039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2F31ED92">
                  <w:pPr>
                    <w:pStyle w:val="95"/>
                    <w:numPr>
                      <w:ilvl w:val="0"/>
                      <w:numId w:val="10"/>
                    </w:numPr>
                    <w:spacing w:before="0" w:after="0"/>
                    <w:rPr>
                      <w:rFonts w:hint="eastAsia"/>
                    </w:rPr>
                  </w:pPr>
                </w:p>
              </w:tc>
              <w:tc>
                <w:tcPr>
                  <w:tcW w:w="524" w:type="pct"/>
                  <w:vAlign w:val="center"/>
                </w:tcPr>
                <w:p w14:paraId="6788E2E8">
                  <w:pPr>
                    <w:pStyle w:val="95"/>
                    <w:spacing w:before="0" w:after="0"/>
                    <w:rPr>
                      <w:b/>
                      <w:bCs/>
                    </w:rPr>
                  </w:pPr>
                  <w:r>
                    <w:rPr>
                      <w:rFonts w:hint="eastAsia"/>
                    </w:rPr>
                    <w:t>李家大立碑居民点</w:t>
                  </w:r>
                </w:p>
              </w:tc>
              <w:tc>
                <w:tcPr>
                  <w:tcW w:w="898" w:type="pct"/>
                  <w:vAlign w:val="center"/>
                </w:tcPr>
                <w:p w14:paraId="1E1505E0">
                  <w:pPr>
                    <w:adjustRightInd w:val="0"/>
                    <w:jc w:val="center"/>
                    <w:rPr>
                      <w:rFonts w:eastAsia="等线"/>
                    </w:rPr>
                  </w:pPr>
                  <w:r>
                    <w:rPr>
                      <w:rFonts w:eastAsia="等线"/>
                    </w:rPr>
                    <w:t>103°06'47.3313"</w:t>
                  </w:r>
                </w:p>
                <w:p w14:paraId="04DABAA4">
                  <w:pPr>
                    <w:pStyle w:val="95"/>
                    <w:spacing w:before="0" w:after="0"/>
                    <w:rPr>
                      <w:rFonts w:hint="eastAsia"/>
                      <w:b/>
                      <w:bCs/>
                    </w:rPr>
                  </w:pPr>
                  <w:r>
                    <w:rPr>
                      <w:rFonts w:eastAsia="等线"/>
                    </w:rPr>
                    <w:t>26°31'28.5178"</w:t>
                  </w:r>
                </w:p>
              </w:tc>
              <w:tc>
                <w:tcPr>
                  <w:tcW w:w="620" w:type="pct"/>
                  <w:vAlign w:val="center"/>
                </w:tcPr>
                <w:p w14:paraId="35382F99">
                  <w:pPr>
                    <w:pStyle w:val="95"/>
                    <w:spacing w:before="0" w:after="0"/>
                    <w:rPr>
                      <w:b/>
                      <w:bCs/>
                    </w:rPr>
                  </w:pPr>
                  <w:r>
                    <w:rPr>
                      <w:rFonts w:hint="eastAsia"/>
                    </w:rPr>
                    <w:t>集电线路北侧6</w:t>
                  </w:r>
                  <w:r>
                    <w:t>00</w:t>
                  </w:r>
                  <w:r>
                    <w:rPr>
                      <w:rFonts w:hint="eastAsia"/>
                    </w:rPr>
                    <w:t>m</w:t>
                  </w:r>
                </w:p>
              </w:tc>
              <w:tc>
                <w:tcPr>
                  <w:tcW w:w="663" w:type="pct"/>
                  <w:vAlign w:val="center"/>
                </w:tcPr>
                <w:p w14:paraId="38183950">
                  <w:pPr>
                    <w:pStyle w:val="95"/>
                    <w:spacing w:before="0" w:after="0"/>
                    <w:rPr>
                      <w:b/>
                      <w:bCs/>
                    </w:rPr>
                  </w:pPr>
                  <w:r>
                    <w:rPr>
                      <w:rFonts w:hint="eastAsia"/>
                    </w:rPr>
                    <w:t>L</w:t>
                  </w:r>
                  <w:r>
                    <w:t>01</w:t>
                  </w:r>
                  <w:r>
                    <w:rPr>
                      <w:rFonts w:hint="eastAsia"/>
                    </w:rPr>
                    <w:t>阵列西侧1</w:t>
                  </w:r>
                  <w:r>
                    <w:t>20</w:t>
                  </w:r>
                  <w:r>
                    <w:rPr>
                      <w:rFonts w:hint="eastAsia"/>
                    </w:rPr>
                    <w:t>m</w:t>
                  </w:r>
                </w:p>
              </w:tc>
              <w:tc>
                <w:tcPr>
                  <w:tcW w:w="470" w:type="pct"/>
                  <w:vAlign w:val="center"/>
                </w:tcPr>
                <w:p w14:paraId="75498AE0">
                  <w:pPr>
                    <w:pStyle w:val="95"/>
                    <w:spacing w:before="0" w:after="0"/>
                  </w:pPr>
                  <w:r>
                    <w:rPr>
                      <w:rFonts w:hint="eastAsia"/>
                    </w:rPr>
                    <w:t>东北侧2</w:t>
                  </w:r>
                  <w:r>
                    <w:t>.7</w:t>
                  </w:r>
                  <w:r>
                    <w:rPr>
                      <w:rFonts w:hint="eastAsia"/>
                    </w:rPr>
                    <w:t>km</w:t>
                  </w:r>
                </w:p>
              </w:tc>
              <w:tc>
                <w:tcPr>
                  <w:tcW w:w="545" w:type="pct"/>
                  <w:vAlign w:val="center"/>
                </w:tcPr>
                <w:p w14:paraId="4AD8BAA7">
                  <w:pPr>
                    <w:pStyle w:val="95"/>
                    <w:spacing w:before="0" w:after="0"/>
                  </w:pPr>
                  <w:r>
                    <w:rPr>
                      <w:rFonts w:hint="eastAsia"/>
                    </w:rPr>
                    <w:t>西北侧4</w:t>
                  </w:r>
                  <w:r>
                    <w:t>10</w:t>
                  </w:r>
                  <w:r>
                    <w:rPr>
                      <w:rFonts w:hint="eastAsia"/>
                    </w:rPr>
                    <w:t>m</w:t>
                  </w:r>
                </w:p>
              </w:tc>
              <w:tc>
                <w:tcPr>
                  <w:tcW w:w="544" w:type="pct"/>
                  <w:vAlign w:val="center"/>
                </w:tcPr>
                <w:p w14:paraId="76716247">
                  <w:pPr>
                    <w:pStyle w:val="95"/>
                    <w:spacing w:before="0" w:after="0"/>
                    <w:rPr>
                      <w:b/>
                      <w:bCs/>
                    </w:rPr>
                  </w:pPr>
                  <w:r>
                    <w:t>10</w:t>
                  </w:r>
                  <w:r>
                    <w:rPr>
                      <w:rFonts w:hint="eastAsia"/>
                    </w:rPr>
                    <w:t>户，约3</w:t>
                  </w:r>
                  <w:r>
                    <w:t>0</w:t>
                  </w:r>
                  <w:r>
                    <w:rPr>
                      <w:rFonts w:hint="eastAsia"/>
                    </w:rPr>
                    <w:t>人</w:t>
                  </w:r>
                </w:p>
              </w:tc>
              <w:tc>
                <w:tcPr>
                  <w:tcW w:w="512" w:type="pct"/>
                  <w:vMerge w:val="continue"/>
                  <w:vAlign w:val="center"/>
                </w:tcPr>
                <w:p w14:paraId="5ABFDCB7">
                  <w:pPr>
                    <w:pStyle w:val="95"/>
                    <w:spacing w:before="0" w:after="0"/>
                    <w:rPr>
                      <w:b/>
                      <w:bCs/>
                    </w:rPr>
                  </w:pPr>
                </w:p>
              </w:tc>
            </w:tr>
            <w:tr w14:paraId="0E1B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481C8336">
                  <w:pPr>
                    <w:pStyle w:val="95"/>
                    <w:numPr>
                      <w:ilvl w:val="0"/>
                      <w:numId w:val="10"/>
                    </w:numPr>
                    <w:spacing w:before="0" w:after="0"/>
                    <w:rPr>
                      <w:rFonts w:hint="eastAsia"/>
                    </w:rPr>
                  </w:pPr>
                </w:p>
              </w:tc>
              <w:tc>
                <w:tcPr>
                  <w:tcW w:w="524" w:type="pct"/>
                  <w:vAlign w:val="center"/>
                </w:tcPr>
                <w:p w14:paraId="11C6CFB0">
                  <w:pPr>
                    <w:pStyle w:val="95"/>
                    <w:spacing w:before="0" w:after="0"/>
                    <w:rPr>
                      <w:b/>
                      <w:bCs/>
                    </w:rPr>
                  </w:pPr>
                  <w:r>
                    <w:rPr>
                      <w:rFonts w:hint="eastAsia"/>
                    </w:rPr>
                    <w:t>支锅田居民点</w:t>
                  </w:r>
                </w:p>
              </w:tc>
              <w:tc>
                <w:tcPr>
                  <w:tcW w:w="898" w:type="pct"/>
                  <w:vAlign w:val="center"/>
                </w:tcPr>
                <w:p w14:paraId="177422C5">
                  <w:pPr>
                    <w:adjustRightInd w:val="0"/>
                    <w:jc w:val="center"/>
                    <w:rPr>
                      <w:rFonts w:eastAsia="等线"/>
                    </w:rPr>
                  </w:pPr>
                  <w:r>
                    <w:rPr>
                      <w:rFonts w:eastAsia="等线"/>
                    </w:rPr>
                    <w:t>103°06'52.0427"</w:t>
                  </w:r>
                </w:p>
                <w:p w14:paraId="57C75CFC">
                  <w:pPr>
                    <w:pStyle w:val="95"/>
                    <w:spacing w:before="0" w:after="0"/>
                    <w:rPr>
                      <w:rFonts w:hint="eastAsia"/>
                      <w:b/>
                      <w:bCs/>
                    </w:rPr>
                  </w:pPr>
                  <w:r>
                    <w:rPr>
                      <w:rFonts w:eastAsia="等线"/>
                    </w:rPr>
                    <w:t>26°31'00.3905"</w:t>
                  </w:r>
                </w:p>
              </w:tc>
              <w:tc>
                <w:tcPr>
                  <w:tcW w:w="620" w:type="pct"/>
                  <w:vAlign w:val="center"/>
                </w:tcPr>
                <w:p w14:paraId="2B576159">
                  <w:pPr>
                    <w:pStyle w:val="95"/>
                    <w:spacing w:before="0" w:after="0"/>
                    <w:rPr>
                      <w:b/>
                      <w:bCs/>
                    </w:rPr>
                  </w:pPr>
                  <w:r>
                    <w:rPr>
                      <w:rFonts w:hint="eastAsia"/>
                    </w:rPr>
                    <w:t>集电线路西南侧1</w:t>
                  </w:r>
                  <w:r>
                    <w:t>40</w:t>
                  </w:r>
                  <w:r>
                    <w:rPr>
                      <w:rFonts w:hint="eastAsia"/>
                    </w:rPr>
                    <w:t>m</w:t>
                  </w:r>
                </w:p>
              </w:tc>
              <w:tc>
                <w:tcPr>
                  <w:tcW w:w="663" w:type="pct"/>
                  <w:vAlign w:val="center"/>
                </w:tcPr>
                <w:p w14:paraId="2FD4B2D2">
                  <w:pPr>
                    <w:pStyle w:val="95"/>
                    <w:spacing w:before="0" w:after="0"/>
                    <w:rPr>
                      <w:b/>
                      <w:bCs/>
                    </w:rPr>
                  </w:pPr>
                  <w:r>
                    <w:rPr>
                      <w:rFonts w:hint="eastAsia"/>
                    </w:rPr>
                    <w:t>L</w:t>
                  </w:r>
                  <w:r>
                    <w:t>01</w:t>
                  </w:r>
                  <w:r>
                    <w:rPr>
                      <w:rFonts w:hint="eastAsia"/>
                    </w:rPr>
                    <w:t>阵列南侧</w:t>
                  </w:r>
                  <w:r>
                    <w:t>400</w:t>
                  </w:r>
                  <w:r>
                    <w:rPr>
                      <w:rFonts w:hint="eastAsia"/>
                    </w:rPr>
                    <w:t>m</w:t>
                  </w:r>
                </w:p>
              </w:tc>
              <w:tc>
                <w:tcPr>
                  <w:tcW w:w="470" w:type="pct"/>
                  <w:vAlign w:val="center"/>
                </w:tcPr>
                <w:p w14:paraId="5DEDB542">
                  <w:pPr>
                    <w:pStyle w:val="95"/>
                    <w:spacing w:before="0" w:after="0"/>
                  </w:pPr>
                  <w:r>
                    <w:rPr>
                      <w:rFonts w:hint="eastAsia"/>
                    </w:rPr>
                    <w:t>东北侧2</w:t>
                  </w:r>
                  <w:r>
                    <w:t>.2</w:t>
                  </w:r>
                  <w:r>
                    <w:rPr>
                      <w:rFonts w:hint="eastAsia"/>
                    </w:rPr>
                    <w:t>km</w:t>
                  </w:r>
                </w:p>
              </w:tc>
              <w:tc>
                <w:tcPr>
                  <w:tcW w:w="545" w:type="pct"/>
                  <w:vAlign w:val="center"/>
                </w:tcPr>
                <w:p w14:paraId="61AB6028">
                  <w:pPr>
                    <w:pStyle w:val="95"/>
                    <w:spacing w:before="0" w:after="0"/>
                    <w:rPr>
                      <w:rFonts w:hint="eastAsia"/>
                    </w:rPr>
                  </w:pPr>
                  <w:r>
                    <w:rPr>
                      <w:rFonts w:hint="eastAsia"/>
                    </w:rPr>
                    <w:t>南侧3</w:t>
                  </w:r>
                  <w:r>
                    <w:t>00</w:t>
                  </w:r>
                  <w:r>
                    <w:rPr>
                      <w:rFonts w:hint="eastAsia"/>
                    </w:rPr>
                    <w:t>m</w:t>
                  </w:r>
                </w:p>
              </w:tc>
              <w:tc>
                <w:tcPr>
                  <w:tcW w:w="544" w:type="pct"/>
                  <w:vAlign w:val="center"/>
                </w:tcPr>
                <w:p w14:paraId="7F674F5D">
                  <w:pPr>
                    <w:pStyle w:val="95"/>
                    <w:spacing w:before="0" w:after="0"/>
                    <w:rPr>
                      <w:b/>
                      <w:bCs/>
                    </w:rPr>
                  </w:pPr>
                  <w:r>
                    <w:rPr>
                      <w:rFonts w:hint="eastAsia"/>
                    </w:rPr>
                    <w:t>3</w:t>
                  </w:r>
                  <w:r>
                    <w:t>6</w:t>
                  </w:r>
                  <w:r>
                    <w:rPr>
                      <w:rFonts w:hint="eastAsia"/>
                    </w:rPr>
                    <w:t>户，约1</w:t>
                  </w:r>
                  <w:r>
                    <w:t>08</w:t>
                  </w:r>
                  <w:r>
                    <w:rPr>
                      <w:rFonts w:hint="eastAsia"/>
                    </w:rPr>
                    <w:t>人</w:t>
                  </w:r>
                </w:p>
              </w:tc>
              <w:tc>
                <w:tcPr>
                  <w:tcW w:w="512" w:type="pct"/>
                  <w:vMerge w:val="continue"/>
                  <w:vAlign w:val="center"/>
                </w:tcPr>
                <w:p w14:paraId="6C29098E">
                  <w:pPr>
                    <w:pStyle w:val="95"/>
                    <w:spacing w:before="0" w:after="0"/>
                    <w:rPr>
                      <w:b/>
                      <w:bCs/>
                    </w:rPr>
                  </w:pPr>
                </w:p>
              </w:tc>
            </w:tr>
            <w:tr w14:paraId="669E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129C6CDB">
                  <w:pPr>
                    <w:pStyle w:val="95"/>
                    <w:numPr>
                      <w:ilvl w:val="0"/>
                      <w:numId w:val="10"/>
                    </w:numPr>
                    <w:spacing w:before="0" w:after="0"/>
                    <w:rPr>
                      <w:rFonts w:hint="eastAsia"/>
                    </w:rPr>
                  </w:pPr>
                </w:p>
              </w:tc>
              <w:tc>
                <w:tcPr>
                  <w:tcW w:w="524" w:type="pct"/>
                  <w:vAlign w:val="center"/>
                </w:tcPr>
                <w:p w14:paraId="5D70FF11">
                  <w:pPr>
                    <w:pStyle w:val="95"/>
                    <w:spacing w:before="0" w:after="0"/>
                    <w:rPr>
                      <w:b/>
                      <w:bCs/>
                    </w:rPr>
                  </w:pPr>
                  <w:r>
                    <w:rPr>
                      <w:rFonts w:hint="eastAsia"/>
                    </w:rPr>
                    <w:t>茶山居民点</w:t>
                  </w:r>
                </w:p>
              </w:tc>
              <w:tc>
                <w:tcPr>
                  <w:tcW w:w="898" w:type="pct"/>
                  <w:vAlign w:val="center"/>
                </w:tcPr>
                <w:p w14:paraId="64471895">
                  <w:pPr>
                    <w:adjustRightInd w:val="0"/>
                    <w:jc w:val="center"/>
                    <w:rPr>
                      <w:rFonts w:eastAsia="等线"/>
                    </w:rPr>
                  </w:pPr>
                  <w:r>
                    <w:rPr>
                      <w:rFonts w:eastAsia="等线"/>
                    </w:rPr>
                    <w:t>103°07'07.9927"</w:t>
                  </w:r>
                </w:p>
                <w:p w14:paraId="0B9483C1">
                  <w:pPr>
                    <w:pStyle w:val="95"/>
                    <w:spacing w:before="0" w:after="0"/>
                    <w:rPr>
                      <w:rFonts w:hint="eastAsia"/>
                      <w:b/>
                      <w:bCs/>
                    </w:rPr>
                  </w:pPr>
                  <w:r>
                    <w:rPr>
                      <w:rFonts w:eastAsia="等线"/>
                    </w:rPr>
                    <w:t>26°30'38.8877"</w:t>
                  </w:r>
                </w:p>
              </w:tc>
              <w:tc>
                <w:tcPr>
                  <w:tcW w:w="620" w:type="pct"/>
                  <w:vAlign w:val="center"/>
                </w:tcPr>
                <w:p w14:paraId="191419CF">
                  <w:pPr>
                    <w:pStyle w:val="95"/>
                    <w:spacing w:before="0" w:after="0"/>
                    <w:rPr>
                      <w:b/>
                      <w:bCs/>
                    </w:rPr>
                  </w:pPr>
                  <w:r>
                    <w:rPr>
                      <w:rFonts w:hint="eastAsia"/>
                    </w:rPr>
                    <w:t>集电线路西侧2</w:t>
                  </w:r>
                  <w:r>
                    <w:t>40</w:t>
                  </w:r>
                  <w:r>
                    <w:rPr>
                      <w:rFonts w:hint="eastAsia"/>
                    </w:rPr>
                    <w:t>m</w:t>
                  </w:r>
                </w:p>
              </w:tc>
              <w:tc>
                <w:tcPr>
                  <w:tcW w:w="663" w:type="pct"/>
                  <w:vAlign w:val="center"/>
                </w:tcPr>
                <w:p w14:paraId="5217A8FE">
                  <w:pPr>
                    <w:pStyle w:val="95"/>
                    <w:spacing w:before="0" w:after="0"/>
                    <w:rPr>
                      <w:b/>
                      <w:bCs/>
                    </w:rPr>
                  </w:pPr>
                  <w:r>
                    <w:rPr>
                      <w:rFonts w:hint="eastAsia"/>
                    </w:rPr>
                    <w:t>L</w:t>
                  </w:r>
                  <w:r>
                    <w:t>06</w:t>
                  </w:r>
                  <w:r>
                    <w:rPr>
                      <w:rFonts w:hint="eastAsia"/>
                    </w:rPr>
                    <w:t>阵列北侧4</w:t>
                  </w:r>
                  <w:r>
                    <w:t>60</w:t>
                  </w:r>
                  <w:r>
                    <w:rPr>
                      <w:rFonts w:hint="eastAsia"/>
                    </w:rPr>
                    <w:t>m</w:t>
                  </w:r>
                </w:p>
              </w:tc>
              <w:tc>
                <w:tcPr>
                  <w:tcW w:w="470" w:type="pct"/>
                  <w:vAlign w:val="center"/>
                </w:tcPr>
                <w:p w14:paraId="3AB56507">
                  <w:pPr>
                    <w:pStyle w:val="95"/>
                    <w:spacing w:before="0" w:after="0"/>
                  </w:pPr>
                  <w:r>
                    <w:rPr>
                      <w:rFonts w:hint="eastAsia"/>
                    </w:rPr>
                    <w:t>东北侧2</w:t>
                  </w:r>
                  <w:r>
                    <w:t>.3</w:t>
                  </w:r>
                  <w:r>
                    <w:rPr>
                      <w:rFonts w:hint="eastAsia"/>
                    </w:rPr>
                    <w:t>km</w:t>
                  </w:r>
                </w:p>
              </w:tc>
              <w:tc>
                <w:tcPr>
                  <w:tcW w:w="545" w:type="pct"/>
                  <w:vAlign w:val="center"/>
                </w:tcPr>
                <w:p w14:paraId="197A24BD">
                  <w:pPr>
                    <w:pStyle w:val="95"/>
                    <w:spacing w:before="0" w:after="0"/>
                  </w:pPr>
                  <w:r>
                    <w:rPr>
                      <w:rFonts w:hint="eastAsia"/>
                    </w:rPr>
                    <w:t>东北侧4</w:t>
                  </w:r>
                  <w:r>
                    <w:t>50</w:t>
                  </w:r>
                  <w:r>
                    <w:rPr>
                      <w:rFonts w:hint="eastAsia"/>
                    </w:rPr>
                    <w:t>m</w:t>
                  </w:r>
                </w:p>
              </w:tc>
              <w:tc>
                <w:tcPr>
                  <w:tcW w:w="544" w:type="pct"/>
                  <w:vAlign w:val="center"/>
                </w:tcPr>
                <w:p w14:paraId="73FC8E7E">
                  <w:pPr>
                    <w:pStyle w:val="95"/>
                    <w:spacing w:before="0" w:after="0"/>
                    <w:rPr>
                      <w:b/>
                      <w:bCs/>
                    </w:rPr>
                  </w:pPr>
                  <w:r>
                    <w:t>90</w:t>
                  </w:r>
                  <w:r>
                    <w:rPr>
                      <w:rFonts w:hint="eastAsia"/>
                    </w:rPr>
                    <w:t>户，约2</w:t>
                  </w:r>
                  <w:r>
                    <w:t>70</w:t>
                  </w:r>
                  <w:r>
                    <w:rPr>
                      <w:rFonts w:hint="eastAsia"/>
                    </w:rPr>
                    <w:t>人</w:t>
                  </w:r>
                </w:p>
              </w:tc>
              <w:tc>
                <w:tcPr>
                  <w:tcW w:w="512" w:type="pct"/>
                  <w:vMerge w:val="continue"/>
                  <w:vAlign w:val="center"/>
                </w:tcPr>
                <w:p w14:paraId="751BF05D">
                  <w:pPr>
                    <w:pStyle w:val="95"/>
                    <w:spacing w:before="0" w:after="0"/>
                    <w:rPr>
                      <w:b/>
                      <w:bCs/>
                    </w:rPr>
                  </w:pPr>
                </w:p>
              </w:tc>
            </w:tr>
            <w:tr w14:paraId="2011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57AE5782">
                  <w:pPr>
                    <w:pStyle w:val="95"/>
                    <w:numPr>
                      <w:ilvl w:val="0"/>
                      <w:numId w:val="10"/>
                    </w:numPr>
                    <w:spacing w:before="0" w:after="0"/>
                    <w:rPr>
                      <w:rFonts w:hint="eastAsia"/>
                    </w:rPr>
                  </w:pPr>
                </w:p>
              </w:tc>
              <w:tc>
                <w:tcPr>
                  <w:tcW w:w="524" w:type="pct"/>
                  <w:vAlign w:val="center"/>
                </w:tcPr>
                <w:p w14:paraId="4E132E7B">
                  <w:pPr>
                    <w:pStyle w:val="95"/>
                    <w:spacing w:before="0" w:after="0"/>
                    <w:rPr>
                      <w:b/>
                      <w:bCs/>
                    </w:rPr>
                  </w:pPr>
                  <w:r>
                    <w:rPr>
                      <w:rFonts w:hint="eastAsia"/>
                    </w:rPr>
                    <w:t>大龙潭居民点</w:t>
                  </w:r>
                </w:p>
              </w:tc>
              <w:tc>
                <w:tcPr>
                  <w:tcW w:w="898" w:type="pct"/>
                  <w:vAlign w:val="center"/>
                </w:tcPr>
                <w:p w14:paraId="2DA39177">
                  <w:pPr>
                    <w:pStyle w:val="95"/>
                    <w:spacing w:before="0" w:after="0"/>
                  </w:pPr>
                  <w:r>
                    <w:t>103°06'49.0286"</w:t>
                  </w:r>
                </w:p>
                <w:p w14:paraId="12979DEE">
                  <w:pPr>
                    <w:pStyle w:val="95"/>
                    <w:spacing w:before="0" w:after="0"/>
                    <w:rPr>
                      <w:rFonts w:hint="eastAsia"/>
                      <w:b/>
                      <w:bCs/>
                    </w:rPr>
                  </w:pPr>
                  <w:r>
                    <w:t>26°30'24.6296"</w:t>
                  </w:r>
                </w:p>
              </w:tc>
              <w:tc>
                <w:tcPr>
                  <w:tcW w:w="620" w:type="pct"/>
                  <w:vAlign w:val="center"/>
                </w:tcPr>
                <w:p w14:paraId="5BEC406D">
                  <w:pPr>
                    <w:pStyle w:val="95"/>
                    <w:spacing w:before="0" w:after="0"/>
                    <w:rPr>
                      <w:b/>
                      <w:bCs/>
                    </w:rPr>
                  </w:pPr>
                  <w:r>
                    <w:rPr>
                      <w:rFonts w:hint="eastAsia"/>
                    </w:rPr>
                    <w:t>集电线路东南侧1</w:t>
                  </w:r>
                  <w:r>
                    <w:t>80</w:t>
                  </w:r>
                  <w:r>
                    <w:rPr>
                      <w:rFonts w:hint="eastAsia"/>
                    </w:rPr>
                    <w:t>m</w:t>
                  </w:r>
                </w:p>
              </w:tc>
              <w:tc>
                <w:tcPr>
                  <w:tcW w:w="663" w:type="pct"/>
                  <w:vAlign w:val="center"/>
                </w:tcPr>
                <w:p w14:paraId="612316F4">
                  <w:pPr>
                    <w:pStyle w:val="95"/>
                    <w:spacing w:before="0" w:after="0"/>
                    <w:rPr>
                      <w:b/>
                      <w:bCs/>
                    </w:rPr>
                  </w:pPr>
                  <w:r>
                    <w:rPr>
                      <w:rFonts w:hint="eastAsia"/>
                    </w:rPr>
                    <w:t>L</w:t>
                  </w:r>
                  <w:r>
                    <w:t>05</w:t>
                  </w:r>
                  <w:r>
                    <w:rPr>
                      <w:rFonts w:hint="eastAsia"/>
                    </w:rPr>
                    <w:t>阵列北侧</w:t>
                  </w:r>
                  <w:r>
                    <w:t>50</w:t>
                  </w:r>
                  <w:r>
                    <w:rPr>
                      <w:rFonts w:hint="eastAsia"/>
                    </w:rPr>
                    <w:t>m</w:t>
                  </w:r>
                </w:p>
              </w:tc>
              <w:tc>
                <w:tcPr>
                  <w:tcW w:w="470" w:type="pct"/>
                  <w:vAlign w:val="center"/>
                </w:tcPr>
                <w:p w14:paraId="48AA21BD">
                  <w:pPr>
                    <w:pStyle w:val="95"/>
                    <w:spacing w:before="0" w:after="0"/>
                  </w:pPr>
                  <w:r>
                    <w:rPr>
                      <w:rFonts w:hint="eastAsia"/>
                    </w:rPr>
                    <w:t>东侧1</w:t>
                  </w:r>
                  <w:r>
                    <w:t>.6</w:t>
                  </w:r>
                  <w:r>
                    <w:rPr>
                      <w:rFonts w:hint="eastAsia"/>
                    </w:rPr>
                    <w:t>km</w:t>
                  </w:r>
                </w:p>
              </w:tc>
              <w:tc>
                <w:tcPr>
                  <w:tcW w:w="545" w:type="pct"/>
                  <w:vAlign w:val="center"/>
                </w:tcPr>
                <w:p w14:paraId="4266EFA2">
                  <w:pPr>
                    <w:pStyle w:val="95"/>
                    <w:spacing w:before="0" w:after="0"/>
                  </w:pPr>
                  <w:r>
                    <w:rPr>
                      <w:rFonts w:hint="eastAsia"/>
                    </w:rPr>
                    <w:t>西北侧6</w:t>
                  </w:r>
                  <w:r>
                    <w:t>0</w:t>
                  </w:r>
                  <w:r>
                    <w:rPr>
                      <w:rFonts w:hint="eastAsia"/>
                    </w:rPr>
                    <w:t>m</w:t>
                  </w:r>
                </w:p>
              </w:tc>
              <w:tc>
                <w:tcPr>
                  <w:tcW w:w="544" w:type="pct"/>
                  <w:vAlign w:val="center"/>
                </w:tcPr>
                <w:p w14:paraId="4C3E9941">
                  <w:pPr>
                    <w:pStyle w:val="95"/>
                    <w:spacing w:before="0" w:after="0"/>
                    <w:rPr>
                      <w:b/>
                      <w:bCs/>
                    </w:rPr>
                  </w:pPr>
                  <w:r>
                    <w:t>30</w:t>
                  </w:r>
                  <w:r>
                    <w:rPr>
                      <w:rFonts w:hint="eastAsia"/>
                    </w:rPr>
                    <w:t>户，约9</w:t>
                  </w:r>
                  <w:r>
                    <w:t>0</w:t>
                  </w:r>
                  <w:r>
                    <w:rPr>
                      <w:rFonts w:hint="eastAsia"/>
                    </w:rPr>
                    <w:t>人</w:t>
                  </w:r>
                </w:p>
              </w:tc>
              <w:tc>
                <w:tcPr>
                  <w:tcW w:w="512" w:type="pct"/>
                  <w:vMerge w:val="continue"/>
                  <w:vAlign w:val="center"/>
                </w:tcPr>
                <w:p w14:paraId="00241770">
                  <w:pPr>
                    <w:pStyle w:val="95"/>
                    <w:spacing w:before="0" w:after="0"/>
                    <w:rPr>
                      <w:b/>
                      <w:bCs/>
                    </w:rPr>
                  </w:pPr>
                </w:p>
              </w:tc>
            </w:tr>
            <w:tr w14:paraId="34F6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430BBAB3">
                  <w:pPr>
                    <w:pStyle w:val="95"/>
                    <w:numPr>
                      <w:ilvl w:val="0"/>
                      <w:numId w:val="10"/>
                    </w:numPr>
                    <w:spacing w:before="0" w:after="0"/>
                    <w:rPr>
                      <w:rFonts w:hint="eastAsia"/>
                    </w:rPr>
                  </w:pPr>
                </w:p>
              </w:tc>
              <w:tc>
                <w:tcPr>
                  <w:tcW w:w="524" w:type="pct"/>
                  <w:vAlign w:val="center"/>
                </w:tcPr>
                <w:p w14:paraId="2613E307">
                  <w:pPr>
                    <w:pStyle w:val="95"/>
                    <w:spacing w:before="0" w:after="0"/>
                    <w:rPr>
                      <w:b/>
                      <w:bCs/>
                    </w:rPr>
                  </w:pPr>
                  <w:r>
                    <w:rPr>
                      <w:rFonts w:hint="eastAsia"/>
                    </w:rPr>
                    <w:t>田尾坝居民点</w:t>
                  </w:r>
                </w:p>
              </w:tc>
              <w:tc>
                <w:tcPr>
                  <w:tcW w:w="898" w:type="pct"/>
                  <w:vAlign w:val="center"/>
                </w:tcPr>
                <w:p w14:paraId="487F3B0F">
                  <w:pPr>
                    <w:pStyle w:val="95"/>
                    <w:spacing w:before="0" w:after="0"/>
                  </w:pPr>
                  <w:r>
                    <w:t>103°06'13.1536"</w:t>
                  </w:r>
                </w:p>
                <w:p w14:paraId="1D596AB7">
                  <w:pPr>
                    <w:pStyle w:val="95"/>
                    <w:spacing w:before="0" w:after="0"/>
                    <w:rPr>
                      <w:rFonts w:hint="eastAsia"/>
                      <w:b/>
                      <w:bCs/>
                    </w:rPr>
                  </w:pPr>
                  <w:r>
                    <w:t>26°29'33.7411"</w:t>
                  </w:r>
                </w:p>
              </w:tc>
              <w:tc>
                <w:tcPr>
                  <w:tcW w:w="620" w:type="pct"/>
                  <w:vAlign w:val="center"/>
                </w:tcPr>
                <w:p w14:paraId="1C57BCF2">
                  <w:pPr>
                    <w:pStyle w:val="95"/>
                    <w:spacing w:before="0" w:after="0"/>
                    <w:rPr>
                      <w:b/>
                      <w:bCs/>
                    </w:rPr>
                  </w:pPr>
                  <w:r>
                    <w:rPr>
                      <w:rFonts w:hint="eastAsia"/>
                    </w:rPr>
                    <w:t>集电线路南侧3</w:t>
                  </w:r>
                  <w:r>
                    <w:t>0</w:t>
                  </w:r>
                  <w:r>
                    <w:rPr>
                      <w:rFonts w:hint="eastAsia"/>
                    </w:rPr>
                    <w:t>m</w:t>
                  </w:r>
                </w:p>
              </w:tc>
              <w:tc>
                <w:tcPr>
                  <w:tcW w:w="663" w:type="pct"/>
                  <w:vAlign w:val="center"/>
                </w:tcPr>
                <w:p w14:paraId="538C8B7B">
                  <w:pPr>
                    <w:pStyle w:val="95"/>
                    <w:spacing w:before="0" w:after="0"/>
                    <w:rPr>
                      <w:b/>
                      <w:bCs/>
                    </w:rPr>
                  </w:pPr>
                  <w:r>
                    <w:rPr>
                      <w:rFonts w:hint="eastAsia"/>
                    </w:rPr>
                    <w:t>L</w:t>
                  </w:r>
                  <w:r>
                    <w:t>21</w:t>
                  </w:r>
                  <w:r>
                    <w:rPr>
                      <w:rFonts w:hint="eastAsia"/>
                    </w:rPr>
                    <w:t>阵列东北侧</w:t>
                  </w:r>
                  <w:r>
                    <w:t>10</w:t>
                  </w:r>
                  <w:r>
                    <w:rPr>
                      <w:rFonts w:hint="eastAsia"/>
                    </w:rPr>
                    <w:t>m</w:t>
                  </w:r>
                </w:p>
              </w:tc>
              <w:tc>
                <w:tcPr>
                  <w:tcW w:w="470" w:type="pct"/>
                  <w:vAlign w:val="center"/>
                </w:tcPr>
                <w:p w14:paraId="2680A685">
                  <w:pPr>
                    <w:pStyle w:val="95"/>
                    <w:spacing w:before="0" w:after="0"/>
                  </w:pPr>
                  <w:r>
                    <w:rPr>
                      <w:rFonts w:hint="eastAsia"/>
                    </w:rPr>
                    <w:t>东南侧1</w:t>
                  </w:r>
                  <w:r>
                    <w:t>.5</w:t>
                  </w:r>
                  <w:r>
                    <w:rPr>
                      <w:rFonts w:hint="eastAsia"/>
                    </w:rPr>
                    <w:t>km</w:t>
                  </w:r>
                </w:p>
              </w:tc>
              <w:tc>
                <w:tcPr>
                  <w:tcW w:w="545" w:type="pct"/>
                  <w:vAlign w:val="center"/>
                </w:tcPr>
                <w:p w14:paraId="5444BF1A">
                  <w:pPr>
                    <w:pStyle w:val="95"/>
                    <w:spacing w:before="0" w:after="0"/>
                  </w:pPr>
                  <w:r>
                    <w:rPr>
                      <w:rFonts w:hint="eastAsia"/>
                    </w:rPr>
                    <w:t>东北侧9</w:t>
                  </w:r>
                  <w:r>
                    <w:t>0</w:t>
                  </w:r>
                  <w:r>
                    <w:rPr>
                      <w:rFonts w:hint="eastAsia"/>
                    </w:rPr>
                    <w:t>m</w:t>
                  </w:r>
                </w:p>
              </w:tc>
              <w:tc>
                <w:tcPr>
                  <w:tcW w:w="544" w:type="pct"/>
                  <w:vAlign w:val="center"/>
                </w:tcPr>
                <w:p w14:paraId="5D37496F">
                  <w:pPr>
                    <w:pStyle w:val="95"/>
                    <w:spacing w:before="0" w:after="0"/>
                    <w:rPr>
                      <w:b/>
                      <w:bCs/>
                    </w:rPr>
                  </w:pPr>
                  <w:r>
                    <w:t>40</w:t>
                  </w:r>
                  <w:r>
                    <w:rPr>
                      <w:rFonts w:hint="eastAsia"/>
                    </w:rPr>
                    <w:t>户，约1</w:t>
                  </w:r>
                  <w:r>
                    <w:t>20</w:t>
                  </w:r>
                  <w:r>
                    <w:rPr>
                      <w:rFonts w:hint="eastAsia"/>
                    </w:rPr>
                    <w:t>人</w:t>
                  </w:r>
                </w:p>
              </w:tc>
              <w:tc>
                <w:tcPr>
                  <w:tcW w:w="512" w:type="pct"/>
                  <w:vMerge w:val="continue"/>
                  <w:vAlign w:val="center"/>
                </w:tcPr>
                <w:p w14:paraId="056FCEB1">
                  <w:pPr>
                    <w:pStyle w:val="95"/>
                    <w:spacing w:before="0" w:after="0"/>
                    <w:rPr>
                      <w:b/>
                      <w:bCs/>
                    </w:rPr>
                  </w:pPr>
                </w:p>
              </w:tc>
            </w:tr>
            <w:tr w14:paraId="686A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01426512">
                  <w:pPr>
                    <w:pStyle w:val="95"/>
                    <w:numPr>
                      <w:ilvl w:val="0"/>
                      <w:numId w:val="10"/>
                    </w:numPr>
                    <w:spacing w:before="0" w:after="0"/>
                    <w:rPr>
                      <w:rFonts w:hint="eastAsia"/>
                    </w:rPr>
                  </w:pPr>
                </w:p>
              </w:tc>
              <w:tc>
                <w:tcPr>
                  <w:tcW w:w="524" w:type="pct"/>
                  <w:vAlign w:val="center"/>
                </w:tcPr>
                <w:p w14:paraId="265663C4">
                  <w:pPr>
                    <w:pStyle w:val="95"/>
                    <w:spacing w:before="0" w:after="0"/>
                    <w:rPr>
                      <w:b/>
                      <w:bCs/>
                    </w:rPr>
                  </w:pPr>
                  <w:r>
                    <w:rPr>
                      <w:rFonts w:hint="eastAsia"/>
                    </w:rPr>
                    <w:t>大水塘居民点</w:t>
                  </w:r>
                </w:p>
              </w:tc>
              <w:tc>
                <w:tcPr>
                  <w:tcW w:w="898" w:type="pct"/>
                  <w:vAlign w:val="center"/>
                </w:tcPr>
                <w:p w14:paraId="6CF6F525">
                  <w:pPr>
                    <w:pStyle w:val="95"/>
                    <w:spacing w:before="0" w:after="0"/>
                  </w:pPr>
                  <w:r>
                    <w:t>103°06'23.9164"</w:t>
                  </w:r>
                </w:p>
                <w:p w14:paraId="19AA79AD">
                  <w:pPr>
                    <w:pStyle w:val="95"/>
                    <w:spacing w:before="0" w:after="0"/>
                    <w:rPr>
                      <w:rFonts w:hint="eastAsia"/>
                      <w:b/>
                      <w:bCs/>
                    </w:rPr>
                  </w:pPr>
                  <w:r>
                    <w:t>26°30'01.2463"</w:t>
                  </w:r>
                </w:p>
              </w:tc>
              <w:tc>
                <w:tcPr>
                  <w:tcW w:w="620" w:type="pct"/>
                  <w:vAlign w:val="center"/>
                </w:tcPr>
                <w:p w14:paraId="6365F925">
                  <w:pPr>
                    <w:pStyle w:val="95"/>
                    <w:spacing w:before="0" w:after="0"/>
                    <w:rPr>
                      <w:b/>
                      <w:bCs/>
                    </w:rPr>
                  </w:pPr>
                  <w:r>
                    <w:rPr>
                      <w:rFonts w:hint="eastAsia"/>
                    </w:rPr>
                    <w:t>集电线路南侧4</w:t>
                  </w:r>
                  <w:r>
                    <w:t>00</w:t>
                  </w:r>
                  <w:r>
                    <w:rPr>
                      <w:rFonts w:hint="eastAsia"/>
                    </w:rPr>
                    <w:t>m</w:t>
                  </w:r>
                </w:p>
              </w:tc>
              <w:tc>
                <w:tcPr>
                  <w:tcW w:w="663" w:type="pct"/>
                  <w:vAlign w:val="center"/>
                </w:tcPr>
                <w:p w14:paraId="7B6AAEDB">
                  <w:pPr>
                    <w:pStyle w:val="95"/>
                    <w:spacing w:before="0" w:after="0"/>
                    <w:rPr>
                      <w:b/>
                      <w:bCs/>
                    </w:rPr>
                  </w:pPr>
                  <w:r>
                    <w:rPr>
                      <w:rFonts w:hint="eastAsia"/>
                    </w:rPr>
                    <w:t>L</w:t>
                  </w:r>
                  <w:r>
                    <w:t>19</w:t>
                  </w:r>
                  <w:r>
                    <w:rPr>
                      <w:rFonts w:hint="eastAsia"/>
                    </w:rPr>
                    <w:t>阵列北侧2</w:t>
                  </w:r>
                  <w:r>
                    <w:t>00</w:t>
                  </w:r>
                  <w:r>
                    <w:rPr>
                      <w:rFonts w:hint="eastAsia"/>
                    </w:rPr>
                    <w:t>m</w:t>
                  </w:r>
                </w:p>
              </w:tc>
              <w:tc>
                <w:tcPr>
                  <w:tcW w:w="470" w:type="pct"/>
                  <w:vAlign w:val="center"/>
                </w:tcPr>
                <w:p w14:paraId="69570FAB">
                  <w:pPr>
                    <w:pStyle w:val="95"/>
                    <w:spacing w:before="0" w:after="0"/>
                    <w:rPr>
                      <w:rFonts w:hint="eastAsia"/>
                    </w:rPr>
                  </w:pPr>
                  <w:r>
                    <w:rPr>
                      <w:rFonts w:hint="eastAsia"/>
                    </w:rPr>
                    <w:t>东南侧1</w:t>
                  </w:r>
                  <w:r>
                    <w:t>.2</w:t>
                  </w:r>
                  <w:r>
                    <w:rPr>
                      <w:rFonts w:hint="eastAsia"/>
                    </w:rPr>
                    <w:t>km</w:t>
                  </w:r>
                </w:p>
              </w:tc>
              <w:tc>
                <w:tcPr>
                  <w:tcW w:w="545" w:type="pct"/>
                  <w:vAlign w:val="center"/>
                </w:tcPr>
                <w:p w14:paraId="71FB8EFC">
                  <w:pPr>
                    <w:pStyle w:val="95"/>
                    <w:spacing w:before="0" w:after="0"/>
                    <w:rPr>
                      <w:rFonts w:hint="eastAsia"/>
                    </w:rPr>
                  </w:pPr>
                  <w:r>
                    <w:rPr>
                      <w:rFonts w:hint="eastAsia"/>
                    </w:rPr>
                    <w:t>东南侧3</w:t>
                  </w:r>
                  <w:r>
                    <w:t>70</w:t>
                  </w:r>
                  <w:r>
                    <w:rPr>
                      <w:rFonts w:hint="eastAsia"/>
                    </w:rPr>
                    <w:t>m</w:t>
                  </w:r>
                </w:p>
              </w:tc>
              <w:tc>
                <w:tcPr>
                  <w:tcW w:w="544" w:type="pct"/>
                  <w:vAlign w:val="center"/>
                </w:tcPr>
                <w:p w14:paraId="5DA1B2F5">
                  <w:pPr>
                    <w:pStyle w:val="95"/>
                    <w:spacing w:before="0" w:after="0"/>
                    <w:rPr>
                      <w:b/>
                      <w:bCs/>
                    </w:rPr>
                  </w:pPr>
                  <w:r>
                    <w:rPr>
                      <w:rFonts w:hint="eastAsia"/>
                    </w:rPr>
                    <w:t>2</w:t>
                  </w:r>
                  <w:r>
                    <w:t>0</w:t>
                  </w:r>
                  <w:r>
                    <w:rPr>
                      <w:rFonts w:hint="eastAsia"/>
                    </w:rPr>
                    <w:t>户，约6</w:t>
                  </w:r>
                  <w:r>
                    <w:t>0</w:t>
                  </w:r>
                  <w:r>
                    <w:rPr>
                      <w:rFonts w:hint="eastAsia"/>
                    </w:rPr>
                    <w:t>人</w:t>
                  </w:r>
                </w:p>
              </w:tc>
              <w:tc>
                <w:tcPr>
                  <w:tcW w:w="512" w:type="pct"/>
                  <w:vMerge w:val="continue"/>
                  <w:vAlign w:val="center"/>
                </w:tcPr>
                <w:p w14:paraId="2B0E23A9">
                  <w:pPr>
                    <w:pStyle w:val="95"/>
                    <w:spacing w:before="0" w:after="0"/>
                    <w:rPr>
                      <w:b/>
                      <w:bCs/>
                    </w:rPr>
                  </w:pPr>
                </w:p>
              </w:tc>
            </w:tr>
            <w:tr w14:paraId="4B23E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3E271DE0">
                  <w:pPr>
                    <w:pStyle w:val="95"/>
                    <w:numPr>
                      <w:ilvl w:val="0"/>
                      <w:numId w:val="10"/>
                    </w:numPr>
                    <w:spacing w:before="0" w:after="0"/>
                    <w:rPr>
                      <w:rFonts w:hint="eastAsia"/>
                    </w:rPr>
                  </w:pPr>
                </w:p>
              </w:tc>
              <w:tc>
                <w:tcPr>
                  <w:tcW w:w="524" w:type="pct"/>
                  <w:vAlign w:val="center"/>
                </w:tcPr>
                <w:p w14:paraId="3831C4AC">
                  <w:pPr>
                    <w:pStyle w:val="95"/>
                    <w:spacing w:before="0" w:after="0"/>
                    <w:rPr>
                      <w:b/>
                      <w:bCs/>
                    </w:rPr>
                  </w:pPr>
                  <w:r>
                    <w:rPr>
                      <w:rFonts w:hint="eastAsia"/>
                    </w:rPr>
                    <w:t>盐水沟居民点</w:t>
                  </w:r>
                </w:p>
              </w:tc>
              <w:tc>
                <w:tcPr>
                  <w:tcW w:w="898" w:type="pct"/>
                  <w:vAlign w:val="center"/>
                </w:tcPr>
                <w:p w14:paraId="08CBE1B0">
                  <w:pPr>
                    <w:pStyle w:val="95"/>
                    <w:spacing w:before="0" w:after="0"/>
                  </w:pPr>
                  <w:r>
                    <w:t>103°05'57.7915"</w:t>
                  </w:r>
                </w:p>
                <w:p w14:paraId="4CA6BABC">
                  <w:pPr>
                    <w:pStyle w:val="95"/>
                    <w:spacing w:before="0" w:after="0"/>
                    <w:rPr>
                      <w:rFonts w:hint="eastAsia"/>
                      <w:b/>
                      <w:bCs/>
                    </w:rPr>
                  </w:pPr>
                  <w:r>
                    <w:t>26°29'54.6838"</w:t>
                  </w:r>
                </w:p>
              </w:tc>
              <w:tc>
                <w:tcPr>
                  <w:tcW w:w="620" w:type="pct"/>
                  <w:vAlign w:val="center"/>
                </w:tcPr>
                <w:p w14:paraId="494659D8">
                  <w:pPr>
                    <w:pStyle w:val="95"/>
                    <w:spacing w:before="0" w:after="0"/>
                    <w:rPr>
                      <w:b/>
                      <w:bCs/>
                    </w:rPr>
                  </w:pPr>
                  <w:r>
                    <w:rPr>
                      <w:rFonts w:hint="eastAsia"/>
                    </w:rPr>
                    <w:t>集电线路西南侧</w:t>
                  </w:r>
                  <w:r>
                    <w:t>90</w:t>
                  </w:r>
                  <w:r>
                    <w:rPr>
                      <w:rFonts w:hint="eastAsia"/>
                    </w:rPr>
                    <w:t>m</w:t>
                  </w:r>
                </w:p>
              </w:tc>
              <w:tc>
                <w:tcPr>
                  <w:tcW w:w="663" w:type="pct"/>
                  <w:vAlign w:val="center"/>
                </w:tcPr>
                <w:p w14:paraId="48C01915">
                  <w:pPr>
                    <w:pStyle w:val="95"/>
                    <w:spacing w:before="0" w:after="0"/>
                    <w:rPr>
                      <w:b/>
                      <w:bCs/>
                    </w:rPr>
                  </w:pPr>
                  <w:r>
                    <w:rPr>
                      <w:rFonts w:hint="eastAsia"/>
                    </w:rPr>
                    <w:t>L</w:t>
                  </w:r>
                  <w:r>
                    <w:t>04</w:t>
                  </w:r>
                  <w:r>
                    <w:rPr>
                      <w:rFonts w:hint="eastAsia"/>
                    </w:rPr>
                    <w:t>阵列南侧约6</w:t>
                  </w:r>
                  <w:r>
                    <w:t>0</w:t>
                  </w:r>
                  <w:r>
                    <w:rPr>
                      <w:rFonts w:hint="eastAsia"/>
                    </w:rPr>
                    <w:t>m</w:t>
                  </w:r>
                </w:p>
              </w:tc>
              <w:tc>
                <w:tcPr>
                  <w:tcW w:w="470" w:type="pct"/>
                  <w:vAlign w:val="center"/>
                </w:tcPr>
                <w:p w14:paraId="1A5229BD">
                  <w:pPr>
                    <w:pStyle w:val="95"/>
                    <w:spacing w:before="0" w:after="0"/>
                  </w:pPr>
                  <w:r>
                    <w:rPr>
                      <w:rFonts w:hint="eastAsia"/>
                    </w:rPr>
                    <w:t>东南侧</w:t>
                  </w:r>
                  <w:r>
                    <w:t>20</w:t>
                  </w:r>
                  <w:r>
                    <w:rPr>
                      <w:rFonts w:hint="eastAsia"/>
                    </w:rPr>
                    <w:t>m</w:t>
                  </w:r>
                </w:p>
              </w:tc>
              <w:tc>
                <w:tcPr>
                  <w:tcW w:w="545" w:type="pct"/>
                  <w:vAlign w:val="center"/>
                </w:tcPr>
                <w:p w14:paraId="2E42F109">
                  <w:pPr>
                    <w:pStyle w:val="95"/>
                    <w:spacing w:before="0" w:after="0"/>
                  </w:pPr>
                  <w:r>
                    <w:rPr>
                      <w:rFonts w:hint="eastAsia"/>
                    </w:rPr>
                    <w:t>西侧3</w:t>
                  </w:r>
                  <w:r>
                    <w:t>00</w:t>
                  </w:r>
                  <w:r>
                    <w:rPr>
                      <w:rFonts w:hint="eastAsia"/>
                    </w:rPr>
                    <w:t>m</w:t>
                  </w:r>
                </w:p>
              </w:tc>
              <w:tc>
                <w:tcPr>
                  <w:tcW w:w="544" w:type="pct"/>
                  <w:vAlign w:val="center"/>
                </w:tcPr>
                <w:p w14:paraId="1F3285C4">
                  <w:pPr>
                    <w:pStyle w:val="95"/>
                    <w:spacing w:before="0" w:after="0"/>
                    <w:rPr>
                      <w:b/>
                      <w:bCs/>
                    </w:rPr>
                  </w:pPr>
                  <w:r>
                    <w:t>40</w:t>
                  </w:r>
                  <w:r>
                    <w:rPr>
                      <w:rFonts w:hint="eastAsia"/>
                    </w:rPr>
                    <w:t>户，约1</w:t>
                  </w:r>
                  <w:r>
                    <w:t>20</w:t>
                  </w:r>
                  <w:r>
                    <w:rPr>
                      <w:rFonts w:hint="eastAsia"/>
                    </w:rPr>
                    <w:t>人</w:t>
                  </w:r>
                </w:p>
              </w:tc>
              <w:tc>
                <w:tcPr>
                  <w:tcW w:w="512" w:type="pct"/>
                  <w:vMerge w:val="continue"/>
                  <w:vAlign w:val="center"/>
                </w:tcPr>
                <w:p w14:paraId="557F61A6">
                  <w:pPr>
                    <w:pStyle w:val="95"/>
                    <w:spacing w:before="0" w:after="0"/>
                    <w:rPr>
                      <w:b/>
                      <w:bCs/>
                    </w:rPr>
                  </w:pPr>
                </w:p>
              </w:tc>
            </w:tr>
            <w:tr w14:paraId="2DFC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0604BE46">
                  <w:pPr>
                    <w:pStyle w:val="95"/>
                    <w:numPr>
                      <w:ilvl w:val="0"/>
                      <w:numId w:val="10"/>
                    </w:numPr>
                    <w:spacing w:before="0" w:after="0"/>
                    <w:rPr>
                      <w:rFonts w:hint="eastAsia"/>
                    </w:rPr>
                  </w:pPr>
                </w:p>
              </w:tc>
              <w:tc>
                <w:tcPr>
                  <w:tcW w:w="524" w:type="pct"/>
                  <w:vAlign w:val="center"/>
                </w:tcPr>
                <w:p w14:paraId="7CA70CF5">
                  <w:pPr>
                    <w:pStyle w:val="95"/>
                    <w:spacing w:before="0" w:after="0"/>
                    <w:rPr>
                      <w:b/>
                      <w:bCs/>
                    </w:rPr>
                  </w:pPr>
                  <w:r>
                    <w:rPr>
                      <w:rFonts w:hint="eastAsia"/>
                    </w:rPr>
                    <w:t>绿坪村居民点</w:t>
                  </w:r>
                </w:p>
              </w:tc>
              <w:tc>
                <w:tcPr>
                  <w:tcW w:w="898" w:type="pct"/>
                  <w:vAlign w:val="center"/>
                </w:tcPr>
                <w:p w14:paraId="477C6DBE">
                  <w:pPr>
                    <w:pStyle w:val="95"/>
                    <w:spacing w:before="0" w:after="0"/>
                  </w:pPr>
                  <w:r>
                    <w:t>103°05'45.8835"</w:t>
                  </w:r>
                </w:p>
                <w:p w14:paraId="55DCC5DE">
                  <w:pPr>
                    <w:pStyle w:val="95"/>
                    <w:spacing w:before="0" w:after="0"/>
                    <w:rPr>
                      <w:rFonts w:hint="eastAsia"/>
                      <w:b/>
                      <w:bCs/>
                    </w:rPr>
                  </w:pPr>
                  <w:r>
                    <w:t>26°28'54.3429"</w:t>
                  </w:r>
                </w:p>
              </w:tc>
              <w:tc>
                <w:tcPr>
                  <w:tcW w:w="620" w:type="pct"/>
                  <w:vAlign w:val="center"/>
                </w:tcPr>
                <w:p w14:paraId="7344C3A1">
                  <w:pPr>
                    <w:pStyle w:val="95"/>
                    <w:spacing w:before="0" w:after="0"/>
                    <w:rPr>
                      <w:b/>
                      <w:bCs/>
                    </w:rPr>
                  </w:pPr>
                  <w:r>
                    <w:rPr>
                      <w:rFonts w:hint="eastAsia"/>
                    </w:rPr>
                    <w:t>集电线路东侧1</w:t>
                  </w:r>
                  <w:r>
                    <w:t>20</w:t>
                  </w:r>
                  <w:r>
                    <w:rPr>
                      <w:rFonts w:hint="eastAsia"/>
                    </w:rPr>
                    <w:t>m</w:t>
                  </w:r>
                </w:p>
              </w:tc>
              <w:tc>
                <w:tcPr>
                  <w:tcW w:w="663" w:type="pct"/>
                  <w:vAlign w:val="center"/>
                </w:tcPr>
                <w:p w14:paraId="6C2F552F">
                  <w:pPr>
                    <w:pStyle w:val="95"/>
                    <w:spacing w:before="0" w:after="0"/>
                    <w:rPr>
                      <w:b/>
                      <w:bCs/>
                    </w:rPr>
                  </w:pPr>
                  <w:r>
                    <w:rPr>
                      <w:rFonts w:hint="eastAsia"/>
                    </w:rPr>
                    <w:t>L</w:t>
                  </w:r>
                  <w:r>
                    <w:t>07</w:t>
                  </w:r>
                  <w:r>
                    <w:rPr>
                      <w:rFonts w:hint="eastAsia"/>
                    </w:rPr>
                    <w:t>阵列南侧1</w:t>
                  </w:r>
                  <w:r>
                    <w:t>50</w:t>
                  </w:r>
                  <w:r>
                    <w:rPr>
                      <w:rFonts w:hint="eastAsia"/>
                    </w:rPr>
                    <w:t>m</w:t>
                  </w:r>
                </w:p>
              </w:tc>
              <w:tc>
                <w:tcPr>
                  <w:tcW w:w="470" w:type="pct"/>
                  <w:vAlign w:val="center"/>
                </w:tcPr>
                <w:p w14:paraId="13B6B003">
                  <w:pPr>
                    <w:pStyle w:val="95"/>
                    <w:spacing w:before="0" w:after="0"/>
                  </w:pPr>
                  <w:r>
                    <w:rPr>
                      <w:rFonts w:hint="eastAsia"/>
                    </w:rPr>
                    <w:t>南侧2</w:t>
                  </w:r>
                  <w:r>
                    <w:t>.6</w:t>
                  </w:r>
                  <w:r>
                    <w:rPr>
                      <w:rFonts w:hint="eastAsia"/>
                    </w:rPr>
                    <w:t>km</w:t>
                  </w:r>
                </w:p>
              </w:tc>
              <w:tc>
                <w:tcPr>
                  <w:tcW w:w="545" w:type="pct"/>
                  <w:vAlign w:val="center"/>
                </w:tcPr>
                <w:p w14:paraId="6DD853DD">
                  <w:pPr>
                    <w:pStyle w:val="95"/>
                    <w:spacing w:before="0" w:after="0"/>
                  </w:pPr>
                  <w:r>
                    <w:rPr>
                      <w:rFonts w:hint="eastAsia"/>
                    </w:rPr>
                    <w:t>南侧4</w:t>
                  </w:r>
                  <w:r>
                    <w:t>40</w:t>
                  </w:r>
                  <w:r>
                    <w:rPr>
                      <w:rFonts w:hint="eastAsia"/>
                    </w:rPr>
                    <w:t>m</w:t>
                  </w:r>
                </w:p>
              </w:tc>
              <w:tc>
                <w:tcPr>
                  <w:tcW w:w="544" w:type="pct"/>
                  <w:vAlign w:val="center"/>
                </w:tcPr>
                <w:p w14:paraId="0AFF07B9">
                  <w:pPr>
                    <w:pStyle w:val="95"/>
                    <w:spacing w:before="0" w:after="0"/>
                    <w:rPr>
                      <w:b/>
                      <w:bCs/>
                    </w:rPr>
                  </w:pPr>
                  <w:r>
                    <w:t>40</w:t>
                  </w:r>
                  <w:r>
                    <w:rPr>
                      <w:rFonts w:hint="eastAsia"/>
                    </w:rPr>
                    <w:t>户，约1</w:t>
                  </w:r>
                  <w:r>
                    <w:t>20</w:t>
                  </w:r>
                  <w:r>
                    <w:rPr>
                      <w:rFonts w:hint="eastAsia"/>
                    </w:rPr>
                    <w:t>人</w:t>
                  </w:r>
                </w:p>
              </w:tc>
              <w:tc>
                <w:tcPr>
                  <w:tcW w:w="512" w:type="pct"/>
                  <w:vMerge w:val="continue"/>
                  <w:vAlign w:val="center"/>
                </w:tcPr>
                <w:p w14:paraId="5226CD60">
                  <w:pPr>
                    <w:pStyle w:val="95"/>
                    <w:spacing w:before="0" w:after="0"/>
                    <w:rPr>
                      <w:b/>
                      <w:bCs/>
                    </w:rPr>
                  </w:pPr>
                </w:p>
              </w:tc>
            </w:tr>
            <w:tr w14:paraId="42FA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6AB5569D">
                  <w:pPr>
                    <w:pStyle w:val="95"/>
                    <w:numPr>
                      <w:ilvl w:val="0"/>
                      <w:numId w:val="10"/>
                    </w:numPr>
                    <w:spacing w:before="0" w:after="0"/>
                    <w:rPr>
                      <w:rFonts w:hint="eastAsia"/>
                    </w:rPr>
                  </w:pPr>
                </w:p>
              </w:tc>
              <w:tc>
                <w:tcPr>
                  <w:tcW w:w="524" w:type="pct"/>
                  <w:vAlign w:val="center"/>
                </w:tcPr>
                <w:p w14:paraId="60E42705">
                  <w:pPr>
                    <w:pStyle w:val="95"/>
                    <w:spacing w:before="0" w:after="0"/>
                    <w:rPr>
                      <w:b/>
                      <w:bCs/>
                    </w:rPr>
                  </w:pPr>
                  <w:r>
                    <w:rPr>
                      <w:rFonts w:hint="eastAsia"/>
                    </w:rPr>
                    <w:t>绿登村居民点</w:t>
                  </w:r>
                </w:p>
              </w:tc>
              <w:tc>
                <w:tcPr>
                  <w:tcW w:w="898" w:type="pct"/>
                  <w:vAlign w:val="center"/>
                </w:tcPr>
                <w:p w14:paraId="2A630DCE">
                  <w:pPr>
                    <w:pStyle w:val="95"/>
                    <w:spacing w:before="0" w:after="0"/>
                  </w:pPr>
                  <w:r>
                    <w:t>103°05'47.0425"</w:t>
                  </w:r>
                </w:p>
                <w:p w14:paraId="323BCBC1">
                  <w:pPr>
                    <w:pStyle w:val="95"/>
                    <w:spacing w:before="0" w:after="0"/>
                    <w:rPr>
                      <w:rFonts w:hint="eastAsia"/>
                      <w:b/>
                      <w:bCs/>
                    </w:rPr>
                  </w:pPr>
                  <w:r>
                    <w:t>26°28'34.4356"</w:t>
                  </w:r>
                </w:p>
              </w:tc>
              <w:tc>
                <w:tcPr>
                  <w:tcW w:w="620" w:type="pct"/>
                  <w:vAlign w:val="center"/>
                </w:tcPr>
                <w:p w14:paraId="77907424">
                  <w:pPr>
                    <w:pStyle w:val="95"/>
                    <w:spacing w:before="0" w:after="0"/>
                    <w:rPr>
                      <w:b/>
                      <w:bCs/>
                    </w:rPr>
                  </w:pPr>
                  <w:r>
                    <w:rPr>
                      <w:rFonts w:hint="eastAsia"/>
                    </w:rPr>
                    <w:t>集电线路东侧3</w:t>
                  </w:r>
                  <w:r>
                    <w:t>50</w:t>
                  </w:r>
                  <w:r>
                    <w:rPr>
                      <w:rFonts w:hint="eastAsia"/>
                    </w:rPr>
                    <w:t>m</w:t>
                  </w:r>
                </w:p>
              </w:tc>
              <w:tc>
                <w:tcPr>
                  <w:tcW w:w="663" w:type="pct"/>
                  <w:vAlign w:val="center"/>
                </w:tcPr>
                <w:p w14:paraId="62327704">
                  <w:pPr>
                    <w:pStyle w:val="95"/>
                    <w:spacing w:before="0" w:after="0"/>
                    <w:rPr>
                      <w:b/>
                      <w:bCs/>
                    </w:rPr>
                  </w:pPr>
                  <w:r>
                    <w:rPr>
                      <w:rFonts w:hint="eastAsia"/>
                    </w:rPr>
                    <w:t>L</w:t>
                  </w:r>
                  <w:r>
                    <w:t>08</w:t>
                  </w:r>
                  <w:r>
                    <w:rPr>
                      <w:rFonts w:hint="eastAsia"/>
                    </w:rPr>
                    <w:t>阵列东侧</w:t>
                  </w:r>
                  <w:r>
                    <w:t>200</w:t>
                  </w:r>
                  <w:r>
                    <w:rPr>
                      <w:rFonts w:hint="eastAsia"/>
                    </w:rPr>
                    <w:t>m</w:t>
                  </w:r>
                </w:p>
              </w:tc>
              <w:tc>
                <w:tcPr>
                  <w:tcW w:w="470" w:type="pct"/>
                  <w:vAlign w:val="center"/>
                </w:tcPr>
                <w:p w14:paraId="5C95E0FB">
                  <w:pPr>
                    <w:pStyle w:val="95"/>
                    <w:spacing w:before="0" w:after="0"/>
                  </w:pPr>
                  <w:r>
                    <w:rPr>
                      <w:rFonts w:hint="eastAsia"/>
                    </w:rPr>
                    <w:t>南侧3</w:t>
                  </w:r>
                  <w:r>
                    <w:t>.1</w:t>
                  </w:r>
                  <w:r>
                    <w:rPr>
                      <w:rFonts w:hint="eastAsia"/>
                    </w:rPr>
                    <w:t>km</w:t>
                  </w:r>
                </w:p>
              </w:tc>
              <w:tc>
                <w:tcPr>
                  <w:tcW w:w="545" w:type="pct"/>
                  <w:vAlign w:val="center"/>
                </w:tcPr>
                <w:p w14:paraId="3FD6236C">
                  <w:pPr>
                    <w:pStyle w:val="95"/>
                    <w:spacing w:before="0" w:after="0"/>
                  </w:pPr>
                  <w:r>
                    <w:rPr>
                      <w:rFonts w:hint="eastAsia"/>
                    </w:rPr>
                    <w:t>东侧3</w:t>
                  </w:r>
                  <w:r>
                    <w:t>90</w:t>
                  </w:r>
                  <w:r>
                    <w:rPr>
                      <w:rFonts w:hint="eastAsia"/>
                    </w:rPr>
                    <w:t>m</w:t>
                  </w:r>
                </w:p>
              </w:tc>
              <w:tc>
                <w:tcPr>
                  <w:tcW w:w="544" w:type="pct"/>
                  <w:vAlign w:val="center"/>
                </w:tcPr>
                <w:p w14:paraId="2A0B3382">
                  <w:pPr>
                    <w:pStyle w:val="95"/>
                    <w:spacing w:before="0" w:after="0"/>
                    <w:rPr>
                      <w:b/>
                      <w:bCs/>
                    </w:rPr>
                  </w:pPr>
                  <w:r>
                    <w:t>60</w:t>
                  </w:r>
                  <w:r>
                    <w:rPr>
                      <w:rFonts w:hint="eastAsia"/>
                    </w:rPr>
                    <w:t>户，约</w:t>
                  </w:r>
                  <w:r>
                    <w:t>180</w:t>
                  </w:r>
                  <w:r>
                    <w:rPr>
                      <w:rFonts w:hint="eastAsia"/>
                    </w:rPr>
                    <w:t>人</w:t>
                  </w:r>
                </w:p>
              </w:tc>
              <w:tc>
                <w:tcPr>
                  <w:tcW w:w="512" w:type="pct"/>
                  <w:vMerge w:val="continue"/>
                  <w:vAlign w:val="center"/>
                </w:tcPr>
                <w:p w14:paraId="206DBAB1">
                  <w:pPr>
                    <w:pStyle w:val="95"/>
                    <w:spacing w:before="0" w:after="0"/>
                    <w:rPr>
                      <w:b/>
                      <w:bCs/>
                    </w:rPr>
                  </w:pPr>
                </w:p>
              </w:tc>
            </w:tr>
            <w:tr w14:paraId="06AD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5EECD143">
                  <w:pPr>
                    <w:pStyle w:val="95"/>
                    <w:numPr>
                      <w:ilvl w:val="0"/>
                      <w:numId w:val="10"/>
                    </w:numPr>
                    <w:spacing w:before="0" w:after="0"/>
                    <w:rPr>
                      <w:rFonts w:hint="eastAsia"/>
                    </w:rPr>
                  </w:pPr>
                </w:p>
              </w:tc>
              <w:tc>
                <w:tcPr>
                  <w:tcW w:w="524" w:type="pct"/>
                  <w:vAlign w:val="center"/>
                </w:tcPr>
                <w:p w14:paraId="0BA2100B">
                  <w:pPr>
                    <w:pStyle w:val="95"/>
                    <w:spacing w:before="0" w:after="0"/>
                    <w:rPr>
                      <w:b/>
                      <w:bCs/>
                    </w:rPr>
                  </w:pPr>
                  <w:r>
                    <w:rPr>
                      <w:rFonts w:hint="eastAsia"/>
                    </w:rPr>
                    <w:t>缪家山居民点</w:t>
                  </w:r>
                </w:p>
              </w:tc>
              <w:tc>
                <w:tcPr>
                  <w:tcW w:w="898" w:type="pct"/>
                  <w:vAlign w:val="center"/>
                </w:tcPr>
                <w:p w14:paraId="7F5E2F11">
                  <w:pPr>
                    <w:pStyle w:val="95"/>
                    <w:spacing w:before="0" w:after="0"/>
                  </w:pPr>
                  <w:r>
                    <w:t>103°06'10.5804"</w:t>
                  </w:r>
                </w:p>
                <w:p w14:paraId="0E17DD9E">
                  <w:pPr>
                    <w:pStyle w:val="95"/>
                    <w:spacing w:before="0" w:after="0"/>
                    <w:rPr>
                      <w:rFonts w:hint="eastAsia"/>
                      <w:b/>
                      <w:bCs/>
                    </w:rPr>
                  </w:pPr>
                  <w:r>
                    <w:t>26°27'59.1813"</w:t>
                  </w:r>
                </w:p>
              </w:tc>
              <w:tc>
                <w:tcPr>
                  <w:tcW w:w="620" w:type="pct"/>
                  <w:vAlign w:val="center"/>
                </w:tcPr>
                <w:p w14:paraId="1678318C">
                  <w:pPr>
                    <w:pStyle w:val="95"/>
                    <w:spacing w:before="0" w:after="0"/>
                    <w:rPr>
                      <w:b/>
                      <w:bCs/>
                    </w:rPr>
                  </w:pPr>
                  <w:r>
                    <w:rPr>
                      <w:rFonts w:hint="eastAsia"/>
                    </w:rPr>
                    <w:t>集电线路东北侧2</w:t>
                  </w:r>
                  <w:r>
                    <w:t>40</w:t>
                  </w:r>
                  <w:r>
                    <w:rPr>
                      <w:rFonts w:hint="eastAsia"/>
                    </w:rPr>
                    <w:t>m</w:t>
                  </w:r>
                </w:p>
              </w:tc>
              <w:tc>
                <w:tcPr>
                  <w:tcW w:w="663" w:type="pct"/>
                  <w:vAlign w:val="center"/>
                </w:tcPr>
                <w:p w14:paraId="03F9E585">
                  <w:pPr>
                    <w:pStyle w:val="95"/>
                    <w:spacing w:before="0" w:after="0"/>
                    <w:rPr>
                      <w:b/>
                      <w:bCs/>
                    </w:rPr>
                  </w:pPr>
                  <w:r>
                    <w:rPr>
                      <w:rFonts w:hint="eastAsia"/>
                    </w:rPr>
                    <w:t>L</w:t>
                  </w:r>
                  <w:r>
                    <w:t>09</w:t>
                  </w:r>
                  <w:r>
                    <w:rPr>
                      <w:rFonts w:hint="eastAsia"/>
                    </w:rPr>
                    <w:t>阵列东侧5</w:t>
                  </w:r>
                  <w:r>
                    <w:t>00</w:t>
                  </w:r>
                  <w:r>
                    <w:rPr>
                      <w:rFonts w:hint="eastAsia"/>
                    </w:rPr>
                    <w:t>m</w:t>
                  </w:r>
                </w:p>
              </w:tc>
              <w:tc>
                <w:tcPr>
                  <w:tcW w:w="470" w:type="pct"/>
                  <w:vAlign w:val="center"/>
                </w:tcPr>
                <w:p w14:paraId="11D7BBD6">
                  <w:pPr>
                    <w:pStyle w:val="95"/>
                    <w:spacing w:before="0" w:after="0"/>
                  </w:pPr>
                  <w:r>
                    <w:rPr>
                      <w:rFonts w:hint="eastAsia"/>
                    </w:rPr>
                    <w:t>东南侧4</w:t>
                  </w:r>
                  <w:r>
                    <w:t>.3</w:t>
                  </w:r>
                  <w:r>
                    <w:rPr>
                      <w:rFonts w:hint="eastAsia"/>
                    </w:rPr>
                    <w:t>km</w:t>
                  </w:r>
                </w:p>
              </w:tc>
              <w:tc>
                <w:tcPr>
                  <w:tcW w:w="545" w:type="pct"/>
                  <w:vAlign w:val="center"/>
                </w:tcPr>
                <w:p w14:paraId="329D7623">
                  <w:pPr>
                    <w:pStyle w:val="95"/>
                    <w:spacing w:before="0" w:after="0"/>
                    <w:rPr>
                      <w:rFonts w:hint="eastAsia"/>
                    </w:rPr>
                  </w:pPr>
                  <w:r>
                    <w:rPr>
                      <w:rFonts w:hint="eastAsia"/>
                    </w:rPr>
                    <w:t>东侧2</w:t>
                  </w:r>
                  <w:r>
                    <w:t>30</w:t>
                  </w:r>
                  <w:r>
                    <w:rPr>
                      <w:rFonts w:hint="eastAsia"/>
                    </w:rPr>
                    <w:t>m</w:t>
                  </w:r>
                </w:p>
              </w:tc>
              <w:tc>
                <w:tcPr>
                  <w:tcW w:w="544" w:type="pct"/>
                  <w:vAlign w:val="center"/>
                </w:tcPr>
                <w:p w14:paraId="7BE83947">
                  <w:pPr>
                    <w:pStyle w:val="95"/>
                    <w:spacing w:before="0" w:after="0"/>
                    <w:rPr>
                      <w:b/>
                      <w:bCs/>
                    </w:rPr>
                  </w:pPr>
                  <w:r>
                    <w:rPr>
                      <w:rFonts w:hint="eastAsia"/>
                    </w:rPr>
                    <w:t>2</w:t>
                  </w:r>
                  <w:r>
                    <w:t>0</w:t>
                  </w:r>
                  <w:r>
                    <w:rPr>
                      <w:rFonts w:hint="eastAsia"/>
                    </w:rPr>
                    <w:t>户，约6</w:t>
                  </w:r>
                  <w:r>
                    <w:t>0</w:t>
                  </w:r>
                  <w:r>
                    <w:rPr>
                      <w:rFonts w:hint="eastAsia"/>
                    </w:rPr>
                    <w:t>人</w:t>
                  </w:r>
                </w:p>
              </w:tc>
              <w:tc>
                <w:tcPr>
                  <w:tcW w:w="512" w:type="pct"/>
                  <w:vMerge w:val="continue"/>
                  <w:vAlign w:val="center"/>
                </w:tcPr>
                <w:p w14:paraId="6ED77E4A">
                  <w:pPr>
                    <w:pStyle w:val="95"/>
                    <w:spacing w:before="0" w:after="0"/>
                    <w:rPr>
                      <w:b/>
                      <w:bCs/>
                    </w:rPr>
                  </w:pPr>
                </w:p>
              </w:tc>
            </w:tr>
            <w:tr w14:paraId="483C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0612AE56">
                  <w:pPr>
                    <w:pStyle w:val="95"/>
                    <w:numPr>
                      <w:ilvl w:val="0"/>
                      <w:numId w:val="10"/>
                    </w:numPr>
                    <w:spacing w:before="0" w:after="0"/>
                    <w:rPr>
                      <w:rFonts w:hint="eastAsia"/>
                    </w:rPr>
                  </w:pPr>
                </w:p>
              </w:tc>
              <w:tc>
                <w:tcPr>
                  <w:tcW w:w="524" w:type="pct"/>
                  <w:vAlign w:val="center"/>
                </w:tcPr>
                <w:p w14:paraId="725044BC">
                  <w:pPr>
                    <w:pStyle w:val="95"/>
                    <w:spacing w:before="0" w:after="0"/>
                    <w:rPr>
                      <w:b/>
                      <w:bCs/>
                    </w:rPr>
                  </w:pPr>
                  <w:r>
                    <w:rPr>
                      <w:rFonts w:hint="eastAsia"/>
                    </w:rPr>
                    <w:t>万家村居民点</w:t>
                  </w:r>
                </w:p>
              </w:tc>
              <w:tc>
                <w:tcPr>
                  <w:tcW w:w="898" w:type="pct"/>
                  <w:vAlign w:val="center"/>
                </w:tcPr>
                <w:p w14:paraId="2520638D">
                  <w:pPr>
                    <w:pStyle w:val="95"/>
                    <w:spacing w:before="0" w:after="0"/>
                  </w:pPr>
                  <w:r>
                    <w:t>103°05'58.4422"</w:t>
                  </w:r>
                </w:p>
                <w:p w14:paraId="1C67FC1C">
                  <w:pPr>
                    <w:pStyle w:val="95"/>
                    <w:spacing w:before="0" w:after="0"/>
                    <w:rPr>
                      <w:rFonts w:hint="eastAsia"/>
                      <w:b/>
                      <w:bCs/>
                    </w:rPr>
                  </w:pPr>
                  <w:r>
                    <w:t>26°26'52.2599"</w:t>
                  </w:r>
                </w:p>
              </w:tc>
              <w:tc>
                <w:tcPr>
                  <w:tcW w:w="620" w:type="pct"/>
                  <w:vAlign w:val="center"/>
                </w:tcPr>
                <w:p w14:paraId="12C472F6">
                  <w:pPr>
                    <w:pStyle w:val="95"/>
                    <w:spacing w:before="0" w:after="0"/>
                    <w:rPr>
                      <w:b/>
                      <w:bCs/>
                    </w:rPr>
                  </w:pPr>
                  <w:r>
                    <w:rPr>
                      <w:rFonts w:hint="eastAsia"/>
                    </w:rPr>
                    <w:t>集电线路西侧</w:t>
                  </w:r>
                  <w:r>
                    <w:t>50</w:t>
                  </w:r>
                  <w:r>
                    <w:rPr>
                      <w:rFonts w:hint="eastAsia"/>
                    </w:rPr>
                    <w:t>m</w:t>
                  </w:r>
                </w:p>
              </w:tc>
              <w:tc>
                <w:tcPr>
                  <w:tcW w:w="663" w:type="pct"/>
                  <w:vAlign w:val="center"/>
                </w:tcPr>
                <w:p w14:paraId="6D0BA2C9">
                  <w:pPr>
                    <w:pStyle w:val="95"/>
                    <w:spacing w:before="0" w:after="0"/>
                    <w:rPr>
                      <w:b/>
                      <w:bCs/>
                    </w:rPr>
                  </w:pPr>
                  <w:r>
                    <w:rPr>
                      <w:rFonts w:hint="eastAsia"/>
                    </w:rPr>
                    <w:t>L</w:t>
                  </w:r>
                  <w:r>
                    <w:t>10</w:t>
                  </w:r>
                  <w:r>
                    <w:rPr>
                      <w:rFonts w:hint="eastAsia"/>
                    </w:rPr>
                    <w:t>阵列西北侧5</w:t>
                  </w:r>
                  <w:r>
                    <w:t>0</w:t>
                  </w:r>
                  <w:r>
                    <w:rPr>
                      <w:rFonts w:hint="eastAsia"/>
                    </w:rPr>
                    <w:t>m</w:t>
                  </w:r>
                </w:p>
              </w:tc>
              <w:tc>
                <w:tcPr>
                  <w:tcW w:w="470" w:type="pct"/>
                  <w:vAlign w:val="center"/>
                </w:tcPr>
                <w:p w14:paraId="20E10F1B">
                  <w:pPr>
                    <w:pStyle w:val="95"/>
                    <w:spacing w:before="0" w:after="0"/>
                  </w:pPr>
                  <w:r>
                    <w:rPr>
                      <w:rFonts w:hint="eastAsia"/>
                    </w:rPr>
                    <w:t>南侧6</w:t>
                  </w:r>
                  <w:r>
                    <w:t>.2</w:t>
                  </w:r>
                  <w:r>
                    <w:rPr>
                      <w:rFonts w:hint="eastAsia"/>
                    </w:rPr>
                    <w:t>km</w:t>
                  </w:r>
                </w:p>
              </w:tc>
              <w:tc>
                <w:tcPr>
                  <w:tcW w:w="545" w:type="pct"/>
                  <w:vAlign w:val="center"/>
                </w:tcPr>
                <w:p w14:paraId="6E9EF65D">
                  <w:pPr>
                    <w:pStyle w:val="95"/>
                    <w:spacing w:before="0" w:after="0"/>
                  </w:pPr>
                  <w:r>
                    <w:rPr>
                      <w:rFonts w:hint="eastAsia"/>
                    </w:rPr>
                    <w:t>西侧3</w:t>
                  </w:r>
                  <w:r>
                    <w:t>20</w:t>
                  </w:r>
                  <w:r>
                    <w:rPr>
                      <w:rFonts w:hint="eastAsia"/>
                    </w:rPr>
                    <w:t>m</w:t>
                  </w:r>
                </w:p>
              </w:tc>
              <w:tc>
                <w:tcPr>
                  <w:tcW w:w="544" w:type="pct"/>
                  <w:vAlign w:val="center"/>
                </w:tcPr>
                <w:p w14:paraId="73641D0E">
                  <w:pPr>
                    <w:pStyle w:val="95"/>
                    <w:spacing w:before="0" w:after="0"/>
                    <w:rPr>
                      <w:b/>
                      <w:bCs/>
                    </w:rPr>
                  </w:pPr>
                  <w:r>
                    <w:t>10</w:t>
                  </w:r>
                  <w:r>
                    <w:rPr>
                      <w:rFonts w:hint="eastAsia"/>
                    </w:rPr>
                    <w:t>户，约</w:t>
                  </w:r>
                  <w:r>
                    <w:t>30</w:t>
                  </w:r>
                  <w:r>
                    <w:rPr>
                      <w:rFonts w:hint="eastAsia"/>
                    </w:rPr>
                    <w:t>人</w:t>
                  </w:r>
                </w:p>
              </w:tc>
              <w:tc>
                <w:tcPr>
                  <w:tcW w:w="512" w:type="pct"/>
                  <w:vMerge w:val="continue"/>
                  <w:vAlign w:val="center"/>
                </w:tcPr>
                <w:p w14:paraId="370C7203">
                  <w:pPr>
                    <w:pStyle w:val="95"/>
                    <w:spacing w:before="0" w:after="0"/>
                    <w:rPr>
                      <w:b/>
                      <w:bCs/>
                    </w:rPr>
                  </w:pPr>
                </w:p>
              </w:tc>
            </w:tr>
            <w:tr w14:paraId="2F96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blHeader/>
                <w:jc w:val="center"/>
              </w:trPr>
              <w:tc>
                <w:tcPr>
                  <w:tcW w:w="224" w:type="pct"/>
                  <w:vAlign w:val="center"/>
                </w:tcPr>
                <w:p w14:paraId="7E70D49B">
                  <w:pPr>
                    <w:pStyle w:val="95"/>
                    <w:numPr>
                      <w:ilvl w:val="0"/>
                      <w:numId w:val="10"/>
                    </w:numPr>
                    <w:spacing w:before="0" w:after="0"/>
                    <w:rPr>
                      <w:rFonts w:hint="eastAsia"/>
                    </w:rPr>
                  </w:pPr>
                </w:p>
              </w:tc>
              <w:tc>
                <w:tcPr>
                  <w:tcW w:w="524" w:type="pct"/>
                  <w:vAlign w:val="center"/>
                </w:tcPr>
                <w:p w14:paraId="0C4353B8">
                  <w:pPr>
                    <w:pStyle w:val="95"/>
                    <w:spacing w:before="0" w:after="0"/>
                    <w:rPr>
                      <w:b/>
                      <w:bCs/>
                    </w:rPr>
                  </w:pPr>
                  <w:r>
                    <w:rPr>
                      <w:rFonts w:hint="eastAsia"/>
                    </w:rPr>
                    <w:t>芭蕉箐居民点</w:t>
                  </w:r>
                </w:p>
              </w:tc>
              <w:tc>
                <w:tcPr>
                  <w:tcW w:w="898" w:type="pct"/>
                  <w:vAlign w:val="center"/>
                </w:tcPr>
                <w:p w14:paraId="50A1DAAB">
                  <w:pPr>
                    <w:pStyle w:val="95"/>
                    <w:spacing w:before="0" w:after="0"/>
                  </w:pPr>
                  <w:r>
                    <w:t>103°07'24.5536"</w:t>
                  </w:r>
                </w:p>
                <w:p w14:paraId="61C1A2D7">
                  <w:pPr>
                    <w:pStyle w:val="95"/>
                    <w:spacing w:before="0" w:after="0"/>
                    <w:rPr>
                      <w:rFonts w:hint="eastAsia"/>
                      <w:b/>
                      <w:bCs/>
                    </w:rPr>
                  </w:pPr>
                  <w:r>
                    <w:t>26°28'27.6907"</w:t>
                  </w:r>
                </w:p>
              </w:tc>
              <w:tc>
                <w:tcPr>
                  <w:tcW w:w="620" w:type="pct"/>
                  <w:vAlign w:val="center"/>
                </w:tcPr>
                <w:p w14:paraId="04EB336B">
                  <w:pPr>
                    <w:pStyle w:val="95"/>
                    <w:spacing w:before="0" w:after="0"/>
                    <w:rPr>
                      <w:b/>
                      <w:bCs/>
                    </w:rPr>
                  </w:pPr>
                  <w:r>
                    <w:rPr>
                      <w:rFonts w:hint="eastAsia"/>
                    </w:rPr>
                    <w:t>集电线路东北侧</w:t>
                  </w:r>
                  <w:r>
                    <w:t>100</w:t>
                  </w:r>
                  <w:r>
                    <w:rPr>
                      <w:rFonts w:hint="eastAsia"/>
                    </w:rPr>
                    <w:t>m</w:t>
                  </w:r>
                </w:p>
              </w:tc>
              <w:tc>
                <w:tcPr>
                  <w:tcW w:w="663" w:type="pct"/>
                  <w:vAlign w:val="center"/>
                </w:tcPr>
                <w:p w14:paraId="496E2FBC">
                  <w:pPr>
                    <w:pStyle w:val="95"/>
                    <w:spacing w:before="0" w:after="0"/>
                    <w:rPr>
                      <w:b/>
                      <w:bCs/>
                    </w:rPr>
                  </w:pPr>
                  <w:r>
                    <w:rPr>
                      <w:rFonts w:hint="eastAsia"/>
                    </w:rPr>
                    <w:t>L</w:t>
                  </w:r>
                  <w:r>
                    <w:t>18</w:t>
                  </w:r>
                  <w:r>
                    <w:rPr>
                      <w:rFonts w:hint="eastAsia"/>
                    </w:rPr>
                    <w:t>阵列西侧9</w:t>
                  </w:r>
                  <w:r>
                    <w:t>80</w:t>
                  </w:r>
                  <w:r>
                    <w:rPr>
                      <w:rFonts w:hint="eastAsia"/>
                    </w:rPr>
                    <w:t>m</w:t>
                  </w:r>
                </w:p>
              </w:tc>
              <w:tc>
                <w:tcPr>
                  <w:tcW w:w="470" w:type="pct"/>
                  <w:vAlign w:val="center"/>
                </w:tcPr>
                <w:p w14:paraId="735FEA61">
                  <w:pPr>
                    <w:pStyle w:val="95"/>
                    <w:spacing w:before="0" w:after="0"/>
                  </w:pPr>
                  <w:r>
                    <w:rPr>
                      <w:rFonts w:hint="eastAsia"/>
                    </w:rPr>
                    <w:t>东南侧4km</w:t>
                  </w:r>
                </w:p>
              </w:tc>
              <w:tc>
                <w:tcPr>
                  <w:tcW w:w="545" w:type="pct"/>
                  <w:vAlign w:val="center"/>
                </w:tcPr>
                <w:p w14:paraId="1AEC87CC">
                  <w:pPr>
                    <w:pStyle w:val="95"/>
                    <w:spacing w:before="0" w:after="0"/>
                    <w:rPr>
                      <w:rFonts w:hint="eastAsia"/>
                    </w:rPr>
                  </w:pPr>
                  <w:r>
                    <w:rPr>
                      <w:rFonts w:hint="eastAsia"/>
                    </w:rPr>
                    <w:t>西侧8</w:t>
                  </w:r>
                  <w:r>
                    <w:t>50</w:t>
                  </w:r>
                  <w:r>
                    <w:rPr>
                      <w:rFonts w:hint="eastAsia"/>
                    </w:rPr>
                    <w:t>m</w:t>
                  </w:r>
                </w:p>
              </w:tc>
              <w:tc>
                <w:tcPr>
                  <w:tcW w:w="544" w:type="pct"/>
                  <w:vAlign w:val="center"/>
                </w:tcPr>
                <w:p w14:paraId="57EBF1C9">
                  <w:pPr>
                    <w:pStyle w:val="95"/>
                    <w:spacing w:before="0" w:after="0"/>
                    <w:rPr>
                      <w:b/>
                      <w:bCs/>
                    </w:rPr>
                  </w:pPr>
                  <w:r>
                    <w:rPr>
                      <w:rFonts w:hint="eastAsia"/>
                    </w:rPr>
                    <w:t>2</w:t>
                  </w:r>
                  <w:r>
                    <w:t>0</w:t>
                  </w:r>
                  <w:r>
                    <w:rPr>
                      <w:rFonts w:hint="eastAsia"/>
                    </w:rPr>
                    <w:t>户，约6</w:t>
                  </w:r>
                  <w:r>
                    <w:t>0</w:t>
                  </w:r>
                  <w:r>
                    <w:rPr>
                      <w:rFonts w:hint="eastAsia"/>
                    </w:rPr>
                    <w:t>人</w:t>
                  </w:r>
                </w:p>
              </w:tc>
              <w:tc>
                <w:tcPr>
                  <w:tcW w:w="512" w:type="pct"/>
                  <w:vMerge w:val="continue"/>
                  <w:vAlign w:val="center"/>
                </w:tcPr>
                <w:p w14:paraId="6629D5B3">
                  <w:pPr>
                    <w:pStyle w:val="95"/>
                    <w:spacing w:before="0" w:after="0"/>
                    <w:rPr>
                      <w:b/>
                      <w:bCs/>
                    </w:rPr>
                  </w:pPr>
                </w:p>
              </w:tc>
            </w:tr>
            <w:tr w14:paraId="4088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18B58846">
                  <w:pPr>
                    <w:pStyle w:val="95"/>
                    <w:numPr>
                      <w:ilvl w:val="0"/>
                      <w:numId w:val="10"/>
                    </w:numPr>
                    <w:spacing w:before="0" w:after="0"/>
                    <w:rPr>
                      <w:rFonts w:hint="eastAsia"/>
                    </w:rPr>
                  </w:pPr>
                </w:p>
              </w:tc>
              <w:tc>
                <w:tcPr>
                  <w:tcW w:w="524" w:type="pct"/>
                  <w:vAlign w:val="center"/>
                </w:tcPr>
                <w:p w14:paraId="53A7AD68">
                  <w:pPr>
                    <w:pStyle w:val="95"/>
                    <w:spacing w:before="0" w:after="0"/>
                    <w:rPr>
                      <w:b/>
                      <w:bCs/>
                    </w:rPr>
                  </w:pPr>
                  <w:r>
                    <w:rPr>
                      <w:rFonts w:hint="eastAsia"/>
                    </w:rPr>
                    <w:t>小沟门居民点</w:t>
                  </w:r>
                </w:p>
              </w:tc>
              <w:tc>
                <w:tcPr>
                  <w:tcW w:w="898" w:type="pct"/>
                  <w:vAlign w:val="center"/>
                </w:tcPr>
                <w:p w14:paraId="5E976F82">
                  <w:pPr>
                    <w:pStyle w:val="95"/>
                    <w:spacing w:before="0" w:after="0"/>
                  </w:pPr>
                  <w:r>
                    <w:t>103°08'03.3099"</w:t>
                  </w:r>
                </w:p>
                <w:p w14:paraId="6E715543">
                  <w:pPr>
                    <w:pStyle w:val="95"/>
                    <w:spacing w:before="0" w:after="0"/>
                    <w:rPr>
                      <w:rFonts w:hint="eastAsia"/>
                      <w:b/>
                      <w:bCs/>
                    </w:rPr>
                  </w:pPr>
                  <w:r>
                    <w:t>26°27'54.8116"</w:t>
                  </w:r>
                </w:p>
              </w:tc>
              <w:tc>
                <w:tcPr>
                  <w:tcW w:w="620" w:type="pct"/>
                  <w:vAlign w:val="center"/>
                </w:tcPr>
                <w:p w14:paraId="2A478C26">
                  <w:pPr>
                    <w:pStyle w:val="95"/>
                    <w:spacing w:before="0" w:after="0"/>
                    <w:rPr>
                      <w:b/>
                      <w:bCs/>
                    </w:rPr>
                  </w:pPr>
                  <w:r>
                    <w:rPr>
                      <w:rFonts w:hint="eastAsia"/>
                    </w:rPr>
                    <w:t>集电线路南侧</w:t>
                  </w:r>
                  <w:r>
                    <w:t>50</w:t>
                  </w:r>
                  <w:r>
                    <w:rPr>
                      <w:rFonts w:hint="eastAsia"/>
                    </w:rPr>
                    <w:t>m</w:t>
                  </w:r>
                </w:p>
              </w:tc>
              <w:tc>
                <w:tcPr>
                  <w:tcW w:w="663" w:type="pct"/>
                  <w:vAlign w:val="center"/>
                </w:tcPr>
                <w:p w14:paraId="3B9CDBFC">
                  <w:pPr>
                    <w:pStyle w:val="95"/>
                    <w:spacing w:before="0" w:after="0"/>
                    <w:rPr>
                      <w:b/>
                      <w:bCs/>
                    </w:rPr>
                  </w:pPr>
                  <w:r>
                    <w:rPr>
                      <w:rFonts w:hint="eastAsia"/>
                    </w:rPr>
                    <w:t>L</w:t>
                  </w:r>
                  <w:r>
                    <w:t>17</w:t>
                  </w:r>
                  <w:r>
                    <w:rPr>
                      <w:rFonts w:hint="eastAsia"/>
                    </w:rPr>
                    <w:t>阵列西侧1km</w:t>
                  </w:r>
                </w:p>
              </w:tc>
              <w:tc>
                <w:tcPr>
                  <w:tcW w:w="470" w:type="pct"/>
                  <w:vAlign w:val="center"/>
                </w:tcPr>
                <w:p w14:paraId="29E70E33">
                  <w:pPr>
                    <w:pStyle w:val="95"/>
                    <w:spacing w:before="0" w:after="0"/>
                  </w:pPr>
                  <w:r>
                    <w:rPr>
                      <w:rFonts w:hint="eastAsia"/>
                    </w:rPr>
                    <w:t>东南侧5</w:t>
                  </w:r>
                  <w:r>
                    <w:t>.7</w:t>
                  </w:r>
                  <w:r>
                    <w:rPr>
                      <w:rFonts w:hint="eastAsia"/>
                    </w:rPr>
                    <w:t>km</w:t>
                  </w:r>
                </w:p>
              </w:tc>
              <w:tc>
                <w:tcPr>
                  <w:tcW w:w="545" w:type="pct"/>
                  <w:vAlign w:val="center"/>
                </w:tcPr>
                <w:p w14:paraId="698E1D95">
                  <w:pPr>
                    <w:pStyle w:val="95"/>
                    <w:spacing w:before="0" w:after="0"/>
                  </w:pPr>
                  <w:r>
                    <w:rPr>
                      <w:rFonts w:hint="eastAsia"/>
                    </w:rPr>
                    <w:t>西侧1</w:t>
                  </w:r>
                  <w:r>
                    <w:t>.2</w:t>
                  </w:r>
                  <w:r>
                    <w:rPr>
                      <w:rFonts w:hint="eastAsia"/>
                    </w:rPr>
                    <w:t>km</w:t>
                  </w:r>
                </w:p>
              </w:tc>
              <w:tc>
                <w:tcPr>
                  <w:tcW w:w="544" w:type="pct"/>
                  <w:vAlign w:val="center"/>
                </w:tcPr>
                <w:p w14:paraId="1A234325">
                  <w:pPr>
                    <w:pStyle w:val="95"/>
                    <w:spacing w:before="0" w:after="0"/>
                    <w:rPr>
                      <w:b/>
                      <w:bCs/>
                    </w:rPr>
                  </w:pPr>
                  <w:r>
                    <w:t>50</w:t>
                  </w:r>
                  <w:r>
                    <w:rPr>
                      <w:rFonts w:hint="eastAsia"/>
                    </w:rPr>
                    <w:t>户，约</w:t>
                  </w:r>
                  <w:r>
                    <w:t>150</w:t>
                  </w:r>
                  <w:r>
                    <w:rPr>
                      <w:rFonts w:hint="eastAsia"/>
                    </w:rPr>
                    <w:t>人</w:t>
                  </w:r>
                </w:p>
              </w:tc>
              <w:tc>
                <w:tcPr>
                  <w:tcW w:w="512" w:type="pct"/>
                  <w:vMerge w:val="continue"/>
                  <w:vAlign w:val="center"/>
                </w:tcPr>
                <w:p w14:paraId="51EBF0FE">
                  <w:pPr>
                    <w:pStyle w:val="95"/>
                    <w:spacing w:before="0" w:after="0"/>
                    <w:rPr>
                      <w:b/>
                      <w:bCs/>
                    </w:rPr>
                  </w:pPr>
                </w:p>
              </w:tc>
            </w:tr>
            <w:tr w14:paraId="5D75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22FE7697">
                  <w:pPr>
                    <w:pStyle w:val="95"/>
                    <w:numPr>
                      <w:ilvl w:val="0"/>
                      <w:numId w:val="10"/>
                    </w:numPr>
                    <w:spacing w:before="0" w:after="0"/>
                    <w:rPr>
                      <w:rFonts w:hint="eastAsia"/>
                    </w:rPr>
                  </w:pPr>
                </w:p>
              </w:tc>
              <w:tc>
                <w:tcPr>
                  <w:tcW w:w="524" w:type="pct"/>
                  <w:vAlign w:val="center"/>
                </w:tcPr>
                <w:p w14:paraId="36C7654A">
                  <w:pPr>
                    <w:pStyle w:val="95"/>
                    <w:spacing w:before="0" w:after="0"/>
                    <w:rPr>
                      <w:b/>
                      <w:bCs/>
                    </w:rPr>
                  </w:pPr>
                  <w:r>
                    <w:rPr>
                      <w:rFonts w:hint="eastAsia"/>
                    </w:rPr>
                    <w:t>司家沟居民点</w:t>
                  </w:r>
                </w:p>
              </w:tc>
              <w:tc>
                <w:tcPr>
                  <w:tcW w:w="898" w:type="pct"/>
                  <w:vAlign w:val="center"/>
                </w:tcPr>
                <w:p w14:paraId="6BCD143A">
                  <w:pPr>
                    <w:pStyle w:val="95"/>
                    <w:spacing w:before="0" w:after="0"/>
                  </w:pPr>
                  <w:r>
                    <w:t>103°08'31.7117"</w:t>
                  </w:r>
                </w:p>
                <w:p w14:paraId="2A28014A">
                  <w:pPr>
                    <w:pStyle w:val="95"/>
                    <w:spacing w:before="0" w:after="0"/>
                    <w:rPr>
                      <w:rFonts w:hint="eastAsia"/>
                      <w:b/>
                      <w:bCs/>
                    </w:rPr>
                  </w:pPr>
                  <w:r>
                    <w:t>26°27'23.0400"</w:t>
                  </w:r>
                </w:p>
              </w:tc>
              <w:tc>
                <w:tcPr>
                  <w:tcW w:w="620" w:type="pct"/>
                  <w:vAlign w:val="center"/>
                </w:tcPr>
                <w:p w14:paraId="55BDD584">
                  <w:pPr>
                    <w:pStyle w:val="95"/>
                    <w:spacing w:before="0" w:after="0"/>
                    <w:rPr>
                      <w:b/>
                      <w:bCs/>
                    </w:rPr>
                  </w:pPr>
                  <w:r>
                    <w:rPr>
                      <w:rFonts w:hint="eastAsia"/>
                    </w:rPr>
                    <w:t>集电线路东侧</w:t>
                  </w:r>
                  <w:r>
                    <w:t>130</w:t>
                  </w:r>
                  <w:r>
                    <w:rPr>
                      <w:rFonts w:hint="eastAsia"/>
                    </w:rPr>
                    <w:t>m</w:t>
                  </w:r>
                </w:p>
              </w:tc>
              <w:tc>
                <w:tcPr>
                  <w:tcW w:w="663" w:type="pct"/>
                  <w:vAlign w:val="center"/>
                </w:tcPr>
                <w:p w14:paraId="66244A32">
                  <w:pPr>
                    <w:pStyle w:val="95"/>
                    <w:spacing w:before="0" w:after="0"/>
                    <w:rPr>
                      <w:b/>
                      <w:bCs/>
                    </w:rPr>
                  </w:pPr>
                  <w:r>
                    <w:rPr>
                      <w:rFonts w:hint="eastAsia"/>
                    </w:rPr>
                    <w:t>L</w:t>
                  </w:r>
                  <w:r>
                    <w:t>17</w:t>
                  </w:r>
                  <w:r>
                    <w:rPr>
                      <w:rFonts w:hint="eastAsia"/>
                    </w:rPr>
                    <w:t>阵列南侧8</w:t>
                  </w:r>
                  <w:r>
                    <w:t>00</w:t>
                  </w:r>
                  <w:r>
                    <w:rPr>
                      <w:rFonts w:hint="eastAsia"/>
                    </w:rPr>
                    <w:t>m</w:t>
                  </w:r>
                </w:p>
              </w:tc>
              <w:tc>
                <w:tcPr>
                  <w:tcW w:w="470" w:type="pct"/>
                  <w:vAlign w:val="center"/>
                </w:tcPr>
                <w:p w14:paraId="692DE586">
                  <w:pPr>
                    <w:pStyle w:val="95"/>
                    <w:spacing w:before="0" w:after="0"/>
                  </w:pPr>
                  <w:r>
                    <w:rPr>
                      <w:rFonts w:hint="eastAsia"/>
                    </w:rPr>
                    <w:t>东南侧6</w:t>
                  </w:r>
                  <w:r>
                    <w:t>.7</w:t>
                  </w:r>
                  <w:r>
                    <w:rPr>
                      <w:rFonts w:hint="eastAsia"/>
                    </w:rPr>
                    <w:t>kn</w:t>
                  </w:r>
                </w:p>
              </w:tc>
              <w:tc>
                <w:tcPr>
                  <w:tcW w:w="545" w:type="pct"/>
                  <w:vAlign w:val="center"/>
                </w:tcPr>
                <w:p w14:paraId="596300F7">
                  <w:pPr>
                    <w:pStyle w:val="95"/>
                    <w:spacing w:before="0" w:after="0"/>
                  </w:pPr>
                  <w:r>
                    <w:rPr>
                      <w:rFonts w:hint="eastAsia"/>
                    </w:rPr>
                    <w:t>西南侧1km</w:t>
                  </w:r>
                </w:p>
              </w:tc>
              <w:tc>
                <w:tcPr>
                  <w:tcW w:w="544" w:type="pct"/>
                  <w:vAlign w:val="center"/>
                </w:tcPr>
                <w:p w14:paraId="6EB5D695">
                  <w:pPr>
                    <w:pStyle w:val="95"/>
                    <w:spacing w:before="0" w:after="0"/>
                    <w:rPr>
                      <w:b/>
                      <w:bCs/>
                    </w:rPr>
                  </w:pPr>
                  <w:r>
                    <w:t>60</w:t>
                  </w:r>
                  <w:r>
                    <w:rPr>
                      <w:rFonts w:hint="eastAsia"/>
                    </w:rPr>
                    <w:t>户，约</w:t>
                  </w:r>
                  <w:r>
                    <w:t>180</w:t>
                  </w:r>
                  <w:r>
                    <w:rPr>
                      <w:rFonts w:hint="eastAsia"/>
                    </w:rPr>
                    <w:t>人</w:t>
                  </w:r>
                </w:p>
              </w:tc>
              <w:tc>
                <w:tcPr>
                  <w:tcW w:w="512" w:type="pct"/>
                  <w:vMerge w:val="continue"/>
                  <w:vAlign w:val="center"/>
                </w:tcPr>
                <w:p w14:paraId="1DF10AE6">
                  <w:pPr>
                    <w:pStyle w:val="95"/>
                    <w:spacing w:before="0" w:after="0"/>
                    <w:rPr>
                      <w:b/>
                      <w:bCs/>
                    </w:rPr>
                  </w:pPr>
                </w:p>
              </w:tc>
            </w:tr>
            <w:tr w14:paraId="57E0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29755279">
                  <w:pPr>
                    <w:pStyle w:val="95"/>
                    <w:numPr>
                      <w:ilvl w:val="0"/>
                      <w:numId w:val="10"/>
                    </w:numPr>
                    <w:spacing w:before="0" w:after="0"/>
                    <w:rPr>
                      <w:rFonts w:hint="eastAsia"/>
                    </w:rPr>
                  </w:pPr>
                </w:p>
              </w:tc>
              <w:tc>
                <w:tcPr>
                  <w:tcW w:w="524" w:type="pct"/>
                  <w:vAlign w:val="center"/>
                </w:tcPr>
                <w:p w14:paraId="61D70355">
                  <w:pPr>
                    <w:pStyle w:val="95"/>
                    <w:spacing w:before="0" w:after="0"/>
                    <w:rPr>
                      <w:b/>
                      <w:bCs/>
                    </w:rPr>
                  </w:pPr>
                  <w:r>
                    <w:rPr>
                      <w:rFonts w:hint="eastAsia"/>
                    </w:rPr>
                    <w:t>徐家梁子居民点</w:t>
                  </w:r>
                </w:p>
              </w:tc>
              <w:tc>
                <w:tcPr>
                  <w:tcW w:w="898" w:type="pct"/>
                  <w:vAlign w:val="center"/>
                </w:tcPr>
                <w:p w14:paraId="5F930DEA">
                  <w:pPr>
                    <w:pStyle w:val="95"/>
                    <w:spacing w:before="0" w:after="0"/>
                  </w:pPr>
                  <w:r>
                    <w:t>103°08'49.3053"</w:t>
                  </w:r>
                </w:p>
                <w:p w14:paraId="407B96D1">
                  <w:pPr>
                    <w:pStyle w:val="95"/>
                    <w:spacing w:before="0" w:after="0"/>
                    <w:rPr>
                      <w:rFonts w:hint="eastAsia"/>
                      <w:b/>
                      <w:bCs/>
                    </w:rPr>
                  </w:pPr>
                  <w:r>
                    <w:t>26°27'02.9632"</w:t>
                  </w:r>
                </w:p>
              </w:tc>
              <w:tc>
                <w:tcPr>
                  <w:tcW w:w="620" w:type="pct"/>
                  <w:vAlign w:val="center"/>
                </w:tcPr>
                <w:p w14:paraId="06FA1AC8">
                  <w:pPr>
                    <w:pStyle w:val="95"/>
                    <w:spacing w:before="0" w:after="0"/>
                    <w:rPr>
                      <w:b/>
                      <w:bCs/>
                    </w:rPr>
                  </w:pPr>
                  <w:r>
                    <w:rPr>
                      <w:rFonts w:hint="eastAsia"/>
                    </w:rPr>
                    <w:t>集电线路南侧</w:t>
                  </w:r>
                  <w:r>
                    <w:t>60</w:t>
                  </w:r>
                  <w:r>
                    <w:rPr>
                      <w:rFonts w:hint="eastAsia"/>
                    </w:rPr>
                    <w:t>m</w:t>
                  </w:r>
                </w:p>
              </w:tc>
              <w:tc>
                <w:tcPr>
                  <w:tcW w:w="663" w:type="pct"/>
                  <w:vAlign w:val="center"/>
                </w:tcPr>
                <w:p w14:paraId="312D3FA0">
                  <w:pPr>
                    <w:pStyle w:val="95"/>
                    <w:spacing w:before="0" w:after="0"/>
                    <w:rPr>
                      <w:b/>
                      <w:bCs/>
                    </w:rPr>
                  </w:pPr>
                  <w:r>
                    <w:rPr>
                      <w:rFonts w:hint="eastAsia"/>
                    </w:rPr>
                    <w:t>L</w:t>
                  </w:r>
                  <w:r>
                    <w:t>16</w:t>
                  </w:r>
                  <w:r>
                    <w:rPr>
                      <w:rFonts w:hint="eastAsia"/>
                    </w:rPr>
                    <w:t>阵列南侧1</w:t>
                  </w:r>
                  <w:r>
                    <w:t>.4</w:t>
                  </w:r>
                  <w:r>
                    <w:rPr>
                      <w:rFonts w:hint="eastAsia"/>
                    </w:rPr>
                    <w:t>km</w:t>
                  </w:r>
                </w:p>
              </w:tc>
              <w:tc>
                <w:tcPr>
                  <w:tcW w:w="470" w:type="pct"/>
                  <w:vAlign w:val="center"/>
                </w:tcPr>
                <w:p w14:paraId="5F0FC26A">
                  <w:pPr>
                    <w:pStyle w:val="95"/>
                    <w:spacing w:before="0" w:after="0"/>
                  </w:pPr>
                  <w:r>
                    <w:rPr>
                      <w:rFonts w:hint="eastAsia"/>
                    </w:rPr>
                    <w:t>东南侧7</w:t>
                  </w:r>
                  <w:r>
                    <w:t>.8</w:t>
                  </w:r>
                  <w:r>
                    <w:rPr>
                      <w:rFonts w:hint="eastAsia"/>
                    </w:rPr>
                    <w:t>km</w:t>
                  </w:r>
                </w:p>
              </w:tc>
              <w:tc>
                <w:tcPr>
                  <w:tcW w:w="545" w:type="pct"/>
                  <w:vAlign w:val="center"/>
                </w:tcPr>
                <w:p w14:paraId="7417B7C9">
                  <w:pPr>
                    <w:pStyle w:val="95"/>
                    <w:spacing w:before="0" w:after="0"/>
                  </w:pPr>
                  <w:r>
                    <w:rPr>
                      <w:rFonts w:hint="eastAsia"/>
                    </w:rPr>
                    <w:t>南侧1</w:t>
                  </w:r>
                  <w:r>
                    <w:t>.6</w:t>
                  </w:r>
                  <w:r>
                    <w:rPr>
                      <w:rFonts w:hint="eastAsia"/>
                    </w:rPr>
                    <w:t>km</w:t>
                  </w:r>
                </w:p>
              </w:tc>
              <w:tc>
                <w:tcPr>
                  <w:tcW w:w="544" w:type="pct"/>
                  <w:vAlign w:val="center"/>
                </w:tcPr>
                <w:p w14:paraId="1A4D9CED">
                  <w:pPr>
                    <w:pStyle w:val="95"/>
                    <w:spacing w:before="0" w:after="0"/>
                    <w:rPr>
                      <w:b/>
                      <w:bCs/>
                    </w:rPr>
                  </w:pPr>
                  <w:r>
                    <w:t>80</w:t>
                  </w:r>
                  <w:r>
                    <w:rPr>
                      <w:rFonts w:hint="eastAsia"/>
                    </w:rPr>
                    <w:t>户，约2</w:t>
                  </w:r>
                  <w:r>
                    <w:t>40</w:t>
                  </w:r>
                  <w:r>
                    <w:rPr>
                      <w:rFonts w:hint="eastAsia"/>
                    </w:rPr>
                    <w:t>人</w:t>
                  </w:r>
                </w:p>
              </w:tc>
              <w:tc>
                <w:tcPr>
                  <w:tcW w:w="512" w:type="pct"/>
                  <w:vMerge w:val="continue"/>
                  <w:vAlign w:val="center"/>
                </w:tcPr>
                <w:p w14:paraId="5346B6B6">
                  <w:pPr>
                    <w:pStyle w:val="95"/>
                    <w:spacing w:before="0" w:after="0"/>
                    <w:rPr>
                      <w:b/>
                      <w:bCs/>
                    </w:rPr>
                  </w:pPr>
                </w:p>
              </w:tc>
            </w:tr>
            <w:tr w14:paraId="715B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2514E9BC">
                  <w:pPr>
                    <w:pStyle w:val="95"/>
                    <w:numPr>
                      <w:ilvl w:val="0"/>
                      <w:numId w:val="10"/>
                    </w:numPr>
                    <w:spacing w:before="0" w:after="0"/>
                    <w:rPr>
                      <w:rFonts w:hint="eastAsia"/>
                    </w:rPr>
                  </w:pPr>
                </w:p>
              </w:tc>
              <w:tc>
                <w:tcPr>
                  <w:tcW w:w="524" w:type="pct"/>
                  <w:vAlign w:val="center"/>
                </w:tcPr>
                <w:p w14:paraId="08682905">
                  <w:pPr>
                    <w:pStyle w:val="95"/>
                    <w:spacing w:before="0" w:after="0"/>
                    <w:rPr>
                      <w:b/>
                      <w:bCs/>
                    </w:rPr>
                  </w:pPr>
                  <w:r>
                    <w:rPr>
                      <w:rFonts w:hint="eastAsia"/>
                    </w:rPr>
                    <w:t>牛泥塘居民点</w:t>
                  </w:r>
                </w:p>
              </w:tc>
              <w:tc>
                <w:tcPr>
                  <w:tcW w:w="898" w:type="pct"/>
                  <w:vAlign w:val="center"/>
                </w:tcPr>
                <w:p w14:paraId="7294296A">
                  <w:pPr>
                    <w:pStyle w:val="95"/>
                    <w:spacing w:before="0" w:after="0"/>
                  </w:pPr>
                  <w:r>
                    <w:t>103°09'06.7436"</w:t>
                  </w:r>
                </w:p>
                <w:p w14:paraId="4E4F4F9E">
                  <w:pPr>
                    <w:pStyle w:val="95"/>
                    <w:spacing w:before="0" w:after="0"/>
                    <w:rPr>
                      <w:rFonts w:hint="eastAsia"/>
                      <w:b/>
                      <w:bCs/>
                    </w:rPr>
                  </w:pPr>
                  <w:r>
                    <w:t>26°27'09.8479"</w:t>
                  </w:r>
                </w:p>
              </w:tc>
              <w:tc>
                <w:tcPr>
                  <w:tcW w:w="620" w:type="pct"/>
                  <w:vAlign w:val="center"/>
                </w:tcPr>
                <w:p w14:paraId="0214F708">
                  <w:pPr>
                    <w:pStyle w:val="95"/>
                    <w:spacing w:before="0" w:after="0"/>
                    <w:rPr>
                      <w:b/>
                      <w:bCs/>
                    </w:rPr>
                  </w:pPr>
                  <w:r>
                    <w:rPr>
                      <w:rFonts w:hint="eastAsia"/>
                    </w:rPr>
                    <w:t>集电线路东北侧</w:t>
                  </w:r>
                  <w:r>
                    <w:t>50</w:t>
                  </w:r>
                  <w:r>
                    <w:rPr>
                      <w:rFonts w:hint="eastAsia"/>
                    </w:rPr>
                    <w:t>m</w:t>
                  </w:r>
                </w:p>
              </w:tc>
              <w:tc>
                <w:tcPr>
                  <w:tcW w:w="663" w:type="pct"/>
                  <w:vAlign w:val="center"/>
                </w:tcPr>
                <w:p w14:paraId="6BECA0FE">
                  <w:pPr>
                    <w:pStyle w:val="95"/>
                    <w:spacing w:before="0" w:after="0"/>
                    <w:rPr>
                      <w:b/>
                      <w:bCs/>
                    </w:rPr>
                  </w:pPr>
                  <w:r>
                    <w:rPr>
                      <w:rFonts w:hint="eastAsia"/>
                    </w:rPr>
                    <w:t>L</w:t>
                  </w:r>
                  <w:r>
                    <w:t>16</w:t>
                  </w:r>
                  <w:r>
                    <w:rPr>
                      <w:rFonts w:hint="eastAsia"/>
                    </w:rPr>
                    <w:t>阵列南侧1</w:t>
                  </w:r>
                  <w:r>
                    <w:t>.6</w:t>
                  </w:r>
                  <w:r>
                    <w:rPr>
                      <w:rFonts w:hint="eastAsia"/>
                    </w:rPr>
                    <w:t>km</w:t>
                  </w:r>
                </w:p>
              </w:tc>
              <w:tc>
                <w:tcPr>
                  <w:tcW w:w="470" w:type="pct"/>
                  <w:vAlign w:val="center"/>
                </w:tcPr>
                <w:p w14:paraId="725F8F89">
                  <w:pPr>
                    <w:pStyle w:val="95"/>
                    <w:spacing w:before="0" w:after="0"/>
                  </w:pPr>
                  <w:r>
                    <w:rPr>
                      <w:rFonts w:hint="eastAsia"/>
                    </w:rPr>
                    <w:t>东南侧8</w:t>
                  </w:r>
                  <w:r>
                    <w:t>.1</w:t>
                  </w:r>
                  <w:r>
                    <w:rPr>
                      <w:rFonts w:hint="eastAsia"/>
                    </w:rPr>
                    <w:t>km</w:t>
                  </w:r>
                </w:p>
              </w:tc>
              <w:tc>
                <w:tcPr>
                  <w:tcW w:w="545" w:type="pct"/>
                  <w:vAlign w:val="center"/>
                </w:tcPr>
                <w:p w14:paraId="604BE722">
                  <w:pPr>
                    <w:pStyle w:val="95"/>
                    <w:spacing w:before="0" w:after="0"/>
                    <w:rPr>
                      <w:rFonts w:hint="eastAsia"/>
                    </w:rPr>
                  </w:pPr>
                  <w:r>
                    <w:rPr>
                      <w:rFonts w:hint="eastAsia"/>
                    </w:rPr>
                    <w:t>南侧1</w:t>
                  </w:r>
                  <w:r>
                    <w:t>.2</w:t>
                  </w:r>
                  <w:r>
                    <w:rPr>
                      <w:rFonts w:hint="eastAsia"/>
                    </w:rPr>
                    <w:t>km</w:t>
                  </w:r>
                </w:p>
              </w:tc>
              <w:tc>
                <w:tcPr>
                  <w:tcW w:w="544" w:type="pct"/>
                  <w:vAlign w:val="center"/>
                </w:tcPr>
                <w:p w14:paraId="53BDE095">
                  <w:pPr>
                    <w:pStyle w:val="95"/>
                    <w:spacing w:before="0" w:after="0"/>
                    <w:rPr>
                      <w:b/>
                      <w:bCs/>
                    </w:rPr>
                  </w:pPr>
                  <w:r>
                    <w:rPr>
                      <w:rFonts w:hint="eastAsia"/>
                    </w:rPr>
                    <w:t>2</w:t>
                  </w:r>
                  <w:r>
                    <w:t>0</w:t>
                  </w:r>
                  <w:r>
                    <w:rPr>
                      <w:rFonts w:hint="eastAsia"/>
                    </w:rPr>
                    <w:t>户，约6</w:t>
                  </w:r>
                  <w:r>
                    <w:t>0</w:t>
                  </w:r>
                  <w:r>
                    <w:rPr>
                      <w:rFonts w:hint="eastAsia"/>
                    </w:rPr>
                    <w:t>人</w:t>
                  </w:r>
                </w:p>
              </w:tc>
              <w:tc>
                <w:tcPr>
                  <w:tcW w:w="512" w:type="pct"/>
                  <w:vMerge w:val="continue"/>
                  <w:vAlign w:val="center"/>
                </w:tcPr>
                <w:p w14:paraId="16B5B22E">
                  <w:pPr>
                    <w:pStyle w:val="95"/>
                    <w:spacing w:before="0" w:after="0"/>
                    <w:rPr>
                      <w:b/>
                      <w:bCs/>
                    </w:rPr>
                  </w:pPr>
                </w:p>
              </w:tc>
            </w:tr>
            <w:tr w14:paraId="0108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5EF2F70D">
                  <w:pPr>
                    <w:pStyle w:val="95"/>
                    <w:numPr>
                      <w:ilvl w:val="0"/>
                      <w:numId w:val="10"/>
                    </w:numPr>
                    <w:spacing w:before="0" w:after="0"/>
                    <w:rPr>
                      <w:rFonts w:hint="eastAsia"/>
                    </w:rPr>
                  </w:pPr>
                </w:p>
              </w:tc>
              <w:tc>
                <w:tcPr>
                  <w:tcW w:w="524" w:type="pct"/>
                  <w:vAlign w:val="center"/>
                </w:tcPr>
                <w:p w14:paraId="40B08B40">
                  <w:pPr>
                    <w:pStyle w:val="95"/>
                    <w:spacing w:before="0" w:after="0"/>
                    <w:rPr>
                      <w:b/>
                      <w:bCs/>
                    </w:rPr>
                  </w:pPr>
                  <w:r>
                    <w:rPr>
                      <w:rFonts w:hint="eastAsia"/>
                    </w:rPr>
                    <w:t>张家沟居民点</w:t>
                  </w:r>
                </w:p>
              </w:tc>
              <w:tc>
                <w:tcPr>
                  <w:tcW w:w="898" w:type="pct"/>
                  <w:vAlign w:val="center"/>
                </w:tcPr>
                <w:p w14:paraId="421E014E">
                  <w:pPr>
                    <w:pStyle w:val="95"/>
                    <w:spacing w:before="0" w:after="0"/>
                  </w:pPr>
                  <w:r>
                    <w:t>103°09'19.5894"</w:t>
                  </w:r>
                </w:p>
                <w:p w14:paraId="161ECBC0">
                  <w:pPr>
                    <w:pStyle w:val="95"/>
                    <w:spacing w:before="0" w:after="0"/>
                    <w:rPr>
                      <w:rFonts w:hint="eastAsia"/>
                      <w:b/>
                      <w:bCs/>
                    </w:rPr>
                  </w:pPr>
                  <w:r>
                    <w:t>26°27'05.0552"</w:t>
                  </w:r>
                </w:p>
              </w:tc>
              <w:tc>
                <w:tcPr>
                  <w:tcW w:w="620" w:type="pct"/>
                  <w:vAlign w:val="center"/>
                </w:tcPr>
                <w:p w14:paraId="66C17165">
                  <w:pPr>
                    <w:pStyle w:val="95"/>
                    <w:spacing w:before="0" w:after="0"/>
                    <w:rPr>
                      <w:b/>
                      <w:bCs/>
                    </w:rPr>
                  </w:pPr>
                  <w:r>
                    <w:rPr>
                      <w:rFonts w:hint="eastAsia"/>
                    </w:rPr>
                    <w:t>集电线路东北侧1</w:t>
                  </w:r>
                  <w:r>
                    <w:t>50</w:t>
                  </w:r>
                  <w:r>
                    <w:rPr>
                      <w:rFonts w:hint="eastAsia"/>
                    </w:rPr>
                    <w:t>m</w:t>
                  </w:r>
                </w:p>
              </w:tc>
              <w:tc>
                <w:tcPr>
                  <w:tcW w:w="663" w:type="pct"/>
                  <w:vAlign w:val="center"/>
                </w:tcPr>
                <w:p w14:paraId="2EDF9097">
                  <w:pPr>
                    <w:pStyle w:val="95"/>
                    <w:spacing w:before="0" w:after="0"/>
                    <w:rPr>
                      <w:b/>
                      <w:bCs/>
                    </w:rPr>
                  </w:pPr>
                  <w:r>
                    <w:rPr>
                      <w:rFonts w:hint="eastAsia"/>
                    </w:rPr>
                    <w:t>L</w:t>
                  </w:r>
                  <w:r>
                    <w:t>16</w:t>
                  </w:r>
                  <w:r>
                    <w:rPr>
                      <w:rFonts w:hint="eastAsia"/>
                    </w:rPr>
                    <w:t>阵列南侧1</w:t>
                  </w:r>
                  <w:r>
                    <w:t>.3</w:t>
                  </w:r>
                  <w:r>
                    <w:rPr>
                      <w:rFonts w:hint="eastAsia"/>
                    </w:rPr>
                    <w:t>km</w:t>
                  </w:r>
                </w:p>
              </w:tc>
              <w:tc>
                <w:tcPr>
                  <w:tcW w:w="470" w:type="pct"/>
                  <w:vAlign w:val="center"/>
                </w:tcPr>
                <w:p w14:paraId="5490BD79">
                  <w:pPr>
                    <w:pStyle w:val="95"/>
                    <w:spacing w:before="0" w:after="0"/>
                  </w:pPr>
                  <w:r>
                    <w:rPr>
                      <w:rFonts w:hint="eastAsia"/>
                    </w:rPr>
                    <w:t>东南侧8</w:t>
                  </w:r>
                  <w:r>
                    <w:t>.3</w:t>
                  </w:r>
                  <w:r>
                    <w:rPr>
                      <w:rFonts w:hint="eastAsia"/>
                    </w:rPr>
                    <w:t>km</w:t>
                  </w:r>
                </w:p>
              </w:tc>
              <w:tc>
                <w:tcPr>
                  <w:tcW w:w="545" w:type="pct"/>
                  <w:vAlign w:val="center"/>
                </w:tcPr>
                <w:p w14:paraId="2E19C7DE">
                  <w:pPr>
                    <w:pStyle w:val="95"/>
                    <w:spacing w:before="0" w:after="0"/>
                    <w:rPr>
                      <w:rFonts w:hint="eastAsia"/>
                    </w:rPr>
                  </w:pPr>
                  <w:r>
                    <w:rPr>
                      <w:rFonts w:hint="eastAsia"/>
                    </w:rPr>
                    <w:t>东南侧1</w:t>
                  </w:r>
                  <w:r>
                    <w:t>.5</w:t>
                  </w:r>
                  <w:r>
                    <w:rPr>
                      <w:rFonts w:hint="eastAsia"/>
                    </w:rPr>
                    <w:t>km</w:t>
                  </w:r>
                </w:p>
              </w:tc>
              <w:tc>
                <w:tcPr>
                  <w:tcW w:w="544" w:type="pct"/>
                  <w:vAlign w:val="center"/>
                </w:tcPr>
                <w:p w14:paraId="0433D8E4">
                  <w:pPr>
                    <w:pStyle w:val="95"/>
                    <w:spacing w:before="0" w:after="0"/>
                    <w:rPr>
                      <w:b/>
                      <w:bCs/>
                    </w:rPr>
                  </w:pPr>
                  <w:r>
                    <w:rPr>
                      <w:rFonts w:hint="eastAsia"/>
                    </w:rPr>
                    <w:t>2</w:t>
                  </w:r>
                  <w:r>
                    <w:t>0</w:t>
                  </w:r>
                  <w:r>
                    <w:rPr>
                      <w:rFonts w:hint="eastAsia"/>
                    </w:rPr>
                    <w:t>户，约6</w:t>
                  </w:r>
                  <w:r>
                    <w:t>0</w:t>
                  </w:r>
                  <w:r>
                    <w:rPr>
                      <w:rFonts w:hint="eastAsia"/>
                    </w:rPr>
                    <w:t>人</w:t>
                  </w:r>
                </w:p>
              </w:tc>
              <w:tc>
                <w:tcPr>
                  <w:tcW w:w="512" w:type="pct"/>
                  <w:vMerge w:val="continue"/>
                  <w:vAlign w:val="center"/>
                </w:tcPr>
                <w:p w14:paraId="71A29EF0">
                  <w:pPr>
                    <w:pStyle w:val="95"/>
                    <w:spacing w:before="0" w:after="0"/>
                    <w:rPr>
                      <w:b/>
                      <w:bCs/>
                    </w:rPr>
                  </w:pPr>
                </w:p>
              </w:tc>
            </w:tr>
            <w:tr w14:paraId="64D0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5C3E560F">
                  <w:pPr>
                    <w:pStyle w:val="95"/>
                    <w:numPr>
                      <w:ilvl w:val="0"/>
                      <w:numId w:val="10"/>
                    </w:numPr>
                    <w:spacing w:before="0" w:after="0"/>
                    <w:rPr>
                      <w:rFonts w:hint="eastAsia"/>
                    </w:rPr>
                  </w:pPr>
                </w:p>
              </w:tc>
              <w:tc>
                <w:tcPr>
                  <w:tcW w:w="524" w:type="pct"/>
                  <w:vAlign w:val="center"/>
                </w:tcPr>
                <w:p w14:paraId="26EB9861">
                  <w:pPr>
                    <w:pStyle w:val="95"/>
                    <w:spacing w:before="0" w:after="0"/>
                    <w:rPr>
                      <w:b/>
                      <w:bCs/>
                    </w:rPr>
                  </w:pPr>
                  <w:r>
                    <w:rPr>
                      <w:rFonts w:hint="eastAsia"/>
                    </w:rPr>
                    <w:t>徐家湾子居民点</w:t>
                  </w:r>
                </w:p>
              </w:tc>
              <w:tc>
                <w:tcPr>
                  <w:tcW w:w="898" w:type="pct"/>
                  <w:vAlign w:val="center"/>
                </w:tcPr>
                <w:p w14:paraId="5A3D3A00">
                  <w:pPr>
                    <w:pStyle w:val="95"/>
                    <w:spacing w:before="0" w:after="0"/>
                  </w:pPr>
                  <w:r>
                    <w:t>103°09'25.7991"</w:t>
                  </w:r>
                </w:p>
                <w:p w14:paraId="46A479AC">
                  <w:pPr>
                    <w:pStyle w:val="95"/>
                    <w:spacing w:before="0" w:after="0"/>
                    <w:rPr>
                      <w:rFonts w:hint="eastAsia"/>
                      <w:b/>
                      <w:bCs/>
                    </w:rPr>
                  </w:pPr>
                  <w:r>
                    <w:t>26°26'41.6753"</w:t>
                  </w:r>
                </w:p>
              </w:tc>
              <w:tc>
                <w:tcPr>
                  <w:tcW w:w="620" w:type="pct"/>
                  <w:vAlign w:val="center"/>
                </w:tcPr>
                <w:p w14:paraId="7F2A713D">
                  <w:pPr>
                    <w:pStyle w:val="95"/>
                    <w:spacing w:before="0" w:after="0"/>
                    <w:rPr>
                      <w:b/>
                      <w:bCs/>
                    </w:rPr>
                  </w:pPr>
                  <w:r>
                    <w:rPr>
                      <w:rFonts w:hint="eastAsia"/>
                    </w:rPr>
                    <w:t>集电线路东侧1</w:t>
                  </w:r>
                  <w:r>
                    <w:t>0</w:t>
                  </w:r>
                  <w:r>
                    <w:rPr>
                      <w:rFonts w:hint="eastAsia"/>
                    </w:rPr>
                    <w:t>m</w:t>
                  </w:r>
                </w:p>
              </w:tc>
              <w:tc>
                <w:tcPr>
                  <w:tcW w:w="663" w:type="pct"/>
                  <w:vAlign w:val="center"/>
                </w:tcPr>
                <w:p w14:paraId="1539DDF3">
                  <w:pPr>
                    <w:pStyle w:val="95"/>
                    <w:spacing w:before="0" w:after="0"/>
                    <w:rPr>
                      <w:b/>
                      <w:bCs/>
                    </w:rPr>
                  </w:pPr>
                  <w:r>
                    <w:rPr>
                      <w:rFonts w:hint="eastAsia"/>
                    </w:rPr>
                    <w:t>L</w:t>
                  </w:r>
                  <w:r>
                    <w:t>16</w:t>
                  </w:r>
                  <w:r>
                    <w:rPr>
                      <w:rFonts w:hint="eastAsia"/>
                    </w:rPr>
                    <w:t>阵列西北侧8</w:t>
                  </w:r>
                  <w:r>
                    <w:t>00</w:t>
                  </w:r>
                  <w:r>
                    <w:rPr>
                      <w:rFonts w:hint="eastAsia"/>
                    </w:rPr>
                    <w:t>m</w:t>
                  </w:r>
                </w:p>
              </w:tc>
              <w:tc>
                <w:tcPr>
                  <w:tcW w:w="470" w:type="pct"/>
                  <w:vAlign w:val="center"/>
                </w:tcPr>
                <w:p w14:paraId="0F94066F">
                  <w:pPr>
                    <w:pStyle w:val="95"/>
                    <w:spacing w:before="0" w:after="0"/>
                  </w:pPr>
                  <w:r>
                    <w:rPr>
                      <w:rFonts w:hint="eastAsia"/>
                    </w:rPr>
                    <w:t>东南侧8</w:t>
                  </w:r>
                  <w:r>
                    <w:t>.9</w:t>
                  </w:r>
                  <w:r>
                    <w:rPr>
                      <w:rFonts w:hint="eastAsia"/>
                    </w:rPr>
                    <w:t>km</w:t>
                  </w:r>
                </w:p>
              </w:tc>
              <w:tc>
                <w:tcPr>
                  <w:tcW w:w="545" w:type="pct"/>
                  <w:vAlign w:val="center"/>
                </w:tcPr>
                <w:p w14:paraId="12FE6BAC">
                  <w:pPr>
                    <w:pStyle w:val="95"/>
                    <w:spacing w:before="0" w:after="0"/>
                  </w:pPr>
                  <w:r>
                    <w:rPr>
                      <w:rFonts w:hint="eastAsia"/>
                    </w:rPr>
                    <w:t>西北侧7</w:t>
                  </w:r>
                  <w:r>
                    <w:t>60</w:t>
                  </w:r>
                  <w:r>
                    <w:rPr>
                      <w:rFonts w:hint="eastAsia"/>
                    </w:rPr>
                    <w:t>m</w:t>
                  </w:r>
                </w:p>
              </w:tc>
              <w:tc>
                <w:tcPr>
                  <w:tcW w:w="544" w:type="pct"/>
                  <w:vAlign w:val="center"/>
                </w:tcPr>
                <w:p w14:paraId="7CCFE784">
                  <w:pPr>
                    <w:pStyle w:val="95"/>
                    <w:spacing w:before="0" w:after="0"/>
                    <w:rPr>
                      <w:b/>
                      <w:bCs/>
                    </w:rPr>
                  </w:pPr>
                  <w:r>
                    <w:t>50</w:t>
                  </w:r>
                  <w:r>
                    <w:rPr>
                      <w:rFonts w:hint="eastAsia"/>
                    </w:rPr>
                    <w:t>户，约</w:t>
                  </w:r>
                  <w:r>
                    <w:t>150</w:t>
                  </w:r>
                  <w:r>
                    <w:rPr>
                      <w:rFonts w:hint="eastAsia"/>
                    </w:rPr>
                    <w:t>人</w:t>
                  </w:r>
                </w:p>
              </w:tc>
              <w:tc>
                <w:tcPr>
                  <w:tcW w:w="512" w:type="pct"/>
                  <w:vMerge w:val="continue"/>
                  <w:vAlign w:val="center"/>
                </w:tcPr>
                <w:p w14:paraId="6DD9749C">
                  <w:pPr>
                    <w:pStyle w:val="95"/>
                    <w:spacing w:before="0" w:after="0"/>
                    <w:rPr>
                      <w:b/>
                      <w:bCs/>
                    </w:rPr>
                  </w:pPr>
                </w:p>
              </w:tc>
            </w:tr>
            <w:tr w14:paraId="70C6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1D2D388D">
                  <w:pPr>
                    <w:pStyle w:val="95"/>
                    <w:numPr>
                      <w:ilvl w:val="0"/>
                      <w:numId w:val="10"/>
                    </w:numPr>
                    <w:spacing w:before="0" w:after="0"/>
                    <w:rPr>
                      <w:rFonts w:hint="eastAsia"/>
                    </w:rPr>
                  </w:pPr>
                </w:p>
              </w:tc>
              <w:tc>
                <w:tcPr>
                  <w:tcW w:w="524" w:type="pct"/>
                  <w:vAlign w:val="center"/>
                </w:tcPr>
                <w:p w14:paraId="517C8C9B">
                  <w:pPr>
                    <w:pStyle w:val="95"/>
                    <w:spacing w:before="0" w:after="0"/>
                    <w:rPr>
                      <w:b/>
                      <w:bCs/>
                    </w:rPr>
                  </w:pPr>
                  <w:r>
                    <w:rPr>
                      <w:rFonts w:hint="eastAsia"/>
                    </w:rPr>
                    <w:t>炉房咀居民点</w:t>
                  </w:r>
                </w:p>
              </w:tc>
              <w:tc>
                <w:tcPr>
                  <w:tcW w:w="898" w:type="pct"/>
                  <w:vAlign w:val="center"/>
                </w:tcPr>
                <w:p w14:paraId="2E55B146">
                  <w:pPr>
                    <w:pStyle w:val="95"/>
                    <w:spacing w:before="0" w:after="0"/>
                  </w:pPr>
                  <w:r>
                    <w:t>103°09'15.6537"</w:t>
                  </w:r>
                </w:p>
                <w:p w14:paraId="5B494C1E">
                  <w:pPr>
                    <w:pStyle w:val="95"/>
                    <w:spacing w:before="0" w:after="0"/>
                    <w:rPr>
                      <w:rFonts w:hint="eastAsia"/>
                      <w:b/>
                      <w:bCs/>
                    </w:rPr>
                  </w:pPr>
                  <w:r>
                    <w:t>26°26'38.8239"</w:t>
                  </w:r>
                </w:p>
              </w:tc>
              <w:tc>
                <w:tcPr>
                  <w:tcW w:w="620" w:type="pct"/>
                  <w:vAlign w:val="center"/>
                </w:tcPr>
                <w:p w14:paraId="77FC2885">
                  <w:pPr>
                    <w:pStyle w:val="95"/>
                    <w:spacing w:before="0" w:after="0"/>
                    <w:rPr>
                      <w:b/>
                      <w:bCs/>
                    </w:rPr>
                  </w:pPr>
                  <w:r>
                    <w:rPr>
                      <w:rFonts w:hint="eastAsia"/>
                    </w:rPr>
                    <w:t>集电线路西侧</w:t>
                  </w:r>
                  <w:r>
                    <w:t>50</w:t>
                  </w:r>
                  <w:r>
                    <w:rPr>
                      <w:rFonts w:hint="eastAsia"/>
                    </w:rPr>
                    <w:t>m</w:t>
                  </w:r>
                </w:p>
              </w:tc>
              <w:tc>
                <w:tcPr>
                  <w:tcW w:w="663" w:type="pct"/>
                  <w:vAlign w:val="center"/>
                </w:tcPr>
                <w:p w14:paraId="55B570D0">
                  <w:pPr>
                    <w:pStyle w:val="95"/>
                    <w:spacing w:before="0" w:after="0"/>
                    <w:rPr>
                      <w:b/>
                      <w:bCs/>
                    </w:rPr>
                  </w:pPr>
                  <w:r>
                    <w:rPr>
                      <w:rFonts w:hint="eastAsia"/>
                    </w:rPr>
                    <w:t>L</w:t>
                  </w:r>
                  <w:r>
                    <w:t>15</w:t>
                  </w:r>
                  <w:r>
                    <w:rPr>
                      <w:rFonts w:hint="eastAsia"/>
                    </w:rPr>
                    <w:t>阵列西北侧1km</w:t>
                  </w:r>
                </w:p>
              </w:tc>
              <w:tc>
                <w:tcPr>
                  <w:tcW w:w="470" w:type="pct"/>
                  <w:vAlign w:val="center"/>
                </w:tcPr>
                <w:p w14:paraId="79A1B36E">
                  <w:pPr>
                    <w:pStyle w:val="95"/>
                    <w:spacing w:before="0" w:after="0"/>
                  </w:pPr>
                  <w:r>
                    <w:rPr>
                      <w:rFonts w:hint="eastAsia"/>
                    </w:rPr>
                    <w:t>东南侧8</w:t>
                  </w:r>
                  <w:r>
                    <w:t>.7</w:t>
                  </w:r>
                  <w:r>
                    <w:rPr>
                      <w:rFonts w:hint="eastAsia"/>
                    </w:rPr>
                    <w:t>km</w:t>
                  </w:r>
                </w:p>
              </w:tc>
              <w:tc>
                <w:tcPr>
                  <w:tcW w:w="545" w:type="pct"/>
                  <w:vAlign w:val="center"/>
                </w:tcPr>
                <w:p w14:paraId="4742338F">
                  <w:pPr>
                    <w:pStyle w:val="95"/>
                    <w:spacing w:before="0" w:after="0"/>
                  </w:pPr>
                  <w:r>
                    <w:rPr>
                      <w:rFonts w:hint="eastAsia"/>
                    </w:rPr>
                    <w:t>西北侧1km</w:t>
                  </w:r>
                </w:p>
              </w:tc>
              <w:tc>
                <w:tcPr>
                  <w:tcW w:w="544" w:type="pct"/>
                  <w:vAlign w:val="center"/>
                </w:tcPr>
                <w:p w14:paraId="16F069B3">
                  <w:pPr>
                    <w:pStyle w:val="95"/>
                    <w:spacing w:before="0" w:after="0"/>
                    <w:rPr>
                      <w:b/>
                      <w:bCs/>
                    </w:rPr>
                  </w:pPr>
                  <w:r>
                    <w:t>40</w:t>
                  </w:r>
                  <w:r>
                    <w:rPr>
                      <w:rFonts w:hint="eastAsia"/>
                    </w:rPr>
                    <w:t>户，约1</w:t>
                  </w:r>
                  <w:r>
                    <w:t>20</w:t>
                  </w:r>
                  <w:r>
                    <w:rPr>
                      <w:rFonts w:hint="eastAsia"/>
                    </w:rPr>
                    <w:t>人</w:t>
                  </w:r>
                </w:p>
              </w:tc>
              <w:tc>
                <w:tcPr>
                  <w:tcW w:w="512" w:type="pct"/>
                  <w:vMerge w:val="continue"/>
                  <w:vAlign w:val="center"/>
                </w:tcPr>
                <w:p w14:paraId="1A92CCEB">
                  <w:pPr>
                    <w:pStyle w:val="95"/>
                    <w:spacing w:before="0" w:after="0"/>
                    <w:rPr>
                      <w:b/>
                      <w:bCs/>
                    </w:rPr>
                  </w:pPr>
                </w:p>
              </w:tc>
            </w:tr>
            <w:tr w14:paraId="01F46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79961B70">
                  <w:pPr>
                    <w:pStyle w:val="95"/>
                    <w:numPr>
                      <w:ilvl w:val="0"/>
                      <w:numId w:val="10"/>
                    </w:numPr>
                    <w:spacing w:before="0" w:after="0"/>
                    <w:rPr>
                      <w:rFonts w:hint="eastAsia"/>
                    </w:rPr>
                  </w:pPr>
                </w:p>
              </w:tc>
              <w:tc>
                <w:tcPr>
                  <w:tcW w:w="524" w:type="pct"/>
                  <w:vAlign w:val="center"/>
                </w:tcPr>
                <w:p w14:paraId="58E9DC7A">
                  <w:pPr>
                    <w:pStyle w:val="95"/>
                    <w:spacing w:before="0" w:after="0"/>
                    <w:rPr>
                      <w:b/>
                      <w:bCs/>
                    </w:rPr>
                  </w:pPr>
                  <w:r>
                    <w:rPr>
                      <w:rFonts w:hint="eastAsia"/>
                    </w:rPr>
                    <w:t>干海子村</w:t>
                  </w:r>
                </w:p>
              </w:tc>
              <w:tc>
                <w:tcPr>
                  <w:tcW w:w="898" w:type="pct"/>
                  <w:vAlign w:val="center"/>
                </w:tcPr>
                <w:p w14:paraId="79792E32">
                  <w:pPr>
                    <w:pStyle w:val="95"/>
                    <w:spacing w:before="0" w:after="0"/>
                  </w:pPr>
                  <w:r>
                    <w:t>103°09'14.9587"</w:t>
                  </w:r>
                </w:p>
                <w:p w14:paraId="144AA919">
                  <w:pPr>
                    <w:pStyle w:val="95"/>
                    <w:spacing w:before="0" w:after="0"/>
                    <w:rPr>
                      <w:rFonts w:hint="eastAsia"/>
                      <w:b/>
                      <w:bCs/>
                    </w:rPr>
                  </w:pPr>
                  <w:r>
                    <w:t>26°26'19.6727"</w:t>
                  </w:r>
                </w:p>
              </w:tc>
              <w:tc>
                <w:tcPr>
                  <w:tcW w:w="620" w:type="pct"/>
                  <w:vAlign w:val="center"/>
                </w:tcPr>
                <w:p w14:paraId="79319605">
                  <w:pPr>
                    <w:pStyle w:val="95"/>
                    <w:spacing w:before="0" w:after="0"/>
                    <w:rPr>
                      <w:b/>
                      <w:bCs/>
                    </w:rPr>
                  </w:pPr>
                  <w:r>
                    <w:rPr>
                      <w:rFonts w:hint="eastAsia"/>
                    </w:rPr>
                    <w:t>集电线路西侧1</w:t>
                  </w:r>
                  <w:r>
                    <w:t>50</w:t>
                  </w:r>
                  <w:r>
                    <w:rPr>
                      <w:rFonts w:hint="eastAsia"/>
                    </w:rPr>
                    <w:t>m</w:t>
                  </w:r>
                </w:p>
              </w:tc>
              <w:tc>
                <w:tcPr>
                  <w:tcW w:w="663" w:type="pct"/>
                  <w:vAlign w:val="center"/>
                </w:tcPr>
                <w:p w14:paraId="7F8CFA2F">
                  <w:pPr>
                    <w:pStyle w:val="95"/>
                    <w:spacing w:before="0" w:after="0"/>
                    <w:rPr>
                      <w:b/>
                      <w:bCs/>
                    </w:rPr>
                  </w:pPr>
                  <w:r>
                    <w:rPr>
                      <w:rFonts w:hint="eastAsia"/>
                    </w:rPr>
                    <w:t>L</w:t>
                  </w:r>
                  <w:r>
                    <w:t>15</w:t>
                  </w:r>
                  <w:r>
                    <w:rPr>
                      <w:rFonts w:hint="eastAsia"/>
                    </w:rPr>
                    <w:t>阵列西侧8</w:t>
                  </w:r>
                  <w:r>
                    <w:t>90</w:t>
                  </w:r>
                  <w:r>
                    <w:rPr>
                      <w:rFonts w:hint="eastAsia"/>
                    </w:rPr>
                    <w:t>m</w:t>
                  </w:r>
                </w:p>
              </w:tc>
              <w:tc>
                <w:tcPr>
                  <w:tcW w:w="470" w:type="pct"/>
                  <w:vAlign w:val="center"/>
                </w:tcPr>
                <w:p w14:paraId="04A3B479">
                  <w:pPr>
                    <w:pStyle w:val="95"/>
                    <w:spacing w:before="0" w:after="0"/>
                  </w:pPr>
                  <w:r>
                    <w:rPr>
                      <w:rFonts w:hint="eastAsia"/>
                    </w:rPr>
                    <w:t>东南侧9</w:t>
                  </w:r>
                  <w:r>
                    <w:t>.2</w:t>
                  </w:r>
                  <w:r>
                    <w:rPr>
                      <w:rFonts w:hint="eastAsia"/>
                    </w:rPr>
                    <w:t>km</w:t>
                  </w:r>
                </w:p>
              </w:tc>
              <w:tc>
                <w:tcPr>
                  <w:tcW w:w="545" w:type="pct"/>
                  <w:vAlign w:val="center"/>
                </w:tcPr>
                <w:p w14:paraId="5AE9A7F6">
                  <w:pPr>
                    <w:pStyle w:val="95"/>
                    <w:spacing w:before="0" w:after="0"/>
                  </w:pPr>
                  <w:r>
                    <w:rPr>
                      <w:rFonts w:hint="eastAsia"/>
                    </w:rPr>
                    <w:t>西南侧9</w:t>
                  </w:r>
                  <w:r>
                    <w:t>80</w:t>
                  </w:r>
                  <w:r>
                    <w:rPr>
                      <w:rFonts w:hint="eastAsia"/>
                    </w:rPr>
                    <w:t>m</w:t>
                  </w:r>
                </w:p>
              </w:tc>
              <w:tc>
                <w:tcPr>
                  <w:tcW w:w="544" w:type="pct"/>
                  <w:vAlign w:val="center"/>
                </w:tcPr>
                <w:p w14:paraId="50C42824">
                  <w:pPr>
                    <w:pStyle w:val="95"/>
                    <w:spacing w:before="0" w:after="0"/>
                    <w:rPr>
                      <w:b/>
                      <w:bCs/>
                    </w:rPr>
                  </w:pPr>
                  <w:r>
                    <w:t>200</w:t>
                  </w:r>
                  <w:r>
                    <w:rPr>
                      <w:rFonts w:hint="eastAsia"/>
                    </w:rPr>
                    <w:t>户，约6</w:t>
                  </w:r>
                  <w:r>
                    <w:t>00</w:t>
                  </w:r>
                  <w:r>
                    <w:rPr>
                      <w:rFonts w:hint="eastAsia"/>
                    </w:rPr>
                    <w:t>人</w:t>
                  </w:r>
                </w:p>
              </w:tc>
              <w:tc>
                <w:tcPr>
                  <w:tcW w:w="512" w:type="pct"/>
                  <w:vMerge w:val="continue"/>
                  <w:vAlign w:val="center"/>
                </w:tcPr>
                <w:p w14:paraId="02969F01">
                  <w:pPr>
                    <w:pStyle w:val="95"/>
                    <w:spacing w:before="0" w:after="0"/>
                    <w:rPr>
                      <w:b/>
                      <w:bCs/>
                    </w:rPr>
                  </w:pPr>
                </w:p>
              </w:tc>
            </w:tr>
            <w:tr w14:paraId="77F4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091A5749">
                  <w:pPr>
                    <w:pStyle w:val="95"/>
                    <w:numPr>
                      <w:ilvl w:val="0"/>
                      <w:numId w:val="10"/>
                    </w:numPr>
                    <w:spacing w:before="0" w:after="0"/>
                    <w:rPr>
                      <w:rFonts w:hint="eastAsia"/>
                    </w:rPr>
                  </w:pPr>
                </w:p>
              </w:tc>
              <w:tc>
                <w:tcPr>
                  <w:tcW w:w="524" w:type="pct"/>
                  <w:vAlign w:val="center"/>
                </w:tcPr>
                <w:p w14:paraId="0A519141">
                  <w:pPr>
                    <w:pStyle w:val="95"/>
                    <w:spacing w:before="0" w:after="0"/>
                    <w:rPr>
                      <w:b/>
                      <w:bCs/>
                    </w:rPr>
                  </w:pPr>
                  <w:r>
                    <w:rPr>
                      <w:rFonts w:hint="eastAsia"/>
                    </w:rPr>
                    <w:t>红泥村</w:t>
                  </w:r>
                </w:p>
              </w:tc>
              <w:tc>
                <w:tcPr>
                  <w:tcW w:w="898" w:type="pct"/>
                  <w:vAlign w:val="center"/>
                </w:tcPr>
                <w:p w14:paraId="49FC6C94">
                  <w:pPr>
                    <w:pStyle w:val="95"/>
                    <w:spacing w:before="0" w:after="0"/>
                  </w:pPr>
                  <w:r>
                    <w:t>103°05'30.6919"</w:t>
                  </w:r>
                </w:p>
                <w:p w14:paraId="5207988A">
                  <w:pPr>
                    <w:pStyle w:val="95"/>
                    <w:spacing w:before="0" w:after="0"/>
                    <w:rPr>
                      <w:rFonts w:hint="eastAsia"/>
                      <w:b/>
                      <w:bCs/>
                    </w:rPr>
                  </w:pPr>
                  <w:r>
                    <w:t>26°30'18.5910"</w:t>
                  </w:r>
                </w:p>
              </w:tc>
              <w:tc>
                <w:tcPr>
                  <w:tcW w:w="620" w:type="pct"/>
                  <w:vAlign w:val="center"/>
                </w:tcPr>
                <w:p w14:paraId="67D1FB27">
                  <w:pPr>
                    <w:pStyle w:val="95"/>
                    <w:spacing w:before="0" w:after="0"/>
                    <w:rPr>
                      <w:b/>
                      <w:bCs/>
                    </w:rPr>
                  </w:pPr>
                  <w:r>
                    <w:rPr>
                      <w:rFonts w:hint="eastAsia"/>
                    </w:rPr>
                    <w:t>集电线路南侧</w:t>
                  </w:r>
                  <w:r>
                    <w:t>60</w:t>
                  </w:r>
                  <w:r>
                    <w:rPr>
                      <w:rFonts w:hint="eastAsia"/>
                    </w:rPr>
                    <w:t>m</w:t>
                  </w:r>
                </w:p>
              </w:tc>
              <w:tc>
                <w:tcPr>
                  <w:tcW w:w="663" w:type="pct"/>
                  <w:vAlign w:val="center"/>
                </w:tcPr>
                <w:p w14:paraId="43549D5B">
                  <w:pPr>
                    <w:pStyle w:val="95"/>
                    <w:spacing w:before="0" w:after="0"/>
                    <w:rPr>
                      <w:b/>
                      <w:bCs/>
                    </w:rPr>
                  </w:pPr>
                  <w:r>
                    <w:rPr>
                      <w:rFonts w:hint="eastAsia"/>
                    </w:rPr>
                    <w:t>L</w:t>
                  </w:r>
                  <w:r>
                    <w:t>04</w:t>
                  </w:r>
                  <w:r>
                    <w:rPr>
                      <w:rFonts w:hint="eastAsia"/>
                    </w:rPr>
                    <w:t>阵列西侧7</w:t>
                  </w:r>
                  <w:r>
                    <w:t>00</w:t>
                  </w:r>
                  <w:r>
                    <w:rPr>
                      <w:rFonts w:hint="eastAsia"/>
                    </w:rPr>
                    <w:t>m</w:t>
                  </w:r>
                </w:p>
              </w:tc>
              <w:tc>
                <w:tcPr>
                  <w:tcW w:w="470" w:type="pct"/>
                  <w:vAlign w:val="center"/>
                </w:tcPr>
                <w:p w14:paraId="781440EA">
                  <w:pPr>
                    <w:pStyle w:val="95"/>
                    <w:spacing w:before="0" w:after="0"/>
                  </w:pPr>
                  <w:r>
                    <w:rPr>
                      <w:rFonts w:hint="eastAsia"/>
                    </w:rPr>
                    <w:t>西侧3</w:t>
                  </w:r>
                  <w:r>
                    <w:t>20</w:t>
                  </w:r>
                  <w:r>
                    <w:rPr>
                      <w:rFonts w:hint="eastAsia"/>
                    </w:rPr>
                    <w:t>m</w:t>
                  </w:r>
                </w:p>
              </w:tc>
              <w:tc>
                <w:tcPr>
                  <w:tcW w:w="545" w:type="pct"/>
                  <w:vAlign w:val="center"/>
                </w:tcPr>
                <w:p w14:paraId="5BED25BB">
                  <w:pPr>
                    <w:pStyle w:val="95"/>
                    <w:spacing w:before="0" w:after="0"/>
                    <w:rPr>
                      <w:rFonts w:hint="eastAsia"/>
                    </w:rPr>
                  </w:pPr>
                  <w:r>
                    <w:rPr>
                      <w:rFonts w:hint="eastAsia"/>
                    </w:rPr>
                    <w:t>西北侧1km</w:t>
                  </w:r>
                </w:p>
              </w:tc>
              <w:tc>
                <w:tcPr>
                  <w:tcW w:w="544" w:type="pct"/>
                  <w:vAlign w:val="center"/>
                </w:tcPr>
                <w:p w14:paraId="0A014B1F">
                  <w:pPr>
                    <w:pStyle w:val="95"/>
                    <w:spacing w:before="0" w:after="0"/>
                    <w:rPr>
                      <w:b/>
                      <w:bCs/>
                    </w:rPr>
                  </w:pPr>
                  <w:r>
                    <w:rPr>
                      <w:rFonts w:hint="eastAsia"/>
                    </w:rPr>
                    <w:t>2</w:t>
                  </w:r>
                  <w:r>
                    <w:t>0</w:t>
                  </w:r>
                  <w:r>
                    <w:rPr>
                      <w:rFonts w:hint="eastAsia"/>
                    </w:rPr>
                    <w:t>户，约6</w:t>
                  </w:r>
                  <w:r>
                    <w:t>0</w:t>
                  </w:r>
                  <w:r>
                    <w:rPr>
                      <w:rFonts w:hint="eastAsia"/>
                    </w:rPr>
                    <w:t>人</w:t>
                  </w:r>
                </w:p>
              </w:tc>
              <w:tc>
                <w:tcPr>
                  <w:tcW w:w="512" w:type="pct"/>
                  <w:vMerge w:val="continue"/>
                  <w:vAlign w:val="center"/>
                </w:tcPr>
                <w:p w14:paraId="574E7E24">
                  <w:pPr>
                    <w:pStyle w:val="95"/>
                    <w:spacing w:before="0" w:after="0"/>
                    <w:rPr>
                      <w:b/>
                      <w:bCs/>
                    </w:rPr>
                  </w:pPr>
                </w:p>
              </w:tc>
            </w:tr>
            <w:tr w14:paraId="73A9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286E3229">
                  <w:pPr>
                    <w:pStyle w:val="95"/>
                    <w:numPr>
                      <w:ilvl w:val="0"/>
                      <w:numId w:val="10"/>
                    </w:numPr>
                    <w:spacing w:before="0" w:after="0"/>
                    <w:rPr>
                      <w:rFonts w:hint="eastAsia"/>
                    </w:rPr>
                  </w:pPr>
                </w:p>
              </w:tc>
              <w:tc>
                <w:tcPr>
                  <w:tcW w:w="524" w:type="pct"/>
                  <w:vAlign w:val="center"/>
                </w:tcPr>
                <w:p w14:paraId="5236F1BA">
                  <w:pPr>
                    <w:pStyle w:val="95"/>
                    <w:spacing w:before="0" w:after="0"/>
                    <w:rPr>
                      <w:b/>
                      <w:bCs/>
                    </w:rPr>
                  </w:pPr>
                  <w:r>
                    <w:rPr>
                      <w:rFonts w:hint="eastAsia"/>
                    </w:rPr>
                    <w:t>梁子上居民点</w:t>
                  </w:r>
                </w:p>
              </w:tc>
              <w:tc>
                <w:tcPr>
                  <w:tcW w:w="898" w:type="pct"/>
                  <w:vAlign w:val="center"/>
                </w:tcPr>
                <w:p w14:paraId="67F5FECD">
                  <w:pPr>
                    <w:pStyle w:val="95"/>
                    <w:spacing w:before="0" w:after="0"/>
                  </w:pPr>
                  <w:r>
                    <w:t>103°06'51.6060"</w:t>
                  </w:r>
                </w:p>
                <w:p w14:paraId="7DE22869">
                  <w:pPr>
                    <w:pStyle w:val="95"/>
                    <w:spacing w:before="0" w:after="0"/>
                    <w:rPr>
                      <w:rFonts w:hint="eastAsia"/>
                      <w:b/>
                      <w:bCs/>
                    </w:rPr>
                  </w:pPr>
                  <w:r>
                    <w:t>26°25'23.4274"</w:t>
                  </w:r>
                </w:p>
              </w:tc>
              <w:tc>
                <w:tcPr>
                  <w:tcW w:w="620" w:type="pct"/>
                  <w:vAlign w:val="center"/>
                </w:tcPr>
                <w:p w14:paraId="1EC36744">
                  <w:pPr>
                    <w:pStyle w:val="95"/>
                    <w:spacing w:before="0" w:after="0"/>
                    <w:rPr>
                      <w:b/>
                      <w:bCs/>
                    </w:rPr>
                  </w:pPr>
                  <w:r>
                    <w:rPr>
                      <w:rFonts w:hint="eastAsia"/>
                    </w:rPr>
                    <w:t>集电线路东北侧1</w:t>
                  </w:r>
                  <w:r>
                    <w:t>80</w:t>
                  </w:r>
                  <w:r>
                    <w:rPr>
                      <w:rFonts w:hint="eastAsia"/>
                    </w:rPr>
                    <w:t>m</w:t>
                  </w:r>
                </w:p>
              </w:tc>
              <w:tc>
                <w:tcPr>
                  <w:tcW w:w="663" w:type="pct"/>
                  <w:vAlign w:val="center"/>
                </w:tcPr>
                <w:p w14:paraId="02DFCBDA">
                  <w:pPr>
                    <w:pStyle w:val="95"/>
                    <w:spacing w:before="0" w:after="0"/>
                    <w:rPr>
                      <w:b/>
                      <w:bCs/>
                    </w:rPr>
                  </w:pPr>
                  <w:r>
                    <w:rPr>
                      <w:rFonts w:hint="eastAsia"/>
                    </w:rPr>
                    <w:t>L</w:t>
                  </w:r>
                  <w:r>
                    <w:t>12</w:t>
                  </w:r>
                  <w:r>
                    <w:rPr>
                      <w:rFonts w:hint="eastAsia"/>
                    </w:rPr>
                    <w:t>阵列东侧</w:t>
                  </w:r>
                  <w:r>
                    <w:t>10</w:t>
                  </w:r>
                  <w:r>
                    <w:rPr>
                      <w:rFonts w:hint="eastAsia"/>
                    </w:rPr>
                    <w:t>m</w:t>
                  </w:r>
                </w:p>
              </w:tc>
              <w:tc>
                <w:tcPr>
                  <w:tcW w:w="470" w:type="pct"/>
                  <w:vAlign w:val="center"/>
                </w:tcPr>
                <w:p w14:paraId="195728D5">
                  <w:pPr>
                    <w:pStyle w:val="95"/>
                    <w:spacing w:before="0" w:after="0"/>
                  </w:pPr>
                  <w:r>
                    <w:rPr>
                      <w:rFonts w:hint="eastAsia"/>
                    </w:rPr>
                    <w:t>东南侧9</w:t>
                  </w:r>
                  <w:r>
                    <w:t>.3</w:t>
                  </w:r>
                  <w:r>
                    <w:rPr>
                      <w:rFonts w:hint="eastAsia"/>
                    </w:rPr>
                    <w:t>km</w:t>
                  </w:r>
                </w:p>
              </w:tc>
              <w:tc>
                <w:tcPr>
                  <w:tcW w:w="545" w:type="pct"/>
                  <w:vAlign w:val="center"/>
                </w:tcPr>
                <w:p w14:paraId="69A58F40">
                  <w:pPr>
                    <w:pStyle w:val="95"/>
                    <w:spacing w:before="0" w:after="0"/>
                  </w:pPr>
                  <w:r>
                    <w:rPr>
                      <w:rFonts w:hint="eastAsia"/>
                    </w:rPr>
                    <w:t>东北侧6</w:t>
                  </w:r>
                  <w:r>
                    <w:t>0</w:t>
                  </w:r>
                  <w:r>
                    <w:rPr>
                      <w:rFonts w:hint="eastAsia"/>
                    </w:rPr>
                    <w:t>m</w:t>
                  </w:r>
                </w:p>
              </w:tc>
              <w:tc>
                <w:tcPr>
                  <w:tcW w:w="544" w:type="pct"/>
                  <w:vAlign w:val="center"/>
                </w:tcPr>
                <w:p w14:paraId="1CAE3121">
                  <w:pPr>
                    <w:pStyle w:val="95"/>
                    <w:spacing w:before="0" w:after="0"/>
                    <w:rPr>
                      <w:b/>
                      <w:bCs/>
                    </w:rPr>
                  </w:pPr>
                  <w:r>
                    <w:t>8</w:t>
                  </w:r>
                  <w:r>
                    <w:rPr>
                      <w:rFonts w:hint="eastAsia"/>
                    </w:rPr>
                    <w:t>户，约2</w:t>
                  </w:r>
                  <w:r>
                    <w:t>4</w:t>
                  </w:r>
                  <w:r>
                    <w:rPr>
                      <w:rFonts w:hint="eastAsia"/>
                    </w:rPr>
                    <w:t>人</w:t>
                  </w:r>
                </w:p>
              </w:tc>
              <w:tc>
                <w:tcPr>
                  <w:tcW w:w="512" w:type="pct"/>
                  <w:vMerge w:val="continue"/>
                  <w:vAlign w:val="center"/>
                </w:tcPr>
                <w:p w14:paraId="78D3D844">
                  <w:pPr>
                    <w:pStyle w:val="95"/>
                    <w:spacing w:before="0" w:after="0"/>
                    <w:rPr>
                      <w:b/>
                      <w:bCs/>
                    </w:rPr>
                  </w:pPr>
                </w:p>
              </w:tc>
            </w:tr>
            <w:tr w14:paraId="751F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33628D44">
                  <w:pPr>
                    <w:pStyle w:val="95"/>
                    <w:numPr>
                      <w:ilvl w:val="0"/>
                      <w:numId w:val="10"/>
                    </w:numPr>
                    <w:spacing w:before="0" w:after="0"/>
                    <w:rPr>
                      <w:rFonts w:hint="eastAsia"/>
                    </w:rPr>
                  </w:pPr>
                </w:p>
              </w:tc>
              <w:tc>
                <w:tcPr>
                  <w:tcW w:w="524" w:type="pct"/>
                  <w:vAlign w:val="center"/>
                </w:tcPr>
                <w:p w14:paraId="1431E304">
                  <w:pPr>
                    <w:pStyle w:val="95"/>
                    <w:spacing w:before="0" w:after="0"/>
                    <w:rPr>
                      <w:b/>
                      <w:bCs/>
                    </w:rPr>
                  </w:pPr>
                  <w:r>
                    <w:rPr>
                      <w:rFonts w:hint="eastAsia"/>
                    </w:rPr>
                    <w:t>炭山坡居民点</w:t>
                  </w:r>
                </w:p>
              </w:tc>
              <w:tc>
                <w:tcPr>
                  <w:tcW w:w="898" w:type="pct"/>
                  <w:vAlign w:val="center"/>
                </w:tcPr>
                <w:p w14:paraId="55C13138">
                  <w:pPr>
                    <w:pStyle w:val="95"/>
                    <w:spacing w:before="0" w:after="0"/>
                  </w:pPr>
                  <w:r>
                    <w:t>103°08'56.8300"</w:t>
                  </w:r>
                </w:p>
                <w:p w14:paraId="3E5C883E">
                  <w:pPr>
                    <w:pStyle w:val="95"/>
                    <w:spacing w:before="0" w:after="0"/>
                    <w:rPr>
                      <w:rFonts w:hint="eastAsia"/>
                      <w:b/>
                      <w:bCs/>
                    </w:rPr>
                  </w:pPr>
                  <w:r>
                    <w:t>26°27'43.0144"</w:t>
                  </w:r>
                </w:p>
              </w:tc>
              <w:tc>
                <w:tcPr>
                  <w:tcW w:w="620" w:type="pct"/>
                  <w:vAlign w:val="center"/>
                </w:tcPr>
                <w:p w14:paraId="1B22C66B">
                  <w:pPr>
                    <w:pStyle w:val="95"/>
                    <w:spacing w:before="0" w:after="0"/>
                    <w:rPr>
                      <w:b/>
                      <w:bCs/>
                    </w:rPr>
                  </w:pPr>
                  <w:r>
                    <w:rPr>
                      <w:rFonts w:hint="eastAsia"/>
                    </w:rPr>
                    <w:t>地埋线路北侧</w:t>
                  </w:r>
                  <w:r>
                    <w:t>2</w:t>
                  </w:r>
                  <w:r>
                    <w:rPr>
                      <w:rFonts w:hint="eastAsia"/>
                    </w:rPr>
                    <w:t>m</w:t>
                  </w:r>
                </w:p>
              </w:tc>
              <w:tc>
                <w:tcPr>
                  <w:tcW w:w="663" w:type="pct"/>
                  <w:vAlign w:val="center"/>
                </w:tcPr>
                <w:p w14:paraId="022A8712">
                  <w:pPr>
                    <w:pStyle w:val="95"/>
                    <w:spacing w:before="0" w:after="0"/>
                    <w:rPr>
                      <w:b/>
                      <w:bCs/>
                    </w:rPr>
                  </w:pPr>
                  <w:r>
                    <w:rPr>
                      <w:rFonts w:hint="eastAsia"/>
                    </w:rPr>
                    <w:t>L</w:t>
                  </w:r>
                  <w:r>
                    <w:t>06</w:t>
                  </w:r>
                  <w:r>
                    <w:rPr>
                      <w:rFonts w:hint="eastAsia"/>
                    </w:rPr>
                    <w:t>阵列南侧2</w:t>
                  </w:r>
                  <w:r>
                    <w:t>00</w:t>
                  </w:r>
                  <w:r>
                    <w:rPr>
                      <w:rFonts w:hint="eastAsia"/>
                    </w:rPr>
                    <w:t>m</w:t>
                  </w:r>
                </w:p>
              </w:tc>
              <w:tc>
                <w:tcPr>
                  <w:tcW w:w="470" w:type="pct"/>
                  <w:vAlign w:val="center"/>
                </w:tcPr>
                <w:p w14:paraId="2F7D57C5">
                  <w:pPr>
                    <w:pStyle w:val="95"/>
                    <w:spacing w:before="0" w:after="0"/>
                  </w:pPr>
                  <w:r>
                    <w:rPr>
                      <w:rFonts w:hint="eastAsia"/>
                    </w:rPr>
                    <w:t>东南侧7km</w:t>
                  </w:r>
                </w:p>
              </w:tc>
              <w:tc>
                <w:tcPr>
                  <w:tcW w:w="545" w:type="pct"/>
                  <w:vAlign w:val="center"/>
                </w:tcPr>
                <w:p w14:paraId="2E09E9DB">
                  <w:pPr>
                    <w:pStyle w:val="95"/>
                    <w:spacing w:before="0" w:after="0"/>
                  </w:pPr>
                  <w:r>
                    <w:rPr>
                      <w:rFonts w:hint="eastAsia"/>
                    </w:rPr>
                    <w:t>南侧3</w:t>
                  </w:r>
                  <w:r>
                    <w:t>40</w:t>
                  </w:r>
                  <w:r>
                    <w:rPr>
                      <w:rFonts w:hint="eastAsia"/>
                    </w:rPr>
                    <w:t>m</w:t>
                  </w:r>
                </w:p>
              </w:tc>
              <w:tc>
                <w:tcPr>
                  <w:tcW w:w="544" w:type="pct"/>
                  <w:vAlign w:val="center"/>
                </w:tcPr>
                <w:p w14:paraId="58D9FD9F">
                  <w:pPr>
                    <w:pStyle w:val="95"/>
                    <w:spacing w:before="0" w:after="0"/>
                    <w:rPr>
                      <w:b/>
                      <w:bCs/>
                    </w:rPr>
                  </w:pPr>
                  <w:r>
                    <w:t>90</w:t>
                  </w:r>
                  <w:r>
                    <w:rPr>
                      <w:rFonts w:hint="eastAsia"/>
                    </w:rPr>
                    <w:t>户，约2</w:t>
                  </w:r>
                  <w:r>
                    <w:t>70</w:t>
                  </w:r>
                  <w:r>
                    <w:rPr>
                      <w:rFonts w:hint="eastAsia"/>
                    </w:rPr>
                    <w:t>人</w:t>
                  </w:r>
                </w:p>
              </w:tc>
              <w:tc>
                <w:tcPr>
                  <w:tcW w:w="512" w:type="pct"/>
                  <w:vMerge w:val="continue"/>
                  <w:vAlign w:val="center"/>
                </w:tcPr>
                <w:p w14:paraId="2A23E655">
                  <w:pPr>
                    <w:pStyle w:val="95"/>
                    <w:spacing w:before="0" w:after="0"/>
                    <w:rPr>
                      <w:b/>
                      <w:bCs/>
                    </w:rPr>
                  </w:pPr>
                </w:p>
              </w:tc>
            </w:tr>
            <w:tr w14:paraId="5B61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48B2BCBF">
                  <w:pPr>
                    <w:pStyle w:val="95"/>
                    <w:numPr>
                      <w:ilvl w:val="0"/>
                      <w:numId w:val="10"/>
                    </w:numPr>
                    <w:spacing w:before="0" w:after="0"/>
                    <w:rPr>
                      <w:rFonts w:hint="eastAsia"/>
                    </w:rPr>
                  </w:pPr>
                </w:p>
              </w:tc>
              <w:tc>
                <w:tcPr>
                  <w:tcW w:w="524" w:type="pct"/>
                  <w:vAlign w:val="center"/>
                </w:tcPr>
                <w:p w14:paraId="27C135B2">
                  <w:pPr>
                    <w:pStyle w:val="95"/>
                    <w:spacing w:before="0" w:after="0"/>
                    <w:rPr>
                      <w:b/>
                      <w:bCs/>
                    </w:rPr>
                  </w:pPr>
                  <w:r>
                    <w:rPr>
                      <w:rFonts w:hint="eastAsia"/>
                    </w:rPr>
                    <w:t>杨家村居民点</w:t>
                  </w:r>
                </w:p>
              </w:tc>
              <w:tc>
                <w:tcPr>
                  <w:tcW w:w="898" w:type="pct"/>
                  <w:vAlign w:val="center"/>
                </w:tcPr>
                <w:p w14:paraId="34CE0C8F">
                  <w:pPr>
                    <w:pStyle w:val="95"/>
                    <w:spacing w:before="0" w:after="0"/>
                  </w:pPr>
                  <w:r>
                    <w:t>103°09'41.6129"</w:t>
                  </w:r>
                </w:p>
                <w:p w14:paraId="109327EA">
                  <w:pPr>
                    <w:pStyle w:val="95"/>
                    <w:spacing w:before="0" w:after="0"/>
                    <w:rPr>
                      <w:rFonts w:hint="eastAsia"/>
                      <w:b/>
                      <w:bCs/>
                    </w:rPr>
                  </w:pPr>
                  <w:r>
                    <w:t>26°26'08.7002"</w:t>
                  </w:r>
                </w:p>
              </w:tc>
              <w:tc>
                <w:tcPr>
                  <w:tcW w:w="620" w:type="pct"/>
                  <w:vAlign w:val="center"/>
                </w:tcPr>
                <w:p w14:paraId="7CD9B010">
                  <w:pPr>
                    <w:pStyle w:val="95"/>
                    <w:spacing w:before="0" w:after="0"/>
                    <w:rPr>
                      <w:b/>
                      <w:bCs/>
                    </w:rPr>
                  </w:pPr>
                  <w:r>
                    <w:rPr>
                      <w:rFonts w:hint="eastAsia"/>
                    </w:rPr>
                    <w:t>地埋线路南侧</w:t>
                  </w:r>
                  <w:r>
                    <w:t>5</w:t>
                  </w:r>
                  <w:r>
                    <w:rPr>
                      <w:rFonts w:hint="eastAsia"/>
                    </w:rPr>
                    <w:t>m</w:t>
                  </w:r>
                </w:p>
              </w:tc>
              <w:tc>
                <w:tcPr>
                  <w:tcW w:w="663" w:type="pct"/>
                  <w:vAlign w:val="center"/>
                </w:tcPr>
                <w:p w14:paraId="4113521E">
                  <w:pPr>
                    <w:pStyle w:val="95"/>
                    <w:spacing w:before="0" w:after="0"/>
                    <w:rPr>
                      <w:b/>
                      <w:bCs/>
                    </w:rPr>
                  </w:pPr>
                  <w:r>
                    <w:rPr>
                      <w:rFonts w:hint="eastAsia"/>
                    </w:rPr>
                    <w:t>L</w:t>
                  </w:r>
                  <w:r>
                    <w:t>06</w:t>
                  </w:r>
                  <w:r>
                    <w:rPr>
                      <w:rFonts w:hint="eastAsia"/>
                    </w:rPr>
                    <w:t>阵列南侧6</w:t>
                  </w:r>
                  <w:r>
                    <w:t>0</w:t>
                  </w:r>
                  <w:r>
                    <w:rPr>
                      <w:rFonts w:hint="eastAsia"/>
                    </w:rPr>
                    <w:t>m</w:t>
                  </w:r>
                </w:p>
              </w:tc>
              <w:tc>
                <w:tcPr>
                  <w:tcW w:w="470" w:type="pct"/>
                  <w:vAlign w:val="center"/>
                </w:tcPr>
                <w:p w14:paraId="34CB50B3">
                  <w:pPr>
                    <w:pStyle w:val="95"/>
                    <w:spacing w:before="0" w:after="0"/>
                  </w:pPr>
                  <w:r>
                    <w:rPr>
                      <w:rFonts w:hint="eastAsia"/>
                    </w:rPr>
                    <w:t>东南侧1</w:t>
                  </w:r>
                  <w:r>
                    <w:t>0</w:t>
                  </w:r>
                  <w:r>
                    <w:rPr>
                      <w:rFonts w:hint="eastAsia"/>
                    </w:rPr>
                    <w:t>km</w:t>
                  </w:r>
                </w:p>
              </w:tc>
              <w:tc>
                <w:tcPr>
                  <w:tcW w:w="545" w:type="pct"/>
                  <w:vAlign w:val="center"/>
                </w:tcPr>
                <w:p w14:paraId="7EC4A626">
                  <w:pPr>
                    <w:pStyle w:val="95"/>
                    <w:spacing w:before="0" w:after="0"/>
                  </w:pPr>
                  <w:r>
                    <w:rPr>
                      <w:rFonts w:hint="eastAsia"/>
                    </w:rPr>
                    <w:t>西侧4</w:t>
                  </w:r>
                  <w:r>
                    <w:t>40</w:t>
                  </w:r>
                  <w:r>
                    <w:rPr>
                      <w:rFonts w:hint="eastAsia"/>
                    </w:rPr>
                    <w:t>m</w:t>
                  </w:r>
                </w:p>
              </w:tc>
              <w:tc>
                <w:tcPr>
                  <w:tcW w:w="544" w:type="pct"/>
                  <w:vAlign w:val="center"/>
                </w:tcPr>
                <w:p w14:paraId="1CE2D83B">
                  <w:pPr>
                    <w:pStyle w:val="95"/>
                    <w:spacing w:before="0" w:after="0"/>
                    <w:rPr>
                      <w:b/>
                      <w:bCs/>
                    </w:rPr>
                  </w:pPr>
                  <w:r>
                    <w:t>60</w:t>
                  </w:r>
                  <w:r>
                    <w:rPr>
                      <w:rFonts w:hint="eastAsia"/>
                    </w:rPr>
                    <w:t>户，约</w:t>
                  </w:r>
                  <w:r>
                    <w:t>180</w:t>
                  </w:r>
                  <w:r>
                    <w:rPr>
                      <w:rFonts w:hint="eastAsia"/>
                    </w:rPr>
                    <w:t>人</w:t>
                  </w:r>
                </w:p>
              </w:tc>
              <w:tc>
                <w:tcPr>
                  <w:tcW w:w="512" w:type="pct"/>
                  <w:vMerge w:val="continue"/>
                  <w:vAlign w:val="center"/>
                </w:tcPr>
                <w:p w14:paraId="7AD0EE43">
                  <w:pPr>
                    <w:pStyle w:val="95"/>
                    <w:spacing w:before="0" w:after="0"/>
                    <w:rPr>
                      <w:b/>
                      <w:bCs/>
                    </w:rPr>
                  </w:pPr>
                </w:p>
              </w:tc>
            </w:tr>
          </w:tbl>
          <w:p w14:paraId="066FFE32">
            <w:pPr>
              <w:autoSpaceDE w:val="0"/>
              <w:autoSpaceDN w:val="0"/>
              <w:spacing w:before="120" w:beforeLines="50" w:line="360" w:lineRule="auto"/>
              <w:rPr>
                <w:rFonts w:hint="eastAsia"/>
                <w:b/>
                <w:bCs/>
                <w:kern w:val="0"/>
                <w:sz w:val="24"/>
              </w:rPr>
            </w:pPr>
            <w:r>
              <w:rPr>
                <w:rFonts w:hint="eastAsia"/>
                <w:b/>
                <w:bCs/>
                <w:kern w:val="0"/>
                <w:sz w:val="24"/>
              </w:rPr>
              <w:t>3.4.4 地表水环境保护目标</w:t>
            </w:r>
          </w:p>
          <w:p w14:paraId="00BDF346">
            <w:pPr>
              <w:spacing w:line="360" w:lineRule="auto"/>
              <w:ind w:firstLine="480" w:firstLineChars="200"/>
              <w:rPr>
                <w:sz w:val="24"/>
                <w:szCs w:val="24"/>
              </w:rPr>
            </w:pPr>
            <w:r>
              <w:rPr>
                <w:sz w:val="24"/>
                <w:szCs w:val="24"/>
              </w:rPr>
              <w:t>本项目用地范围及红线外500m范围内不涉及饮用水水源保护区、饮用水取水口、自然保护区、风景名胜区，重要湿地、重点保护与珍稀水生生物的栖息地、重要水生生物的自然产卵场及索饵场、越冬场和洄游通道，天然渔场等渔业水体，以及水产种质资源保护区等敏感目标。考虑施工期废水、运营期污水可能对地表水造成影响，将项目</w:t>
            </w:r>
            <w:r>
              <w:rPr>
                <w:rFonts w:hint="eastAsia"/>
                <w:sz w:val="24"/>
                <w:szCs w:val="24"/>
              </w:rPr>
              <w:t>邻近的</w:t>
            </w:r>
            <w:r>
              <w:rPr>
                <w:sz w:val="24"/>
                <w:szCs w:val="24"/>
              </w:rPr>
              <w:t>小江、盐水沟列为地表水保护目标，详见下表。</w:t>
            </w:r>
          </w:p>
          <w:p w14:paraId="474CCD66">
            <w:pPr>
              <w:pStyle w:val="219"/>
              <w:spacing w:before="0" w:beforeLines="0"/>
              <w:rPr>
                <w:sz w:val="24"/>
                <w:szCs w:val="24"/>
              </w:rPr>
            </w:pPr>
            <w:r>
              <w:rPr>
                <w:sz w:val="24"/>
                <w:szCs w:val="24"/>
              </w:rPr>
              <w:t>表3.4.4-1</w:t>
            </w:r>
            <w:r>
              <w:rPr>
                <w:rFonts w:hint="eastAsia"/>
                <w:sz w:val="24"/>
                <w:szCs w:val="24"/>
              </w:rPr>
              <w:t xml:space="preserve">  </w:t>
            </w:r>
            <w:r>
              <w:rPr>
                <w:sz w:val="24"/>
                <w:szCs w:val="24"/>
              </w:rPr>
              <w:t>地表水环境保护目标</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851"/>
              <w:gridCol w:w="2692"/>
              <w:gridCol w:w="2126"/>
              <w:gridCol w:w="2109"/>
            </w:tblGrid>
            <w:tr w14:paraId="2649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449" w:type="pct"/>
                  <w:vAlign w:val="center"/>
                </w:tcPr>
                <w:p w14:paraId="58E9FA57">
                  <w:pPr>
                    <w:pStyle w:val="95"/>
                    <w:spacing w:before="0" w:after="0"/>
                    <w:rPr>
                      <w:rFonts w:hint="eastAsia"/>
                      <w:b/>
                      <w:bCs/>
                      <w:szCs w:val="21"/>
                    </w:rPr>
                  </w:pPr>
                  <w:r>
                    <w:rPr>
                      <w:rFonts w:hint="eastAsia"/>
                      <w:b/>
                      <w:bCs/>
                      <w:szCs w:val="21"/>
                    </w:rPr>
                    <w:t>序号</w:t>
                  </w:r>
                </w:p>
              </w:tc>
              <w:tc>
                <w:tcPr>
                  <w:tcW w:w="498" w:type="pct"/>
                  <w:vAlign w:val="center"/>
                </w:tcPr>
                <w:p w14:paraId="04E92502">
                  <w:pPr>
                    <w:pStyle w:val="95"/>
                    <w:spacing w:before="0" w:after="0"/>
                    <w:rPr>
                      <w:b/>
                      <w:bCs/>
                      <w:szCs w:val="21"/>
                    </w:rPr>
                  </w:pPr>
                  <w:r>
                    <w:rPr>
                      <w:b/>
                      <w:bCs/>
                      <w:szCs w:val="21"/>
                    </w:rPr>
                    <w:t>名称</w:t>
                  </w:r>
                </w:p>
              </w:tc>
              <w:tc>
                <w:tcPr>
                  <w:tcW w:w="1575" w:type="pct"/>
                  <w:vAlign w:val="center"/>
                </w:tcPr>
                <w:p w14:paraId="12CD795F">
                  <w:pPr>
                    <w:pStyle w:val="95"/>
                    <w:spacing w:before="0" w:after="0"/>
                    <w:rPr>
                      <w:b/>
                      <w:bCs/>
                      <w:szCs w:val="21"/>
                    </w:rPr>
                  </w:pPr>
                  <w:r>
                    <w:rPr>
                      <w:b/>
                      <w:bCs/>
                      <w:szCs w:val="21"/>
                    </w:rPr>
                    <w:t>位置关系</w:t>
                  </w:r>
                </w:p>
              </w:tc>
              <w:tc>
                <w:tcPr>
                  <w:tcW w:w="1244" w:type="pct"/>
                  <w:vAlign w:val="center"/>
                </w:tcPr>
                <w:p w14:paraId="7AF50262">
                  <w:pPr>
                    <w:pStyle w:val="95"/>
                    <w:spacing w:before="0" w:after="0"/>
                    <w:rPr>
                      <w:b/>
                      <w:bCs/>
                      <w:szCs w:val="21"/>
                    </w:rPr>
                  </w:pPr>
                  <w:r>
                    <w:rPr>
                      <w:rFonts w:hint="eastAsia"/>
                      <w:b/>
                      <w:bCs/>
                      <w:szCs w:val="21"/>
                    </w:rPr>
                    <w:t>功能</w:t>
                  </w:r>
                </w:p>
              </w:tc>
              <w:tc>
                <w:tcPr>
                  <w:tcW w:w="1234" w:type="pct"/>
                  <w:vAlign w:val="center"/>
                </w:tcPr>
                <w:p w14:paraId="12607192">
                  <w:pPr>
                    <w:pStyle w:val="95"/>
                    <w:spacing w:before="0" w:after="0"/>
                    <w:rPr>
                      <w:b/>
                      <w:bCs/>
                      <w:szCs w:val="21"/>
                    </w:rPr>
                  </w:pPr>
                  <w:r>
                    <w:rPr>
                      <w:b/>
                      <w:bCs/>
                      <w:szCs w:val="21"/>
                    </w:rPr>
                    <w:t>保护</w:t>
                  </w:r>
                  <w:r>
                    <w:rPr>
                      <w:rFonts w:hint="eastAsia"/>
                      <w:b/>
                      <w:bCs/>
                      <w:szCs w:val="21"/>
                    </w:rPr>
                    <w:t>级别、标准</w:t>
                  </w:r>
                </w:p>
              </w:tc>
            </w:tr>
            <w:tr w14:paraId="6AD3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9" w:type="pct"/>
                  <w:vAlign w:val="center"/>
                </w:tcPr>
                <w:p w14:paraId="25707B6B">
                  <w:pPr>
                    <w:pStyle w:val="95"/>
                    <w:spacing w:before="0" w:after="0"/>
                    <w:rPr>
                      <w:rFonts w:hint="eastAsia"/>
                      <w:szCs w:val="21"/>
                    </w:rPr>
                  </w:pPr>
                  <w:r>
                    <w:rPr>
                      <w:rFonts w:hint="eastAsia"/>
                      <w:szCs w:val="21"/>
                    </w:rPr>
                    <w:t>1</w:t>
                  </w:r>
                </w:p>
              </w:tc>
              <w:tc>
                <w:tcPr>
                  <w:tcW w:w="498" w:type="pct"/>
                  <w:vAlign w:val="center"/>
                </w:tcPr>
                <w:p w14:paraId="1CEBDD85">
                  <w:pPr>
                    <w:pStyle w:val="95"/>
                    <w:spacing w:before="0" w:after="0"/>
                    <w:rPr>
                      <w:szCs w:val="21"/>
                    </w:rPr>
                  </w:pPr>
                  <w:r>
                    <w:rPr>
                      <w:szCs w:val="21"/>
                    </w:rPr>
                    <w:t>小江</w:t>
                  </w:r>
                </w:p>
              </w:tc>
              <w:tc>
                <w:tcPr>
                  <w:tcW w:w="1575" w:type="pct"/>
                  <w:vAlign w:val="center"/>
                </w:tcPr>
                <w:p w14:paraId="0A728FD2">
                  <w:pPr>
                    <w:pStyle w:val="95"/>
                    <w:spacing w:before="0" w:after="0"/>
                    <w:rPr>
                      <w:szCs w:val="21"/>
                    </w:rPr>
                  </w:pPr>
                  <w:r>
                    <w:rPr>
                      <w:rFonts w:hint="eastAsia"/>
                      <w:szCs w:val="21"/>
                    </w:rPr>
                    <w:t>距离</w:t>
                  </w:r>
                  <w:r>
                    <w:rPr>
                      <w:szCs w:val="21"/>
                    </w:rPr>
                    <w:t>L03</w:t>
                  </w:r>
                  <w:r>
                    <w:rPr>
                      <w:rFonts w:hint="eastAsia"/>
                      <w:szCs w:val="21"/>
                    </w:rPr>
                    <w:t>光伏阵列区约1km</w:t>
                  </w:r>
                </w:p>
              </w:tc>
              <w:tc>
                <w:tcPr>
                  <w:tcW w:w="1244" w:type="pct"/>
                  <w:vAlign w:val="center"/>
                </w:tcPr>
                <w:p w14:paraId="0368F2C8">
                  <w:pPr>
                    <w:pStyle w:val="95"/>
                    <w:spacing w:before="0" w:after="0"/>
                    <w:rPr>
                      <w:szCs w:val="21"/>
                    </w:rPr>
                  </w:pPr>
                  <w:r>
                    <w:rPr>
                      <w:szCs w:val="21"/>
                    </w:rPr>
                    <w:t>农业用水、工业用水</w:t>
                  </w:r>
                </w:p>
              </w:tc>
              <w:tc>
                <w:tcPr>
                  <w:tcW w:w="1234" w:type="pct"/>
                  <w:vMerge w:val="restart"/>
                  <w:vAlign w:val="center"/>
                </w:tcPr>
                <w:p w14:paraId="1DC36E4A">
                  <w:pPr>
                    <w:pStyle w:val="95"/>
                    <w:spacing w:before="0" w:after="0"/>
                    <w:rPr>
                      <w:szCs w:val="21"/>
                    </w:rPr>
                  </w:pPr>
                  <w:r>
                    <w:rPr>
                      <w:szCs w:val="21"/>
                    </w:rPr>
                    <w:t>《地表水环境质量标准》（GB 3838-2002）Ⅲ类标准</w:t>
                  </w:r>
                </w:p>
              </w:tc>
            </w:tr>
            <w:tr w14:paraId="3B6E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9" w:type="pct"/>
                  <w:vAlign w:val="center"/>
                </w:tcPr>
                <w:p w14:paraId="1208EE0E">
                  <w:pPr>
                    <w:pStyle w:val="95"/>
                    <w:spacing w:before="0" w:after="0"/>
                    <w:rPr>
                      <w:szCs w:val="21"/>
                    </w:rPr>
                  </w:pPr>
                  <w:r>
                    <w:rPr>
                      <w:rFonts w:hint="eastAsia"/>
                      <w:szCs w:val="21"/>
                    </w:rPr>
                    <w:t>2</w:t>
                  </w:r>
                </w:p>
              </w:tc>
              <w:tc>
                <w:tcPr>
                  <w:tcW w:w="498" w:type="pct"/>
                  <w:vAlign w:val="center"/>
                </w:tcPr>
                <w:p w14:paraId="1FF45F94">
                  <w:pPr>
                    <w:pStyle w:val="95"/>
                    <w:spacing w:before="0" w:after="0"/>
                    <w:rPr>
                      <w:szCs w:val="21"/>
                    </w:rPr>
                  </w:pPr>
                  <w:r>
                    <w:rPr>
                      <w:szCs w:val="21"/>
                    </w:rPr>
                    <w:t>盐水沟</w:t>
                  </w:r>
                </w:p>
              </w:tc>
              <w:tc>
                <w:tcPr>
                  <w:tcW w:w="1575" w:type="pct"/>
                  <w:vAlign w:val="center"/>
                </w:tcPr>
                <w:p w14:paraId="706E64A3">
                  <w:pPr>
                    <w:pStyle w:val="95"/>
                    <w:spacing w:before="0" w:after="0"/>
                    <w:rPr>
                      <w:szCs w:val="21"/>
                    </w:rPr>
                  </w:pPr>
                  <w:r>
                    <w:rPr>
                      <w:rFonts w:hint="eastAsia"/>
                      <w:szCs w:val="21"/>
                    </w:rPr>
                    <w:t>距离</w:t>
                  </w:r>
                  <w:r>
                    <w:rPr>
                      <w:szCs w:val="21"/>
                    </w:rPr>
                    <w:t>L15</w:t>
                  </w:r>
                  <w:r>
                    <w:rPr>
                      <w:rFonts w:hint="eastAsia"/>
                      <w:szCs w:val="21"/>
                    </w:rPr>
                    <w:t>光伏阵列区约</w:t>
                  </w:r>
                  <w:r>
                    <w:rPr>
                      <w:szCs w:val="21"/>
                    </w:rPr>
                    <w:t>1m</w:t>
                  </w:r>
                </w:p>
              </w:tc>
              <w:tc>
                <w:tcPr>
                  <w:tcW w:w="1244" w:type="pct"/>
                  <w:vAlign w:val="center"/>
                </w:tcPr>
                <w:p w14:paraId="135B7E77">
                  <w:pPr>
                    <w:pStyle w:val="95"/>
                    <w:spacing w:before="0" w:after="0"/>
                    <w:rPr>
                      <w:szCs w:val="21"/>
                    </w:rPr>
                  </w:pPr>
                  <w:r>
                    <w:rPr>
                      <w:szCs w:val="21"/>
                    </w:rPr>
                    <w:t>农业用水</w:t>
                  </w:r>
                </w:p>
              </w:tc>
              <w:tc>
                <w:tcPr>
                  <w:tcW w:w="1234" w:type="pct"/>
                  <w:vMerge w:val="continue"/>
                  <w:vAlign w:val="center"/>
                </w:tcPr>
                <w:p w14:paraId="1421D627">
                  <w:pPr>
                    <w:pStyle w:val="95"/>
                    <w:spacing w:before="0" w:after="0"/>
                    <w:rPr>
                      <w:szCs w:val="21"/>
                    </w:rPr>
                  </w:pPr>
                </w:p>
              </w:tc>
            </w:tr>
          </w:tbl>
          <w:p w14:paraId="603312DA">
            <w:pPr>
              <w:autoSpaceDE w:val="0"/>
              <w:autoSpaceDN w:val="0"/>
              <w:spacing w:before="120" w:beforeLines="50" w:line="360" w:lineRule="auto"/>
              <w:rPr>
                <w:b/>
                <w:bCs/>
                <w:kern w:val="0"/>
                <w:sz w:val="24"/>
              </w:rPr>
            </w:pPr>
            <w:r>
              <w:rPr>
                <w:rFonts w:hint="eastAsia"/>
                <w:b/>
                <w:bCs/>
                <w:kern w:val="0"/>
                <w:sz w:val="24"/>
              </w:rPr>
              <w:t>3.4.5 声环境保护目标</w:t>
            </w:r>
          </w:p>
          <w:p w14:paraId="2BD013B4">
            <w:pPr>
              <w:adjustRightInd w:val="0"/>
              <w:snapToGrid w:val="0"/>
              <w:spacing w:line="360" w:lineRule="auto"/>
              <w:ind w:firstLine="480" w:firstLineChars="200"/>
              <w:rPr>
                <w:sz w:val="24"/>
              </w:rPr>
            </w:pPr>
            <w:r>
              <w:rPr>
                <w:sz w:val="24"/>
              </w:rPr>
              <w:t>经现场调查，</w:t>
            </w:r>
            <w:r>
              <w:rPr>
                <w:rFonts w:hint="eastAsia"/>
                <w:sz w:val="24"/>
              </w:rPr>
              <w:t>本</w:t>
            </w:r>
            <w:r>
              <w:rPr>
                <w:sz w:val="24"/>
              </w:rPr>
              <w:t>项目</w:t>
            </w:r>
            <w:r>
              <w:rPr>
                <w:rFonts w:hint="eastAsia"/>
                <w:sz w:val="24"/>
              </w:rPr>
              <w:t>用地之外50m范围内涉及的声</w:t>
            </w:r>
            <w:r>
              <w:rPr>
                <w:sz w:val="24"/>
              </w:rPr>
              <w:t>环境敏感目标</w:t>
            </w:r>
            <w:r>
              <w:rPr>
                <w:rFonts w:hint="eastAsia"/>
                <w:sz w:val="24"/>
              </w:rPr>
              <w:t>详细见下表</w:t>
            </w:r>
            <w:r>
              <w:rPr>
                <w:sz w:val="24"/>
              </w:rPr>
              <w:t>。</w:t>
            </w:r>
          </w:p>
          <w:p w14:paraId="53B3B151">
            <w:pPr>
              <w:pStyle w:val="219"/>
              <w:spacing w:before="0" w:beforeLines="0"/>
              <w:rPr>
                <w:sz w:val="24"/>
                <w:szCs w:val="24"/>
              </w:rPr>
            </w:pPr>
            <w:r>
              <w:rPr>
                <w:sz w:val="24"/>
                <w:szCs w:val="24"/>
              </w:rPr>
              <w:t>表</w:t>
            </w:r>
            <w:r>
              <w:rPr>
                <w:rFonts w:hint="eastAsia"/>
                <w:sz w:val="24"/>
                <w:szCs w:val="24"/>
              </w:rPr>
              <w:t>3.4.5-1  声</w:t>
            </w:r>
            <w:r>
              <w:rPr>
                <w:sz w:val="24"/>
                <w:szCs w:val="24"/>
              </w:rPr>
              <w:t>环境保护目标</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83"/>
              <w:gridCol w:w="895"/>
              <w:gridCol w:w="1535"/>
              <w:gridCol w:w="1201"/>
              <w:gridCol w:w="1134"/>
              <w:gridCol w:w="851"/>
              <w:gridCol w:w="742"/>
              <w:gridCol w:w="930"/>
              <w:gridCol w:w="875"/>
            </w:tblGrid>
            <w:tr w14:paraId="358B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Merge w:val="restart"/>
                  <w:vAlign w:val="center"/>
                </w:tcPr>
                <w:p w14:paraId="699E9485">
                  <w:pPr>
                    <w:pStyle w:val="95"/>
                    <w:spacing w:before="0" w:after="0"/>
                    <w:rPr>
                      <w:b/>
                      <w:bCs/>
                    </w:rPr>
                  </w:pPr>
                  <w:r>
                    <w:rPr>
                      <w:b/>
                      <w:bCs/>
                    </w:rPr>
                    <w:t>序号</w:t>
                  </w:r>
                </w:p>
              </w:tc>
              <w:tc>
                <w:tcPr>
                  <w:tcW w:w="524" w:type="pct"/>
                  <w:vMerge w:val="restart"/>
                  <w:vAlign w:val="center"/>
                </w:tcPr>
                <w:p w14:paraId="07EC1A16">
                  <w:pPr>
                    <w:pStyle w:val="95"/>
                    <w:spacing w:before="0" w:after="0"/>
                    <w:rPr>
                      <w:rFonts w:hint="eastAsia"/>
                      <w:b/>
                      <w:bCs/>
                    </w:rPr>
                  </w:pPr>
                  <w:r>
                    <w:rPr>
                      <w:b/>
                      <w:bCs/>
                    </w:rPr>
                    <w:t>保护目标</w:t>
                  </w:r>
                  <w:r>
                    <w:rPr>
                      <w:rFonts w:hint="eastAsia"/>
                      <w:b/>
                      <w:bCs/>
                    </w:rPr>
                    <w:t>名称</w:t>
                  </w:r>
                </w:p>
              </w:tc>
              <w:tc>
                <w:tcPr>
                  <w:tcW w:w="898" w:type="pct"/>
                  <w:vMerge w:val="restart"/>
                  <w:vAlign w:val="center"/>
                </w:tcPr>
                <w:p w14:paraId="7CEDEF0C">
                  <w:pPr>
                    <w:pStyle w:val="95"/>
                    <w:spacing w:before="0" w:after="0"/>
                    <w:rPr>
                      <w:b/>
                      <w:bCs/>
                    </w:rPr>
                  </w:pPr>
                  <w:r>
                    <w:rPr>
                      <w:rFonts w:hint="eastAsia"/>
                      <w:b/>
                      <w:bCs/>
                    </w:rPr>
                    <w:t>坐标</w:t>
                  </w:r>
                </w:p>
              </w:tc>
              <w:tc>
                <w:tcPr>
                  <w:tcW w:w="2298" w:type="pct"/>
                  <w:gridSpan w:val="4"/>
                  <w:vAlign w:val="center"/>
                </w:tcPr>
                <w:p w14:paraId="155ABE3D">
                  <w:pPr>
                    <w:pStyle w:val="95"/>
                    <w:spacing w:before="0" w:after="0"/>
                    <w:rPr>
                      <w:rFonts w:hint="eastAsia"/>
                      <w:b/>
                      <w:bCs/>
                    </w:rPr>
                  </w:pPr>
                  <w:r>
                    <w:rPr>
                      <w:b/>
                      <w:bCs/>
                    </w:rPr>
                    <w:t>位置关系</w:t>
                  </w:r>
                </w:p>
              </w:tc>
              <w:tc>
                <w:tcPr>
                  <w:tcW w:w="544" w:type="pct"/>
                  <w:vMerge w:val="restart"/>
                  <w:vAlign w:val="center"/>
                </w:tcPr>
                <w:p w14:paraId="682A6680">
                  <w:pPr>
                    <w:pStyle w:val="95"/>
                    <w:spacing w:before="0" w:after="0"/>
                    <w:rPr>
                      <w:b/>
                      <w:bCs/>
                    </w:rPr>
                  </w:pPr>
                  <w:r>
                    <w:rPr>
                      <w:rFonts w:hint="eastAsia"/>
                      <w:b/>
                      <w:bCs/>
                    </w:rPr>
                    <w:t>居民点</w:t>
                  </w:r>
                  <w:r>
                    <w:rPr>
                      <w:b/>
                      <w:bCs/>
                    </w:rPr>
                    <w:t>规模</w:t>
                  </w:r>
                </w:p>
              </w:tc>
              <w:tc>
                <w:tcPr>
                  <w:tcW w:w="512" w:type="pct"/>
                  <w:vMerge w:val="restart"/>
                  <w:vAlign w:val="center"/>
                </w:tcPr>
                <w:p w14:paraId="7EB16E07">
                  <w:pPr>
                    <w:pStyle w:val="95"/>
                    <w:spacing w:before="0" w:after="0"/>
                    <w:rPr>
                      <w:b/>
                      <w:bCs/>
                    </w:rPr>
                  </w:pPr>
                  <w:r>
                    <w:rPr>
                      <w:b/>
                      <w:bCs/>
                    </w:rPr>
                    <w:t>保护</w:t>
                  </w:r>
                  <w:r>
                    <w:rPr>
                      <w:rFonts w:hint="eastAsia"/>
                      <w:b/>
                      <w:bCs/>
                    </w:rPr>
                    <w:t>级别、标准</w:t>
                  </w:r>
                </w:p>
              </w:tc>
            </w:tr>
            <w:tr w14:paraId="5410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Merge w:val="continue"/>
                  <w:vAlign w:val="center"/>
                </w:tcPr>
                <w:p w14:paraId="60CCC41D">
                  <w:pPr>
                    <w:pStyle w:val="95"/>
                    <w:spacing w:before="0" w:after="0"/>
                    <w:rPr>
                      <w:b/>
                      <w:bCs/>
                    </w:rPr>
                  </w:pPr>
                </w:p>
              </w:tc>
              <w:tc>
                <w:tcPr>
                  <w:tcW w:w="524" w:type="pct"/>
                  <w:vMerge w:val="continue"/>
                  <w:vAlign w:val="center"/>
                </w:tcPr>
                <w:p w14:paraId="756659D0">
                  <w:pPr>
                    <w:pStyle w:val="95"/>
                    <w:spacing w:before="0" w:after="0"/>
                    <w:rPr>
                      <w:b/>
                      <w:bCs/>
                    </w:rPr>
                  </w:pPr>
                </w:p>
              </w:tc>
              <w:tc>
                <w:tcPr>
                  <w:tcW w:w="898" w:type="pct"/>
                  <w:vMerge w:val="continue"/>
                  <w:vAlign w:val="center"/>
                </w:tcPr>
                <w:p w14:paraId="6823E2F8">
                  <w:pPr>
                    <w:pStyle w:val="95"/>
                    <w:spacing w:before="0" w:after="0"/>
                    <w:rPr>
                      <w:rFonts w:hint="eastAsia"/>
                      <w:b/>
                      <w:bCs/>
                    </w:rPr>
                  </w:pPr>
                </w:p>
              </w:tc>
              <w:tc>
                <w:tcPr>
                  <w:tcW w:w="703" w:type="pct"/>
                  <w:vAlign w:val="center"/>
                </w:tcPr>
                <w:p w14:paraId="47B41B72">
                  <w:pPr>
                    <w:pStyle w:val="95"/>
                    <w:spacing w:before="0" w:after="0"/>
                    <w:rPr>
                      <w:b/>
                      <w:bCs/>
                    </w:rPr>
                  </w:pPr>
                  <w:r>
                    <w:rPr>
                      <w:rFonts w:hint="eastAsia"/>
                      <w:b/>
                      <w:bCs/>
                    </w:rPr>
                    <w:t>线路</w:t>
                  </w:r>
                </w:p>
              </w:tc>
              <w:tc>
                <w:tcPr>
                  <w:tcW w:w="663" w:type="pct"/>
                  <w:vAlign w:val="center"/>
                </w:tcPr>
                <w:p w14:paraId="469E818D">
                  <w:pPr>
                    <w:pStyle w:val="95"/>
                    <w:spacing w:before="0" w:after="0"/>
                    <w:rPr>
                      <w:b/>
                      <w:bCs/>
                    </w:rPr>
                  </w:pPr>
                  <w:r>
                    <w:rPr>
                      <w:rFonts w:hint="eastAsia"/>
                      <w:b/>
                      <w:bCs/>
                    </w:rPr>
                    <w:t>阵列</w:t>
                  </w:r>
                </w:p>
              </w:tc>
              <w:tc>
                <w:tcPr>
                  <w:tcW w:w="498" w:type="pct"/>
                  <w:vAlign w:val="center"/>
                </w:tcPr>
                <w:p w14:paraId="3BA7567C">
                  <w:pPr>
                    <w:pStyle w:val="95"/>
                    <w:spacing w:before="0" w:after="0"/>
                    <w:rPr>
                      <w:b/>
                      <w:bCs/>
                    </w:rPr>
                  </w:pPr>
                  <w:r>
                    <w:rPr>
                      <w:rFonts w:hint="eastAsia"/>
                      <w:b/>
                      <w:bCs/>
                    </w:rPr>
                    <w:t>升压站</w:t>
                  </w:r>
                </w:p>
              </w:tc>
              <w:tc>
                <w:tcPr>
                  <w:tcW w:w="434" w:type="pct"/>
                  <w:vAlign w:val="center"/>
                </w:tcPr>
                <w:p w14:paraId="1CD8D3E7">
                  <w:pPr>
                    <w:pStyle w:val="95"/>
                    <w:spacing w:before="0" w:after="0"/>
                    <w:rPr>
                      <w:b/>
                      <w:bCs/>
                    </w:rPr>
                  </w:pPr>
                  <w:r>
                    <w:rPr>
                      <w:rFonts w:hint="eastAsia"/>
                      <w:b/>
                      <w:bCs/>
                    </w:rPr>
                    <w:t>箱变</w:t>
                  </w:r>
                </w:p>
              </w:tc>
              <w:tc>
                <w:tcPr>
                  <w:tcW w:w="544" w:type="pct"/>
                  <w:vMerge w:val="continue"/>
                  <w:vAlign w:val="center"/>
                </w:tcPr>
                <w:p w14:paraId="0DEB5C7B">
                  <w:pPr>
                    <w:pStyle w:val="95"/>
                    <w:spacing w:before="0" w:after="0"/>
                    <w:rPr>
                      <w:b/>
                      <w:bCs/>
                    </w:rPr>
                  </w:pPr>
                </w:p>
              </w:tc>
              <w:tc>
                <w:tcPr>
                  <w:tcW w:w="512" w:type="pct"/>
                  <w:vMerge w:val="continue"/>
                  <w:vAlign w:val="center"/>
                </w:tcPr>
                <w:p w14:paraId="48A74EB7">
                  <w:pPr>
                    <w:pStyle w:val="95"/>
                    <w:spacing w:before="0" w:after="0"/>
                    <w:rPr>
                      <w:b/>
                      <w:bCs/>
                    </w:rPr>
                  </w:pPr>
                </w:p>
              </w:tc>
            </w:tr>
            <w:tr w14:paraId="2441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39104FA4">
                  <w:pPr>
                    <w:pStyle w:val="95"/>
                    <w:numPr>
                      <w:ilvl w:val="0"/>
                      <w:numId w:val="11"/>
                    </w:numPr>
                    <w:spacing w:before="0" w:after="0"/>
                    <w:rPr>
                      <w:rFonts w:hint="eastAsia"/>
                    </w:rPr>
                  </w:pPr>
                </w:p>
              </w:tc>
              <w:tc>
                <w:tcPr>
                  <w:tcW w:w="524" w:type="pct"/>
                  <w:vAlign w:val="center"/>
                </w:tcPr>
                <w:p w14:paraId="73668DE5">
                  <w:pPr>
                    <w:pStyle w:val="95"/>
                    <w:spacing w:before="0" w:after="0"/>
                    <w:rPr>
                      <w:b/>
                      <w:bCs/>
                    </w:rPr>
                  </w:pPr>
                  <w:r>
                    <w:rPr>
                      <w:rFonts w:hint="eastAsia"/>
                    </w:rPr>
                    <w:t>菠萝塘居民点</w:t>
                  </w:r>
                </w:p>
              </w:tc>
              <w:tc>
                <w:tcPr>
                  <w:tcW w:w="898" w:type="pct"/>
                  <w:vAlign w:val="center"/>
                </w:tcPr>
                <w:p w14:paraId="39559DD1">
                  <w:pPr>
                    <w:adjustRightInd w:val="0"/>
                    <w:snapToGrid w:val="0"/>
                    <w:jc w:val="center"/>
                  </w:pPr>
                  <w:r>
                    <w:t>103°04'49.9463"</w:t>
                  </w:r>
                </w:p>
                <w:p w14:paraId="723E9508">
                  <w:pPr>
                    <w:pStyle w:val="95"/>
                    <w:spacing w:before="0" w:after="0"/>
                    <w:rPr>
                      <w:rFonts w:hint="eastAsia"/>
                      <w:b/>
                      <w:bCs/>
                    </w:rPr>
                  </w:pPr>
                  <w:r>
                    <w:t>26°31'09.0479"</w:t>
                  </w:r>
                </w:p>
              </w:tc>
              <w:tc>
                <w:tcPr>
                  <w:tcW w:w="703" w:type="pct"/>
                  <w:vAlign w:val="center"/>
                </w:tcPr>
                <w:p w14:paraId="5D4951E9">
                  <w:pPr>
                    <w:pStyle w:val="95"/>
                    <w:spacing w:before="0" w:after="0"/>
                    <w:rPr>
                      <w:b/>
                      <w:bCs/>
                    </w:rPr>
                  </w:pPr>
                  <w:r>
                    <w:rPr>
                      <w:rFonts w:hint="eastAsia"/>
                    </w:rPr>
                    <w:t>1</w:t>
                  </w:r>
                  <w:r>
                    <w:t>ULN1</w:t>
                  </w:r>
                  <w:r>
                    <w:rPr>
                      <w:rFonts w:hint="eastAsia"/>
                    </w:rPr>
                    <w:t>塔基北侧2</w:t>
                  </w:r>
                  <w:r>
                    <w:t>0</w:t>
                  </w:r>
                  <w:r>
                    <w:rPr>
                      <w:rFonts w:hint="eastAsia"/>
                    </w:rPr>
                    <w:t>m</w:t>
                  </w:r>
                </w:p>
              </w:tc>
              <w:tc>
                <w:tcPr>
                  <w:tcW w:w="663" w:type="pct"/>
                  <w:vAlign w:val="center"/>
                </w:tcPr>
                <w:p w14:paraId="796ADF85">
                  <w:pPr>
                    <w:pStyle w:val="95"/>
                    <w:spacing w:before="0" w:after="0"/>
                    <w:rPr>
                      <w:b/>
                      <w:bCs/>
                    </w:rPr>
                  </w:pPr>
                  <w:r>
                    <w:rPr>
                      <w:rFonts w:hint="eastAsia"/>
                    </w:rPr>
                    <w:t>L</w:t>
                  </w:r>
                  <w:r>
                    <w:t>03</w:t>
                  </w:r>
                  <w:r>
                    <w:rPr>
                      <w:rFonts w:hint="eastAsia"/>
                    </w:rPr>
                    <w:t>阵列西侧1</w:t>
                  </w:r>
                  <w:r>
                    <w:t>30</w:t>
                  </w:r>
                  <w:r>
                    <w:rPr>
                      <w:rFonts w:hint="eastAsia"/>
                    </w:rPr>
                    <w:t>m</w:t>
                  </w:r>
                </w:p>
              </w:tc>
              <w:tc>
                <w:tcPr>
                  <w:tcW w:w="498" w:type="pct"/>
                  <w:vAlign w:val="center"/>
                </w:tcPr>
                <w:p w14:paraId="59A84E30">
                  <w:pPr>
                    <w:pStyle w:val="95"/>
                    <w:spacing w:before="0" w:after="0"/>
                  </w:pPr>
                  <w:r>
                    <w:rPr>
                      <w:rFonts w:hint="eastAsia"/>
                    </w:rPr>
                    <w:t>西北侧2km</w:t>
                  </w:r>
                </w:p>
              </w:tc>
              <w:tc>
                <w:tcPr>
                  <w:tcW w:w="434" w:type="pct"/>
                  <w:vAlign w:val="center"/>
                </w:tcPr>
                <w:p w14:paraId="47447BF3">
                  <w:pPr>
                    <w:pStyle w:val="95"/>
                    <w:spacing w:before="0" w:after="0"/>
                  </w:pPr>
                  <w:r>
                    <w:rPr>
                      <w:rFonts w:hint="eastAsia"/>
                    </w:rPr>
                    <w:t>西南侧2</w:t>
                  </w:r>
                  <w:r>
                    <w:t>30</w:t>
                  </w:r>
                  <w:r>
                    <w:rPr>
                      <w:rFonts w:hint="eastAsia"/>
                    </w:rPr>
                    <w:t>m</w:t>
                  </w:r>
                </w:p>
              </w:tc>
              <w:tc>
                <w:tcPr>
                  <w:tcW w:w="544" w:type="pct"/>
                  <w:vAlign w:val="center"/>
                </w:tcPr>
                <w:p w14:paraId="314D4E47">
                  <w:pPr>
                    <w:pStyle w:val="95"/>
                    <w:spacing w:before="0" w:after="0"/>
                    <w:rPr>
                      <w:b/>
                      <w:bCs/>
                    </w:rPr>
                  </w:pPr>
                  <w:r>
                    <w:t>6</w:t>
                  </w:r>
                  <w:r>
                    <w:rPr>
                      <w:rFonts w:hint="eastAsia"/>
                    </w:rPr>
                    <w:t>户，约</w:t>
                  </w:r>
                  <w:r>
                    <w:rPr>
                      <w:rFonts w:hint="eastAsia" w:eastAsia="等线"/>
                    </w:rPr>
                    <w:t>1</w:t>
                  </w:r>
                  <w:r>
                    <w:rPr>
                      <w:rFonts w:eastAsia="等线"/>
                    </w:rPr>
                    <w:t>8</w:t>
                  </w:r>
                  <w:r>
                    <w:rPr>
                      <w:rFonts w:hint="eastAsia"/>
                    </w:rPr>
                    <w:t>人</w:t>
                  </w:r>
                </w:p>
              </w:tc>
              <w:tc>
                <w:tcPr>
                  <w:tcW w:w="512" w:type="pct"/>
                  <w:vMerge w:val="restart"/>
                  <w:vAlign w:val="center"/>
                </w:tcPr>
                <w:p w14:paraId="1FD75640">
                  <w:pPr>
                    <w:pStyle w:val="95"/>
                    <w:spacing w:before="0" w:after="0"/>
                    <w:rPr>
                      <w:b/>
                      <w:bCs/>
                    </w:rPr>
                  </w:pPr>
                  <w:r>
                    <w:rPr>
                      <w:bCs/>
                    </w:rPr>
                    <w:t>《</w:t>
                  </w:r>
                  <w:r>
                    <w:rPr>
                      <w:rFonts w:hint="eastAsia"/>
                      <w:bCs/>
                    </w:rPr>
                    <w:t>声环境质量标准》（GB</w:t>
                  </w:r>
                  <w:r>
                    <w:rPr>
                      <w:bCs/>
                    </w:rPr>
                    <w:t xml:space="preserve"> </w:t>
                  </w:r>
                  <w:r>
                    <w:rPr>
                      <w:rFonts w:hint="eastAsia"/>
                      <w:bCs/>
                    </w:rPr>
                    <w:t>3096-2008）</w:t>
                  </w:r>
                  <w:r>
                    <w:rPr>
                      <w:bCs/>
                    </w:rPr>
                    <w:t>2</w:t>
                  </w:r>
                  <w:r>
                    <w:rPr>
                      <w:rFonts w:hint="eastAsia"/>
                      <w:bCs/>
                    </w:rPr>
                    <w:t>类标准</w:t>
                  </w:r>
                </w:p>
              </w:tc>
            </w:tr>
            <w:tr w14:paraId="1454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23BBF9DE">
                  <w:pPr>
                    <w:pStyle w:val="95"/>
                    <w:numPr>
                      <w:ilvl w:val="0"/>
                      <w:numId w:val="11"/>
                    </w:numPr>
                    <w:spacing w:before="0" w:after="0"/>
                    <w:rPr>
                      <w:rFonts w:hint="eastAsia"/>
                    </w:rPr>
                  </w:pPr>
                </w:p>
              </w:tc>
              <w:tc>
                <w:tcPr>
                  <w:tcW w:w="524" w:type="pct"/>
                  <w:vAlign w:val="center"/>
                </w:tcPr>
                <w:p w14:paraId="524C26F5">
                  <w:pPr>
                    <w:pStyle w:val="95"/>
                    <w:spacing w:before="0" w:after="0"/>
                    <w:rPr>
                      <w:rFonts w:hint="eastAsia"/>
                    </w:rPr>
                  </w:pPr>
                  <w:r>
                    <w:rPr>
                      <w:rFonts w:hint="eastAsia"/>
                    </w:rPr>
                    <w:t>黑泥塘居民点</w:t>
                  </w:r>
                </w:p>
              </w:tc>
              <w:tc>
                <w:tcPr>
                  <w:tcW w:w="898" w:type="pct"/>
                  <w:vAlign w:val="center"/>
                </w:tcPr>
                <w:p w14:paraId="256718F6">
                  <w:pPr>
                    <w:adjustRightInd w:val="0"/>
                    <w:jc w:val="center"/>
                    <w:rPr>
                      <w:rFonts w:eastAsia="等线"/>
                    </w:rPr>
                  </w:pPr>
                  <w:r>
                    <w:rPr>
                      <w:rFonts w:eastAsia="等线"/>
                    </w:rPr>
                    <w:t>103°05'01.0092"</w:t>
                  </w:r>
                </w:p>
                <w:p w14:paraId="6E5649F0">
                  <w:pPr>
                    <w:adjustRightInd w:val="0"/>
                    <w:snapToGrid w:val="0"/>
                    <w:jc w:val="center"/>
                  </w:pPr>
                  <w:r>
                    <w:rPr>
                      <w:rFonts w:eastAsia="等线"/>
                    </w:rPr>
                    <w:t>26°30'29.3556"</w:t>
                  </w:r>
                </w:p>
              </w:tc>
              <w:tc>
                <w:tcPr>
                  <w:tcW w:w="703" w:type="pct"/>
                  <w:vAlign w:val="center"/>
                </w:tcPr>
                <w:p w14:paraId="43470578">
                  <w:pPr>
                    <w:pStyle w:val="95"/>
                    <w:spacing w:before="0" w:after="0"/>
                    <w:rPr>
                      <w:rFonts w:hint="eastAsia"/>
                    </w:rPr>
                  </w:pPr>
                  <w:r>
                    <w:rPr>
                      <w:rFonts w:hint="eastAsia"/>
                    </w:rPr>
                    <w:t>1</w:t>
                  </w:r>
                  <w:r>
                    <w:t>ULN6</w:t>
                  </w:r>
                  <w:r>
                    <w:rPr>
                      <w:rFonts w:hint="eastAsia"/>
                    </w:rPr>
                    <w:t>塔基西侧1</w:t>
                  </w:r>
                  <w:r>
                    <w:t>0</w:t>
                  </w:r>
                  <w:r>
                    <w:rPr>
                      <w:rFonts w:hint="eastAsia"/>
                    </w:rPr>
                    <w:t>m</w:t>
                  </w:r>
                </w:p>
              </w:tc>
              <w:tc>
                <w:tcPr>
                  <w:tcW w:w="663" w:type="pct"/>
                  <w:vAlign w:val="center"/>
                </w:tcPr>
                <w:p w14:paraId="5D256661">
                  <w:pPr>
                    <w:pStyle w:val="95"/>
                    <w:spacing w:before="0" w:after="0"/>
                    <w:rPr>
                      <w:rFonts w:hint="eastAsia"/>
                    </w:rPr>
                  </w:pPr>
                  <w:r>
                    <w:rPr>
                      <w:rFonts w:hint="eastAsia"/>
                    </w:rPr>
                    <w:t>L</w:t>
                  </w:r>
                  <w:r>
                    <w:t>03</w:t>
                  </w:r>
                  <w:r>
                    <w:rPr>
                      <w:rFonts w:hint="eastAsia"/>
                    </w:rPr>
                    <w:t>阵列南侧8</w:t>
                  </w:r>
                  <w:r>
                    <w:t>80</w:t>
                  </w:r>
                  <w:r>
                    <w:rPr>
                      <w:rFonts w:hint="eastAsia"/>
                    </w:rPr>
                    <w:t>m</w:t>
                  </w:r>
                </w:p>
              </w:tc>
              <w:tc>
                <w:tcPr>
                  <w:tcW w:w="498" w:type="pct"/>
                  <w:vAlign w:val="center"/>
                </w:tcPr>
                <w:p w14:paraId="30BA7A2F">
                  <w:pPr>
                    <w:pStyle w:val="95"/>
                    <w:spacing w:before="0" w:after="0"/>
                    <w:rPr>
                      <w:rFonts w:hint="eastAsia"/>
                    </w:rPr>
                  </w:pPr>
                  <w:r>
                    <w:rPr>
                      <w:rFonts w:hint="eastAsia"/>
                    </w:rPr>
                    <w:t>西北侧1</w:t>
                  </w:r>
                  <w:r>
                    <w:t>.2</w:t>
                  </w:r>
                  <w:r>
                    <w:rPr>
                      <w:rFonts w:hint="eastAsia"/>
                    </w:rPr>
                    <w:t>km</w:t>
                  </w:r>
                </w:p>
              </w:tc>
              <w:tc>
                <w:tcPr>
                  <w:tcW w:w="434" w:type="pct"/>
                  <w:vAlign w:val="center"/>
                </w:tcPr>
                <w:p w14:paraId="38E898EB">
                  <w:pPr>
                    <w:pStyle w:val="95"/>
                    <w:spacing w:before="0" w:after="0"/>
                  </w:pPr>
                  <w:r>
                    <w:rPr>
                      <w:rFonts w:hint="eastAsia"/>
                    </w:rPr>
                    <w:t>西南侧1</w:t>
                  </w:r>
                  <w:r>
                    <w:t>.4</w:t>
                  </w:r>
                  <w:r>
                    <w:rPr>
                      <w:rFonts w:hint="eastAsia"/>
                    </w:rPr>
                    <w:t>km</w:t>
                  </w:r>
                </w:p>
              </w:tc>
              <w:tc>
                <w:tcPr>
                  <w:tcW w:w="544" w:type="pct"/>
                  <w:vAlign w:val="center"/>
                </w:tcPr>
                <w:p w14:paraId="66199F91">
                  <w:pPr>
                    <w:pStyle w:val="95"/>
                    <w:spacing w:before="0" w:after="0"/>
                  </w:pPr>
                  <w:r>
                    <w:t>3</w:t>
                  </w:r>
                  <w:r>
                    <w:rPr>
                      <w:rFonts w:hint="eastAsia"/>
                    </w:rPr>
                    <w:t>户，约</w:t>
                  </w:r>
                  <w:r>
                    <w:rPr>
                      <w:rFonts w:eastAsia="等线"/>
                    </w:rPr>
                    <w:t>9</w:t>
                  </w:r>
                  <w:r>
                    <w:rPr>
                      <w:rFonts w:hint="eastAsia"/>
                    </w:rPr>
                    <w:t>人</w:t>
                  </w:r>
                </w:p>
              </w:tc>
              <w:tc>
                <w:tcPr>
                  <w:tcW w:w="512" w:type="pct"/>
                  <w:vMerge w:val="continue"/>
                  <w:vAlign w:val="center"/>
                </w:tcPr>
                <w:p w14:paraId="6A397F2E">
                  <w:pPr>
                    <w:pStyle w:val="95"/>
                    <w:spacing w:before="0" w:after="0"/>
                    <w:rPr>
                      <w:bCs/>
                    </w:rPr>
                  </w:pPr>
                </w:p>
              </w:tc>
            </w:tr>
            <w:tr w14:paraId="0893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10C1B2E4">
                  <w:pPr>
                    <w:pStyle w:val="95"/>
                    <w:numPr>
                      <w:ilvl w:val="0"/>
                      <w:numId w:val="11"/>
                    </w:numPr>
                    <w:spacing w:before="0" w:after="0"/>
                    <w:rPr>
                      <w:rFonts w:hint="eastAsia"/>
                    </w:rPr>
                  </w:pPr>
                </w:p>
              </w:tc>
              <w:tc>
                <w:tcPr>
                  <w:tcW w:w="524" w:type="pct"/>
                  <w:vAlign w:val="center"/>
                </w:tcPr>
                <w:p w14:paraId="38619F29">
                  <w:pPr>
                    <w:pStyle w:val="95"/>
                    <w:spacing w:before="0" w:after="0"/>
                    <w:rPr>
                      <w:rFonts w:hint="eastAsia"/>
                    </w:rPr>
                  </w:pPr>
                  <w:r>
                    <w:rPr>
                      <w:rFonts w:hint="eastAsia"/>
                    </w:rPr>
                    <w:t>酸多梨树居民点</w:t>
                  </w:r>
                </w:p>
              </w:tc>
              <w:tc>
                <w:tcPr>
                  <w:tcW w:w="898" w:type="pct"/>
                  <w:vAlign w:val="center"/>
                </w:tcPr>
                <w:p w14:paraId="0123832C">
                  <w:pPr>
                    <w:adjustRightInd w:val="0"/>
                    <w:jc w:val="center"/>
                    <w:rPr>
                      <w:rFonts w:eastAsia="等线"/>
                    </w:rPr>
                  </w:pPr>
                  <w:r>
                    <w:rPr>
                      <w:rFonts w:eastAsia="等线"/>
                    </w:rPr>
                    <w:t>103°06'29.3669"</w:t>
                  </w:r>
                </w:p>
                <w:p w14:paraId="622B0910">
                  <w:pPr>
                    <w:adjustRightInd w:val="0"/>
                    <w:snapToGrid w:val="0"/>
                    <w:jc w:val="center"/>
                  </w:pPr>
                  <w:r>
                    <w:rPr>
                      <w:rFonts w:eastAsia="等线"/>
                    </w:rPr>
                    <w:t>26°31'15.4312"</w:t>
                  </w:r>
                </w:p>
              </w:tc>
              <w:tc>
                <w:tcPr>
                  <w:tcW w:w="703" w:type="pct"/>
                  <w:vAlign w:val="center"/>
                </w:tcPr>
                <w:p w14:paraId="3C8146C1">
                  <w:pPr>
                    <w:pStyle w:val="95"/>
                    <w:spacing w:before="0" w:after="0"/>
                    <w:rPr>
                      <w:rFonts w:hint="eastAsia"/>
                    </w:rPr>
                  </w:pPr>
                  <w:r>
                    <w:rPr>
                      <w:rFonts w:hint="eastAsia"/>
                    </w:rPr>
                    <w:t>集电线路北侧1</w:t>
                  </w:r>
                  <w:r>
                    <w:t>0</w:t>
                  </w:r>
                  <w:r>
                    <w:rPr>
                      <w:rFonts w:hint="eastAsia"/>
                    </w:rPr>
                    <w:t>m</w:t>
                  </w:r>
                </w:p>
              </w:tc>
              <w:tc>
                <w:tcPr>
                  <w:tcW w:w="663" w:type="pct"/>
                  <w:vAlign w:val="center"/>
                </w:tcPr>
                <w:p w14:paraId="39D57C08">
                  <w:pPr>
                    <w:pStyle w:val="95"/>
                    <w:spacing w:before="0" w:after="0"/>
                    <w:rPr>
                      <w:rFonts w:hint="eastAsia"/>
                    </w:rPr>
                  </w:pPr>
                  <w:r>
                    <w:rPr>
                      <w:rFonts w:hint="eastAsia"/>
                    </w:rPr>
                    <w:t>L</w:t>
                  </w:r>
                  <w:r>
                    <w:t>02</w:t>
                  </w:r>
                  <w:r>
                    <w:rPr>
                      <w:rFonts w:hint="eastAsia"/>
                    </w:rPr>
                    <w:t>阵列西北侧1</w:t>
                  </w:r>
                  <w:r>
                    <w:t>0</w:t>
                  </w:r>
                  <w:r>
                    <w:rPr>
                      <w:rFonts w:hint="eastAsia"/>
                    </w:rPr>
                    <w:t>m</w:t>
                  </w:r>
                </w:p>
              </w:tc>
              <w:tc>
                <w:tcPr>
                  <w:tcW w:w="498" w:type="pct"/>
                  <w:vAlign w:val="center"/>
                </w:tcPr>
                <w:p w14:paraId="6BD7CBA8">
                  <w:pPr>
                    <w:pStyle w:val="95"/>
                    <w:spacing w:before="0" w:after="0"/>
                    <w:rPr>
                      <w:rFonts w:hint="eastAsia"/>
                    </w:rPr>
                  </w:pPr>
                  <w:r>
                    <w:rPr>
                      <w:rFonts w:hint="eastAsia"/>
                    </w:rPr>
                    <w:t>东北侧2</w:t>
                  </w:r>
                  <w:r>
                    <w:t>.1</w:t>
                  </w:r>
                  <w:r>
                    <w:rPr>
                      <w:rFonts w:hint="eastAsia"/>
                    </w:rPr>
                    <w:t>km</w:t>
                  </w:r>
                </w:p>
              </w:tc>
              <w:tc>
                <w:tcPr>
                  <w:tcW w:w="434" w:type="pct"/>
                </w:tcPr>
                <w:p w14:paraId="278E7796">
                  <w:pPr>
                    <w:pStyle w:val="95"/>
                    <w:spacing w:before="0" w:after="0"/>
                  </w:pPr>
                  <w:r>
                    <w:rPr>
                      <w:rFonts w:hint="eastAsia"/>
                    </w:rPr>
                    <w:t>东北侧5</w:t>
                  </w:r>
                  <w:r>
                    <w:t>0</w:t>
                  </w:r>
                  <w:r>
                    <w:rPr>
                      <w:rFonts w:hint="eastAsia"/>
                    </w:rPr>
                    <w:t>m</w:t>
                  </w:r>
                </w:p>
              </w:tc>
              <w:tc>
                <w:tcPr>
                  <w:tcW w:w="544" w:type="pct"/>
                  <w:vAlign w:val="center"/>
                </w:tcPr>
                <w:p w14:paraId="4071B538">
                  <w:pPr>
                    <w:pStyle w:val="95"/>
                    <w:spacing w:before="0" w:after="0"/>
                  </w:pPr>
                  <w:r>
                    <w:t>4</w:t>
                  </w:r>
                  <w:r>
                    <w:rPr>
                      <w:rFonts w:hint="eastAsia"/>
                    </w:rPr>
                    <w:t>户，约</w:t>
                  </w:r>
                  <w:r>
                    <w:t>12</w:t>
                  </w:r>
                  <w:r>
                    <w:rPr>
                      <w:rFonts w:hint="eastAsia"/>
                    </w:rPr>
                    <w:t>人</w:t>
                  </w:r>
                </w:p>
              </w:tc>
              <w:tc>
                <w:tcPr>
                  <w:tcW w:w="512" w:type="pct"/>
                  <w:vMerge w:val="continue"/>
                  <w:vAlign w:val="center"/>
                </w:tcPr>
                <w:p w14:paraId="185FD1D5">
                  <w:pPr>
                    <w:pStyle w:val="95"/>
                    <w:spacing w:before="0" w:after="0"/>
                    <w:rPr>
                      <w:bCs/>
                    </w:rPr>
                  </w:pPr>
                </w:p>
              </w:tc>
            </w:tr>
            <w:tr w14:paraId="691C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67422786">
                  <w:pPr>
                    <w:pStyle w:val="95"/>
                    <w:numPr>
                      <w:ilvl w:val="0"/>
                      <w:numId w:val="11"/>
                    </w:numPr>
                    <w:spacing w:before="0" w:after="0"/>
                    <w:rPr>
                      <w:rFonts w:hint="eastAsia"/>
                    </w:rPr>
                  </w:pPr>
                </w:p>
              </w:tc>
              <w:tc>
                <w:tcPr>
                  <w:tcW w:w="524" w:type="pct"/>
                  <w:vAlign w:val="center"/>
                </w:tcPr>
                <w:p w14:paraId="6AC4E1AE">
                  <w:pPr>
                    <w:pStyle w:val="95"/>
                    <w:spacing w:before="0" w:after="0"/>
                    <w:rPr>
                      <w:rFonts w:hint="eastAsia"/>
                    </w:rPr>
                  </w:pPr>
                  <w:r>
                    <w:rPr>
                      <w:rFonts w:hint="eastAsia"/>
                    </w:rPr>
                    <w:t>大龙潭居民点</w:t>
                  </w:r>
                </w:p>
              </w:tc>
              <w:tc>
                <w:tcPr>
                  <w:tcW w:w="898" w:type="pct"/>
                  <w:vAlign w:val="center"/>
                </w:tcPr>
                <w:p w14:paraId="366DECD8">
                  <w:pPr>
                    <w:pStyle w:val="95"/>
                    <w:spacing w:before="0" w:after="0"/>
                  </w:pPr>
                  <w:r>
                    <w:t>103°06'49.0286"</w:t>
                  </w:r>
                </w:p>
                <w:p w14:paraId="3743A8C8">
                  <w:pPr>
                    <w:adjustRightInd w:val="0"/>
                    <w:snapToGrid w:val="0"/>
                    <w:jc w:val="center"/>
                  </w:pPr>
                  <w:r>
                    <w:t>26°30'24.6296"</w:t>
                  </w:r>
                </w:p>
              </w:tc>
              <w:tc>
                <w:tcPr>
                  <w:tcW w:w="703" w:type="pct"/>
                  <w:vAlign w:val="center"/>
                </w:tcPr>
                <w:p w14:paraId="2A7285E9">
                  <w:pPr>
                    <w:pStyle w:val="95"/>
                    <w:spacing w:before="0" w:after="0"/>
                    <w:rPr>
                      <w:rFonts w:hint="eastAsia"/>
                    </w:rPr>
                  </w:pPr>
                  <w:r>
                    <w:rPr>
                      <w:rFonts w:hint="eastAsia"/>
                    </w:rPr>
                    <w:t>集电线路东南侧1</w:t>
                  </w:r>
                  <w:r>
                    <w:t>80</w:t>
                  </w:r>
                  <w:r>
                    <w:rPr>
                      <w:rFonts w:hint="eastAsia"/>
                    </w:rPr>
                    <w:t>m</w:t>
                  </w:r>
                </w:p>
              </w:tc>
              <w:tc>
                <w:tcPr>
                  <w:tcW w:w="663" w:type="pct"/>
                  <w:vAlign w:val="center"/>
                </w:tcPr>
                <w:p w14:paraId="50017B66">
                  <w:pPr>
                    <w:pStyle w:val="95"/>
                    <w:spacing w:before="0" w:after="0"/>
                    <w:rPr>
                      <w:rFonts w:hint="eastAsia"/>
                    </w:rPr>
                  </w:pPr>
                  <w:r>
                    <w:rPr>
                      <w:rFonts w:hint="eastAsia"/>
                    </w:rPr>
                    <w:t>L</w:t>
                  </w:r>
                  <w:r>
                    <w:t>05</w:t>
                  </w:r>
                  <w:r>
                    <w:rPr>
                      <w:rFonts w:hint="eastAsia"/>
                    </w:rPr>
                    <w:t>阵列北侧</w:t>
                  </w:r>
                  <w:r>
                    <w:t>50</w:t>
                  </w:r>
                  <w:r>
                    <w:rPr>
                      <w:rFonts w:hint="eastAsia"/>
                    </w:rPr>
                    <w:t>m</w:t>
                  </w:r>
                </w:p>
              </w:tc>
              <w:tc>
                <w:tcPr>
                  <w:tcW w:w="498" w:type="pct"/>
                  <w:vAlign w:val="center"/>
                </w:tcPr>
                <w:p w14:paraId="5A8F050F">
                  <w:pPr>
                    <w:pStyle w:val="95"/>
                    <w:spacing w:before="0" w:after="0"/>
                    <w:rPr>
                      <w:rFonts w:hint="eastAsia"/>
                    </w:rPr>
                  </w:pPr>
                  <w:r>
                    <w:rPr>
                      <w:rFonts w:hint="eastAsia"/>
                    </w:rPr>
                    <w:t>东侧1</w:t>
                  </w:r>
                  <w:r>
                    <w:t>.6</w:t>
                  </w:r>
                  <w:r>
                    <w:rPr>
                      <w:rFonts w:hint="eastAsia"/>
                    </w:rPr>
                    <w:t>km</w:t>
                  </w:r>
                </w:p>
              </w:tc>
              <w:tc>
                <w:tcPr>
                  <w:tcW w:w="434" w:type="pct"/>
                </w:tcPr>
                <w:p w14:paraId="7048F345">
                  <w:pPr>
                    <w:pStyle w:val="95"/>
                    <w:spacing w:before="0" w:after="0"/>
                  </w:pPr>
                  <w:r>
                    <w:rPr>
                      <w:rFonts w:hint="eastAsia"/>
                    </w:rPr>
                    <w:t>东南侧4</w:t>
                  </w:r>
                  <w:r>
                    <w:t>00</w:t>
                  </w:r>
                  <w:r>
                    <w:rPr>
                      <w:rFonts w:hint="eastAsia"/>
                    </w:rPr>
                    <w:t>m</w:t>
                  </w:r>
                </w:p>
              </w:tc>
              <w:tc>
                <w:tcPr>
                  <w:tcW w:w="544" w:type="pct"/>
                  <w:vAlign w:val="center"/>
                </w:tcPr>
                <w:p w14:paraId="00D9F7B3">
                  <w:pPr>
                    <w:pStyle w:val="95"/>
                    <w:spacing w:before="0" w:after="0"/>
                  </w:pPr>
                  <w:r>
                    <w:t>9</w:t>
                  </w:r>
                  <w:r>
                    <w:rPr>
                      <w:rFonts w:hint="eastAsia"/>
                    </w:rPr>
                    <w:t>户，约</w:t>
                  </w:r>
                  <w:r>
                    <w:t>27</w:t>
                  </w:r>
                  <w:r>
                    <w:rPr>
                      <w:rFonts w:hint="eastAsia"/>
                    </w:rPr>
                    <w:t>人</w:t>
                  </w:r>
                </w:p>
              </w:tc>
              <w:tc>
                <w:tcPr>
                  <w:tcW w:w="512" w:type="pct"/>
                  <w:vMerge w:val="continue"/>
                  <w:vAlign w:val="center"/>
                </w:tcPr>
                <w:p w14:paraId="7E12F2D1">
                  <w:pPr>
                    <w:pStyle w:val="95"/>
                    <w:spacing w:before="0" w:after="0"/>
                    <w:rPr>
                      <w:bCs/>
                    </w:rPr>
                  </w:pPr>
                </w:p>
              </w:tc>
            </w:tr>
            <w:tr w14:paraId="362C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78AA317B">
                  <w:pPr>
                    <w:pStyle w:val="95"/>
                    <w:numPr>
                      <w:ilvl w:val="0"/>
                      <w:numId w:val="11"/>
                    </w:numPr>
                    <w:spacing w:before="0" w:after="0"/>
                    <w:rPr>
                      <w:rFonts w:hint="eastAsia"/>
                    </w:rPr>
                  </w:pPr>
                </w:p>
              </w:tc>
              <w:tc>
                <w:tcPr>
                  <w:tcW w:w="524" w:type="pct"/>
                  <w:vAlign w:val="center"/>
                </w:tcPr>
                <w:p w14:paraId="7FF52995">
                  <w:pPr>
                    <w:pStyle w:val="95"/>
                    <w:spacing w:before="0" w:after="0"/>
                    <w:rPr>
                      <w:rFonts w:hint="eastAsia"/>
                    </w:rPr>
                  </w:pPr>
                  <w:r>
                    <w:rPr>
                      <w:rFonts w:hint="eastAsia"/>
                    </w:rPr>
                    <w:t>田尾坝居民点</w:t>
                  </w:r>
                </w:p>
              </w:tc>
              <w:tc>
                <w:tcPr>
                  <w:tcW w:w="898" w:type="pct"/>
                  <w:vAlign w:val="center"/>
                </w:tcPr>
                <w:p w14:paraId="5F52D6A9">
                  <w:pPr>
                    <w:pStyle w:val="95"/>
                    <w:spacing w:before="0" w:after="0"/>
                  </w:pPr>
                  <w:r>
                    <w:t>103°06'13.1536"</w:t>
                  </w:r>
                </w:p>
                <w:p w14:paraId="22F8D992">
                  <w:pPr>
                    <w:adjustRightInd w:val="0"/>
                    <w:snapToGrid w:val="0"/>
                    <w:jc w:val="center"/>
                  </w:pPr>
                  <w:r>
                    <w:t>26°29'33.7411"</w:t>
                  </w:r>
                </w:p>
              </w:tc>
              <w:tc>
                <w:tcPr>
                  <w:tcW w:w="703" w:type="pct"/>
                  <w:vAlign w:val="center"/>
                </w:tcPr>
                <w:p w14:paraId="65E7E29A">
                  <w:pPr>
                    <w:pStyle w:val="95"/>
                    <w:spacing w:before="0" w:after="0"/>
                    <w:rPr>
                      <w:rFonts w:hint="eastAsia"/>
                    </w:rPr>
                  </w:pPr>
                  <w:r>
                    <w:rPr>
                      <w:rFonts w:hint="eastAsia"/>
                    </w:rPr>
                    <w:t>集电线路南侧3</w:t>
                  </w:r>
                  <w:r>
                    <w:t>0</w:t>
                  </w:r>
                  <w:r>
                    <w:rPr>
                      <w:rFonts w:hint="eastAsia"/>
                    </w:rPr>
                    <w:t>m</w:t>
                  </w:r>
                </w:p>
              </w:tc>
              <w:tc>
                <w:tcPr>
                  <w:tcW w:w="663" w:type="pct"/>
                  <w:vAlign w:val="center"/>
                </w:tcPr>
                <w:p w14:paraId="63EA2405">
                  <w:pPr>
                    <w:pStyle w:val="95"/>
                    <w:spacing w:before="0" w:after="0"/>
                    <w:rPr>
                      <w:rFonts w:hint="eastAsia"/>
                    </w:rPr>
                  </w:pPr>
                  <w:r>
                    <w:rPr>
                      <w:rFonts w:hint="eastAsia"/>
                    </w:rPr>
                    <w:t>L</w:t>
                  </w:r>
                  <w:r>
                    <w:t>21</w:t>
                  </w:r>
                  <w:r>
                    <w:rPr>
                      <w:rFonts w:hint="eastAsia"/>
                    </w:rPr>
                    <w:t>阵列东北侧</w:t>
                  </w:r>
                  <w:r>
                    <w:t>10</w:t>
                  </w:r>
                  <w:r>
                    <w:rPr>
                      <w:rFonts w:hint="eastAsia"/>
                    </w:rPr>
                    <w:t>m</w:t>
                  </w:r>
                </w:p>
              </w:tc>
              <w:tc>
                <w:tcPr>
                  <w:tcW w:w="498" w:type="pct"/>
                  <w:vAlign w:val="center"/>
                </w:tcPr>
                <w:p w14:paraId="7C399DBD">
                  <w:pPr>
                    <w:pStyle w:val="95"/>
                    <w:spacing w:before="0" w:after="0"/>
                    <w:rPr>
                      <w:rFonts w:hint="eastAsia"/>
                    </w:rPr>
                  </w:pPr>
                  <w:r>
                    <w:rPr>
                      <w:rFonts w:hint="eastAsia"/>
                    </w:rPr>
                    <w:t>东南侧1</w:t>
                  </w:r>
                  <w:r>
                    <w:t>.5</w:t>
                  </w:r>
                  <w:r>
                    <w:rPr>
                      <w:rFonts w:hint="eastAsia"/>
                    </w:rPr>
                    <w:t>km</w:t>
                  </w:r>
                </w:p>
              </w:tc>
              <w:tc>
                <w:tcPr>
                  <w:tcW w:w="434" w:type="pct"/>
                </w:tcPr>
                <w:p w14:paraId="6EA39E3F">
                  <w:pPr>
                    <w:pStyle w:val="95"/>
                    <w:spacing w:before="0" w:after="0"/>
                  </w:pPr>
                  <w:r>
                    <w:rPr>
                      <w:rFonts w:hint="eastAsia"/>
                    </w:rPr>
                    <w:t>东北侧9</w:t>
                  </w:r>
                  <w:r>
                    <w:t>0</w:t>
                  </w:r>
                  <w:r>
                    <w:rPr>
                      <w:rFonts w:hint="eastAsia"/>
                    </w:rPr>
                    <w:t>m</w:t>
                  </w:r>
                </w:p>
              </w:tc>
              <w:tc>
                <w:tcPr>
                  <w:tcW w:w="544" w:type="pct"/>
                  <w:vAlign w:val="center"/>
                </w:tcPr>
                <w:p w14:paraId="5627A1CA">
                  <w:pPr>
                    <w:pStyle w:val="95"/>
                    <w:spacing w:before="0" w:after="0"/>
                  </w:pPr>
                  <w:r>
                    <w:t>12</w:t>
                  </w:r>
                  <w:r>
                    <w:rPr>
                      <w:rFonts w:hint="eastAsia"/>
                    </w:rPr>
                    <w:t>户，约</w:t>
                  </w:r>
                  <w:r>
                    <w:t>36</w:t>
                  </w:r>
                  <w:r>
                    <w:rPr>
                      <w:rFonts w:hint="eastAsia"/>
                    </w:rPr>
                    <w:t>人</w:t>
                  </w:r>
                </w:p>
              </w:tc>
              <w:tc>
                <w:tcPr>
                  <w:tcW w:w="512" w:type="pct"/>
                  <w:vMerge w:val="continue"/>
                  <w:vAlign w:val="center"/>
                </w:tcPr>
                <w:p w14:paraId="7B9E425E">
                  <w:pPr>
                    <w:pStyle w:val="95"/>
                    <w:spacing w:before="0" w:after="0"/>
                    <w:rPr>
                      <w:bCs/>
                    </w:rPr>
                  </w:pPr>
                </w:p>
              </w:tc>
            </w:tr>
            <w:tr w14:paraId="767C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4314A92E">
                  <w:pPr>
                    <w:pStyle w:val="95"/>
                    <w:numPr>
                      <w:ilvl w:val="0"/>
                      <w:numId w:val="11"/>
                    </w:numPr>
                    <w:spacing w:before="0" w:after="0"/>
                    <w:rPr>
                      <w:rFonts w:hint="eastAsia"/>
                    </w:rPr>
                  </w:pPr>
                </w:p>
              </w:tc>
              <w:tc>
                <w:tcPr>
                  <w:tcW w:w="524" w:type="pct"/>
                  <w:vAlign w:val="center"/>
                </w:tcPr>
                <w:p w14:paraId="130AFD4B">
                  <w:pPr>
                    <w:pStyle w:val="95"/>
                    <w:spacing w:before="0" w:after="0"/>
                    <w:rPr>
                      <w:rFonts w:hint="eastAsia"/>
                    </w:rPr>
                  </w:pPr>
                  <w:r>
                    <w:rPr>
                      <w:rFonts w:hint="eastAsia"/>
                    </w:rPr>
                    <w:t>梁子上居民点</w:t>
                  </w:r>
                </w:p>
              </w:tc>
              <w:tc>
                <w:tcPr>
                  <w:tcW w:w="898" w:type="pct"/>
                  <w:vAlign w:val="center"/>
                </w:tcPr>
                <w:p w14:paraId="4EEAE93D">
                  <w:pPr>
                    <w:pStyle w:val="95"/>
                    <w:spacing w:before="0" w:after="0"/>
                  </w:pPr>
                  <w:r>
                    <w:t>103°06'51.6060"</w:t>
                  </w:r>
                </w:p>
                <w:p w14:paraId="79BF4B46">
                  <w:pPr>
                    <w:adjustRightInd w:val="0"/>
                    <w:snapToGrid w:val="0"/>
                    <w:jc w:val="center"/>
                  </w:pPr>
                  <w:r>
                    <w:t>26°25'23.4274"</w:t>
                  </w:r>
                </w:p>
              </w:tc>
              <w:tc>
                <w:tcPr>
                  <w:tcW w:w="703" w:type="pct"/>
                  <w:vAlign w:val="center"/>
                </w:tcPr>
                <w:p w14:paraId="3205FCD2">
                  <w:pPr>
                    <w:pStyle w:val="95"/>
                    <w:spacing w:before="0" w:after="0"/>
                    <w:rPr>
                      <w:rFonts w:hint="eastAsia"/>
                    </w:rPr>
                  </w:pPr>
                  <w:r>
                    <w:rPr>
                      <w:rFonts w:hint="eastAsia"/>
                    </w:rPr>
                    <w:t>集电线路东北侧1</w:t>
                  </w:r>
                  <w:r>
                    <w:t>80</w:t>
                  </w:r>
                  <w:r>
                    <w:rPr>
                      <w:rFonts w:hint="eastAsia"/>
                    </w:rPr>
                    <w:t>m</w:t>
                  </w:r>
                </w:p>
              </w:tc>
              <w:tc>
                <w:tcPr>
                  <w:tcW w:w="663" w:type="pct"/>
                  <w:vAlign w:val="center"/>
                </w:tcPr>
                <w:p w14:paraId="72270CEB">
                  <w:pPr>
                    <w:pStyle w:val="95"/>
                    <w:spacing w:before="0" w:after="0"/>
                    <w:rPr>
                      <w:rFonts w:hint="eastAsia"/>
                    </w:rPr>
                  </w:pPr>
                  <w:r>
                    <w:rPr>
                      <w:rFonts w:hint="eastAsia"/>
                    </w:rPr>
                    <w:t>L</w:t>
                  </w:r>
                  <w:r>
                    <w:t>12</w:t>
                  </w:r>
                  <w:r>
                    <w:rPr>
                      <w:rFonts w:hint="eastAsia"/>
                    </w:rPr>
                    <w:t>阵列东侧</w:t>
                  </w:r>
                  <w:r>
                    <w:t>10</w:t>
                  </w:r>
                  <w:r>
                    <w:rPr>
                      <w:rFonts w:hint="eastAsia"/>
                    </w:rPr>
                    <w:t>m</w:t>
                  </w:r>
                </w:p>
              </w:tc>
              <w:tc>
                <w:tcPr>
                  <w:tcW w:w="498" w:type="pct"/>
                  <w:vAlign w:val="center"/>
                </w:tcPr>
                <w:p w14:paraId="37237A1B">
                  <w:pPr>
                    <w:pStyle w:val="95"/>
                    <w:spacing w:before="0" w:after="0"/>
                    <w:rPr>
                      <w:rFonts w:hint="eastAsia"/>
                    </w:rPr>
                  </w:pPr>
                  <w:r>
                    <w:rPr>
                      <w:rFonts w:hint="eastAsia"/>
                    </w:rPr>
                    <w:t>东南侧9</w:t>
                  </w:r>
                  <w:r>
                    <w:t>.3</w:t>
                  </w:r>
                  <w:r>
                    <w:rPr>
                      <w:rFonts w:hint="eastAsia"/>
                    </w:rPr>
                    <w:t>km</w:t>
                  </w:r>
                </w:p>
              </w:tc>
              <w:tc>
                <w:tcPr>
                  <w:tcW w:w="434" w:type="pct"/>
                  <w:vAlign w:val="center"/>
                </w:tcPr>
                <w:p w14:paraId="6092DB54">
                  <w:pPr>
                    <w:pStyle w:val="95"/>
                    <w:spacing w:before="0" w:after="0"/>
                  </w:pPr>
                  <w:r>
                    <w:rPr>
                      <w:rFonts w:hint="eastAsia"/>
                    </w:rPr>
                    <w:t>东北侧6</w:t>
                  </w:r>
                  <w:r>
                    <w:t>0</w:t>
                  </w:r>
                  <w:r>
                    <w:rPr>
                      <w:rFonts w:hint="eastAsia"/>
                    </w:rPr>
                    <w:t>m</w:t>
                  </w:r>
                </w:p>
              </w:tc>
              <w:tc>
                <w:tcPr>
                  <w:tcW w:w="544" w:type="pct"/>
                  <w:vAlign w:val="center"/>
                </w:tcPr>
                <w:p w14:paraId="207F85FC">
                  <w:pPr>
                    <w:pStyle w:val="95"/>
                    <w:spacing w:before="0" w:after="0"/>
                  </w:pPr>
                  <w:r>
                    <w:t>8</w:t>
                  </w:r>
                  <w:r>
                    <w:rPr>
                      <w:rFonts w:hint="eastAsia"/>
                    </w:rPr>
                    <w:t>户，约2</w:t>
                  </w:r>
                  <w:r>
                    <w:t>4</w:t>
                  </w:r>
                  <w:r>
                    <w:rPr>
                      <w:rFonts w:hint="eastAsia"/>
                    </w:rPr>
                    <w:t>人</w:t>
                  </w:r>
                </w:p>
              </w:tc>
              <w:tc>
                <w:tcPr>
                  <w:tcW w:w="512" w:type="pct"/>
                  <w:vMerge w:val="continue"/>
                  <w:vAlign w:val="center"/>
                </w:tcPr>
                <w:p w14:paraId="72DC1CE4">
                  <w:pPr>
                    <w:pStyle w:val="95"/>
                    <w:spacing w:before="0" w:after="0"/>
                    <w:rPr>
                      <w:bCs/>
                    </w:rPr>
                  </w:pPr>
                </w:p>
              </w:tc>
            </w:tr>
            <w:tr w14:paraId="44D4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blHeader/>
                <w:jc w:val="center"/>
              </w:trPr>
              <w:tc>
                <w:tcPr>
                  <w:tcW w:w="224" w:type="pct"/>
                  <w:vAlign w:val="center"/>
                </w:tcPr>
                <w:p w14:paraId="5C19F050">
                  <w:pPr>
                    <w:pStyle w:val="95"/>
                    <w:numPr>
                      <w:ilvl w:val="0"/>
                      <w:numId w:val="11"/>
                    </w:numPr>
                    <w:spacing w:before="0" w:after="0"/>
                    <w:rPr>
                      <w:rFonts w:hint="eastAsia"/>
                    </w:rPr>
                  </w:pPr>
                </w:p>
              </w:tc>
              <w:tc>
                <w:tcPr>
                  <w:tcW w:w="524" w:type="pct"/>
                  <w:vAlign w:val="center"/>
                </w:tcPr>
                <w:p w14:paraId="513CC8CA">
                  <w:pPr>
                    <w:pStyle w:val="95"/>
                    <w:spacing w:before="0" w:after="0"/>
                    <w:rPr>
                      <w:rFonts w:hint="eastAsia"/>
                    </w:rPr>
                  </w:pPr>
                  <w:r>
                    <w:rPr>
                      <w:rFonts w:hint="eastAsia"/>
                    </w:rPr>
                    <w:t>炭山坡居民点</w:t>
                  </w:r>
                </w:p>
              </w:tc>
              <w:tc>
                <w:tcPr>
                  <w:tcW w:w="898" w:type="pct"/>
                  <w:vAlign w:val="center"/>
                </w:tcPr>
                <w:p w14:paraId="15DECB7F">
                  <w:pPr>
                    <w:pStyle w:val="95"/>
                    <w:spacing w:before="0" w:after="0"/>
                  </w:pPr>
                  <w:r>
                    <w:t>103°08'56.8300"</w:t>
                  </w:r>
                </w:p>
                <w:p w14:paraId="0EA6FD3D">
                  <w:pPr>
                    <w:adjustRightInd w:val="0"/>
                    <w:snapToGrid w:val="0"/>
                    <w:jc w:val="center"/>
                  </w:pPr>
                  <w:r>
                    <w:t>26°27'43.0144"</w:t>
                  </w:r>
                </w:p>
              </w:tc>
              <w:tc>
                <w:tcPr>
                  <w:tcW w:w="703" w:type="pct"/>
                  <w:vAlign w:val="center"/>
                </w:tcPr>
                <w:p w14:paraId="36191706">
                  <w:pPr>
                    <w:pStyle w:val="95"/>
                    <w:spacing w:before="0" w:after="0"/>
                    <w:rPr>
                      <w:rFonts w:hint="eastAsia"/>
                    </w:rPr>
                  </w:pPr>
                  <w:r>
                    <w:rPr>
                      <w:rFonts w:hint="eastAsia"/>
                    </w:rPr>
                    <w:t>地埋线路北侧</w:t>
                  </w:r>
                  <w:r>
                    <w:t>2</w:t>
                  </w:r>
                  <w:r>
                    <w:rPr>
                      <w:rFonts w:hint="eastAsia"/>
                    </w:rPr>
                    <w:t>m</w:t>
                  </w:r>
                </w:p>
              </w:tc>
              <w:tc>
                <w:tcPr>
                  <w:tcW w:w="663" w:type="pct"/>
                  <w:vAlign w:val="center"/>
                </w:tcPr>
                <w:p w14:paraId="46029734">
                  <w:pPr>
                    <w:pStyle w:val="95"/>
                    <w:spacing w:before="0" w:after="0"/>
                    <w:rPr>
                      <w:rFonts w:hint="eastAsia"/>
                    </w:rPr>
                  </w:pPr>
                  <w:r>
                    <w:rPr>
                      <w:rFonts w:hint="eastAsia"/>
                    </w:rPr>
                    <w:t>L</w:t>
                  </w:r>
                  <w:r>
                    <w:t>06</w:t>
                  </w:r>
                  <w:r>
                    <w:rPr>
                      <w:rFonts w:hint="eastAsia"/>
                    </w:rPr>
                    <w:t>阵列南侧2</w:t>
                  </w:r>
                  <w:r>
                    <w:t>00</w:t>
                  </w:r>
                  <w:r>
                    <w:rPr>
                      <w:rFonts w:hint="eastAsia"/>
                    </w:rPr>
                    <w:t>m</w:t>
                  </w:r>
                </w:p>
              </w:tc>
              <w:tc>
                <w:tcPr>
                  <w:tcW w:w="498" w:type="pct"/>
                  <w:vAlign w:val="center"/>
                </w:tcPr>
                <w:p w14:paraId="46FFB04F">
                  <w:pPr>
                    <w:pStyle w:val="95"/>
                    <w:spacing w:before="0" w:after="0"/>
                    <w:rPr>
                      <w:rFonts w:hint="eastAsia"/>
                    </w:rPr>
                  </w:pPr>
                  <w:r>
                    <w:rPr>
                      <w:rFonts w:hint="eastAsia"/>
                    </w:rPr>
                    <w:t>东南侧7km</w:t>
                  </w:r>
                </w:p>
              </w:tc>
              <w:tc>
                <w:tcPr>
                  <w:tcW w:w="434" w:type="pct"/>
                  <w:vAlign w:val="center"/>
                </w:tcPr>
                <w:p w14:paraId="400CCFE8">
                  <w:pPr>
                    <w:pStyle w:val="95"/>
                    <w:spacing w:before="0" w:after="0"/>
                  </w:pPr>
                  <w:r>
                    <w:rPr>
                      <w:rFonts w:hint="eastAsia"/>
                    </w:rPr>
                    <w:t>南侧3</w:t>
                  </w:r>
                  <w:r>
                    <w:t>40</w:t>
                  </w:r>
                  <w:r>
                    <w:rPr>
                      <w:rFonts w:hint="eastAsia"/>
                    </w:rPr>
                    <w:t>m</w:t>
                  </w:r>
                </w:p>
              </w:tc>
              <w:tc>
                <w:tcPr>
                  <w:tcW w:w="544" w:type="pct"/>
                  <w:vAlign w:val="center"/>
                </w:tcPr>
                <w:p w14:paraId="5A45F02F">
                  <w:pPr>
                    <w:pStyle w:val="95"/>
                    <w:spacing w:before="0" w:after="0"/>
                  </w:pPr>
                  <w:r>
                    <w:t>23</w:t>
                  </w:r>
                  <w:r>
                    <w:rPr>
                      <w:rFonts w:hint="eastAsia"/>
                    </w:rPr>
                    <w:t>户，约</w:t>
                  </w:r>
                  <w:r>
                    <w:t>69</w:t>
                  </w:r>
                  <w:r>
                    <w:rPr>
                      <w:rFonts w:hint="eastAsia"/>
                    </w:rPr>
                    <w:t>人</w:t>
                  </w:r>
                </w:p>
              </w:tc>
              <w:tc>
                <w:tcPr>
                  <w:tcW w:w="512" w:type="pct"/>
                  <w:vMerge w:val="continue"/>
                  <w:vAlign w:val="center"/>
                </w:tcPr>
                <w:p w14:paraId="2820D6F0">
                  <w:pPr>
                    <w:pStyle w:val="95"/>
                    <w:spacing w:before="0" w:after="0"/>
                    <w:rPr>
                      <w:bCs/>
                    </w:rPr>
                  </w:pPr>
                </w:p>
              </w:tc>
            </w:tr>
            <w:tr w14:paraId="7818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7380B43E">
                  <w:pPr>
                    <w:pStyle w:val="95"/>
                    <w:numPr>
                      <w:ilvl w:val="0"/>
                      <w:numId w:val="11"/>
                    </w:numPr>
                    <w:spacing w:before="0" w:after="0"/>
                    <w:rPr>
                      <w:rFonts w:hint="eastAsia"/>
                    </w:rPr>
                  </w:pPr>
                  <w:bookmarkStart w:id="118" w:name="_Hlk236144515"/>
                </w:p>
              </w:tc>
              <w:tc>
                <w:tcPr>
                  <w:tcW w:w="524" w:type="pct"/>
                  <w:vAlign w:val="center"/>
                </w:tcPr>
                <w:p w14:paraId="32E7C42E">
                  <w:pPr>
                    <w:pStyle w:val="95"/>
                    <w:spacing w:before="0" w:after="0"/>
                    <w:rPr>
                      <w:rFonts w:hint="eastAsia"/>
                    </w:rPr>
                  </w:pPr>
                  <w:r>
                    <w:rPr>
                      <w:rFonts w:hint="eastAsia"/>
                    </w:rPr>
                    <w:t>杨家村居民点</w:t>
                  </w:r>
                </w:p>
              </w:tc>
              <w:tc>
                <w:tcPr>
                  <w:tcW w:w="898" w:type="pct"/>
                  <w:vAlign w:val="center"/>
                </w:tcPr>
                <w:p w14:paraId="471D243C">
                  <w:pPr>
                    <w:pStyle w:val="95"/>
                    <w:spacing w:before="0" w:after="0"/>
                  </w:pPr>
                  <w:r>
                    <w:t>103°09'41.6129"</w:t>
                  </w:r>
                </w:p>
                <w:p w14:paraId="5F4AA3E5">
                  <w:pPr>
                    <w:adjustRightInd w:val="0"/>
                    <w:snapToGrid w:val="0"/>
                    <w:jc w:val="center"/>
                  </w:pPr>
                  <w:r>
                    <w:t>26°26'08.7002"</w:t>
                  </w:r>
                </w:p>
              </w:tc>
              <w:tc>
                <w:tcPr>
                  <w:tcW w:w="703" w:type="pct"/>
                  <w:vAlign w:val="center"/>
                </w:tcPr>
                <w:p w14:paraId="662186B0">
                  <w:pPr>
                    <w:pStyle w:val="95"/>
                    <w:spacing w:before="0" w:after="0"/>
                    <w:rPr>
                      <w:rFonts w:hint="eastAsia"/>
                    </w:rPr>
                  </w:pPr>
                  <w:r>
                    <w:rPr>
                      <w:rFonts w:hint="eastAsia"/>
                    </w:rPr>
                    <w:t>地埋线路南侧</w:t>
                  </w:r>
                  <w:r>
                    <w:t>5</w:t>
                  </w:r>
                  <w:r>
                    <w:rPr>
                      <w:rFonts w:hint="eastAsia"/>
                    </w:rPr>
                    <w:t>m</w:t>
                  </w:r>
                </w:p>
              </w:tc>
              <w:tc>
                <w:tcPr>
                  <w:tcW w:w="663" w:type="pct"/>
                  <w:vAlign w:val="center"/>
                </w:tcPr>
                <w:p w14:paraId="0B0FB690">
                  <w:pPr>
                    <w:pStyle w:val="95"/>
                    <w:spacing w:before="0" w:after="0"/>
                    <w:rPr>
                      <w:rFonts w:hint="eastAsia"/>
                    </w:rPr>
                  </w:pPr>
                  <w:r>
                    <w:rPr>
                      <w:rFonts w:hint="eastAsia"/>
                    </w:rPr>
                    <w:t>L</w:t>
                  </w:r>
                  <w:r>
                    <w:t>06</w:t>
                  </w:r>
                  <w:r>
                    <w:rPr>
                      <w:rFonts w:hint="eastAsia"/>
                    </w:rPr>
                    <w:t>阵列南侧6</w:t>
                  </w:r>
                  <w:r>
                    <w:t>0</w:t>
                  </w:r>
                  <w:r>
                    <w:rPr>
                      <w:rFonts w:hint="eastAsia"/>
                    </w:rPr>
                    <w:t>m</w:t>
                  </w:r>
                </w:p>
              </w:tc>
              <w:tc>
                <w:tcPr>
                  <w:tcW w:w="498" w:type="pct"/>
                  <w:vAlign w:val="center"/>
                </w:tcPr>
                <w:p w14:paraId="08F68B65">
                  <w:pPr>
                    <w:pStyle w:val="95"/>
                    <w:spacing w:before="0" w:after="0"/>
                    <w:rPr>
                      <w:rFonts w:hint="eastAsia"/>
                    </w:rPr>
                  </w:pPr>
                  <w:r>
                    <w:rPr>
                      <w:rFonts w:hint="eastAsia"/>
                    </w:rPr>
                    <w:t>东南侧1</w:t>
                  </w:r>
                  <w:r>
                    <w:t>0</w:t>
                  </w:r>
                  <w:r>
                    <w:rPr>
                      <w:rFonts w:hint="eastAsia"/>
                    </w:rPr>
                    <w:t>km</w:t>
                  </w:r>
                </w:p>
              </w:tc>
              <w:tc>
                <w:tcPr>
                  <w:tcW w:w="434" w:type="pct"/>
                  <w:vAlign w:val="center"/>
                </w:tcPr>
                <w:p w14:paraId="0C431D9B">
                  <w:pPr>
                    <w:pStyle w:val="95"/>
                    <w:spacing w:before="0" w:after="0"/>
                  </w:pPr>
                  <w:r>
                    <w:rPr>
                      <w:rFonts w:hint="eastAsia"/>
                    </w:rPr>
                    <w:t>西侧4</w:t>
                  </w:r>
                  <w:r>
                    <w:t>40</w:t>
                  </w:r>
                  <w:r>
                    <w:rPr>
                      <w:rFonts w:hint="eastAsia"/>
                    </w:rPr>
                    <w:t>m</w:t>
                  </w:r>
                </w:p>
              </w:tc>
              <w:tc>
                <w:tcPr>
                  <w:tcW w:w="544" w:type="pct"/>
                  <w:vAlign w:val="center"/>
                </w:tcPr>
                <w:p w14:paraId="147C9458">
                  <w:pPr>
                    <w:pStyle w:val="95"/>
                    <w:spacing w:before="0" w:after="0"/>
                  </w:pPr>
                  <w:r>
                    <w:t>5</w:t>
                  </w:r>
                  <w:r>
                    <w:rPr>
                      <w:rFonts w:hint="eastAsia"/>
                    </w:rPr>
                    <w:t>户，约</w:t>
                  </w:r>
                  <w:r>
                    <w:t>15</w:t>
                  </w:r>
                  <w:r>
                    <w:rPr>
                      <w:rFonts w:hint="eastAsia"/>
                    </w:rPr>
                    <w:t>人</w:t>
                  </w:r>
                </w:p>
              </w:tc>
              <w:tc>
                <w:tcPr>
                  <w:tcW w:w="512" w:type="pct"/>
                  <w:vMerge w:val="continue"/>
                  <w:vAlign w:val="center"/>
                </w:tcPr>
                <w:p w14:paraId="612977DC">
                  <w:pPr>
                    <w:pStyle w:val="95"/>
                    <w:spacing w:before="0" w:after="0"/>
                    <w:rPr>
                      <w:bCs/>
                    </w:rPr>
                  </w:pPr>
                </w:p>
              </w:tc>
            </w:tr>
            <w:bookmarkEnd w:id="118"/>
            <w:tr w14:paraId="1704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blHeader/>
                <w:jc w:val="center"/>
              </w:trPr>
              <w:tc>
                <w:tcPr>
                  <w:tcW w:w="224" w:type="pct"/>
                  <w:vAlign w:val="center"/>
                </w:tcPr>
                <w:p w14:paraId="0F0AC06B">
                  <w:pPr>
                    <w:pStyle w:val="95"/>
                    <w:numPr>
                      <w:ilvl w:val="0"/>
                      <w:numId w:val="11"/>
                    </w:numPr>
                    <w:spacing w:before="0" w:after="0"/>
                    <w:rPr>
                      <w:rFonts w:hint="eastAsia"/>
                    </w:rPr>
                  </w:pPr>
                </w:p>
              </w:tc>
              <w:tc>
                <w:tcPr>
                  <w:tcW w:w="524" w:type="pct"/>
                  <w:vAlign w:val="center"/>
                </w:tcPr>
                <w:p w14:paraId="56035124">
                  <w:pPr>
                    <w:pStyle w:val="95"/>
                    <w:spacing w:before="0" w:after="0"/>
                    <w:rPr>
                      <w:rFonts w:hint="eastAsia"/>
                    </w:rPr>
                  </w:pPr>
                  <w:r>
                    <w:rPr>
                      <w:rFonts w:hint="eastAsia"/>
                    </w:rPr>
                    <w:t>散户1</w:t>
                  </w:r>
                </w:p>
              </w:tc>
              <w:tc>
                <w:tcPr>
                  <w:tcW w:w="898" w:type="pct"/>
                  <w:vAlign w:val="center"/>
                </w:tcPr>
                <w:p w14:paraId="4C6B85B0">
                  <w:pPr>
                    <w:pStyle w:val="95"/>
                    <w:spacing w:before="0" w:after="0"/>
                  </w:pPr>
                  <w:r>
                    <w:t>103°06'09.8112"</w:t>
                  </w:r>
                </w:p>
                <w:p w14:paraId="7A25EF29">
                  <w:pPr>
                    <w:adjustRightInd w:val="0"/>
                    <w:snapToGrid w:val="0"/>
                    <w:jc w:val="center"/>
                  </w:pPr>
                  <w:r>
                    <w:t>26°29'43.3832"</w:t>
                  </w:r>
                </w:p>
              </w:tc>
              <w:tc>
                <w:tcPr>
                  <w:tcW w:w="703" w:type="pct"/>
                  <w:vAlign w:val="center"/>
                </w:tcPr>
                <w:p w14:paraId="25AFD7D0">
                  <w:pPr>
                    <w:pStyle w:val="95"/>
                    <w:spacing w:before="0" w:after="0"/>
                    <w:rPr>
                      <w:rFonts w:hint="eastAsia"/>
                    </w:rPr>
                  </w:pPr>
                  <w:r>
                    <w:t>3ULN29</w:t>
                  </w:r>
                  <w:r>
                    <w:rPr>
                      <w:rFonts w:hint="eastAsia"/>
                    </w:rPr>
                    <w:t>塔基</w:t>
                  </w:r>
                  <w:r>
                    <w:t>30</w:t>
                  </w:r>
                  <w:r>
                    <w:rPr>
                      <w:rFonts w:hint="eastAsia"/>
                    </w:rPr>
                    <w:t>m</w:t>
                  </w:r>
                </w:p>
              </w:tc>
              <w:tc>
                <w:tcPr>
                  <w:tcW w:w="663" w:type="pct"/>
                  <w:vAlign w:val="center"/>
                </w:tcPr>
                <w:p w14:paraId="424CA92C">
                  <w:pPr>
                    <w:pStyle w:val="95"/>
                    <w:spacing w:before="0" w:after="0"/>
                    <w:rPr>
                      <w:rFonts w:hint="eastAsia"/>
                    </w:rPr>
                  </w:pPr>
                  <w:r>
                    <w:rPr>
                      <w:rFonts w:hint="eastAsia"/>
                    </w:rPr>
                    <w:t>L</w:t>
                  </w:r>
                  <w:r>
                    <w:t>21</w:t>
                  </w:r>
                  <w:r>
                    <w:rPr>
                      <w:rFonts w:hint="eastAsia"/>
                    </w:rPr>
                    <w:t>阵列北侧3</w:t>
                  </w:r>
                  <w:r>
                    <w:t>10</w:t>
                  </w:r>
                  <w:r>
                    <w:rPr>
                      <w:rFonts w:hint="eastAsia"/>
                    </w:rPr>
                    <w:t>m</w:t>
                  </w:r>
                </w:p>
              </w:tc>
              <w:tc>
                <w:tcPr>
                  <w:tcW w:w="498" w:type="pct"/>
                  <w:vAlign w:val="center"/>
                </w:tcPr>
                <w:p w14:paraId="6E62104B">
                  <w:pPr>
                    <w:pStyle w:val="95"/>
                    <w:spacing w:before="0" w:after="0"/>
                    <w:rPr>
                      <w:rFonts w:hint="eastAsia"/>
                    </w:rPr>
                  </w:pPr>
                  <w:r>
                    <w:rPr>
                      <w:rFonts w:hint="eastAsia"/>
                    </w:rPr>
                    <w:t>东南侧1</w:t>
                  </w:r>
                  <w:r>
                    <w:t>.3</w:t>
                  </w:r>
                  <w:r>
                    <w:rPr>
                      <w:rFonts w:hint="eastAsia"/>
                    </w:rPr>
                    <w:t>km</w:t>
                  </w:r>
                </w:p>
              </w:tc>
              <w:tc>
                <w:tcPr>
                  <w:tcW w:w="434" w:type="pct"/>
                  <w:vAlign w:val="center"/>
                </w:tcPr>
                <w:p w14:paraId="09635023">
                  <w:pPr>
                    <w:pStyle w:val="95"/>
                    <w:spacing w:before="0" w:after="0"/>
                    <w:rPr>
                      <w:rFonts w:hint="eastAsia"/>
                    </w:rPr>
                  </w:pPr>
                  <w:r>
                    <w:rPr>
                      <w:rFonts w:hint="eastAsia"/>
                    </w:rPr>
                    <w:t>北侧3</w:t>
                  </w:r>
                  <w:r>
                    <w:t>30</w:t>
                  </w:r>
                  <w:r>
                    <w:rPr>
                      <w:rFonts w:hint="eastAsia"/>
                    </w:rPr>
                    <w:t>m</w:t>
                  </w:r>
                </w:p>
              </w:tc>
              <w:tc>
                <w:tcPr>
                  <w:tcW w:w="544" w:type="pct"/>
                  <w:vAlign w:val="center"/>
                </w:tcPr>
                <w:p w14:paraId="3277B4C6">
                  <w:pPr>
                    <w:pStyle w:val="95"/>
                    <w:spacing w:before="0" w:after="0"/>
                  </w:pPr>
                  <w:r>
                    <w:rPr>
                      <w:rFonts w:hint="eastAsia"/>
                    </w:rPr>
                    <w:t>3户，约</w:t>
                  </w:r>
                  <w:r>
                    <w:t>9</w:t>
                  </w:r>
                  <w:r>
                    <w:rPr>
                      <w:rFonts w:hint="eastAsia"/>
                    </w:rPr>
                    <w:t>人</w:t>
                  </w:r>
                </w:p>
              </w:tc>
              <w:tc>
                <w:tcPr>
                  <w:tcW w:w="512" w:type="pct"/>
                  <w:vMerge w:val="continue"/>
                  <w:vAlign w:val="center"/>
                </w:tcPr>
                <w:p w14:paraId="41C8B26E">
                  <w:pPr>
                    <w:pStyle w:val="95"/>
                    <w:spacing w:before="0" w:after="0"/>
                    <w:rPr>
                      <w:bCs/>
                    </w:rPr>
                  </w:pPr>
                </w:p>
              </w:tc>
            </w:tr>
            <w:tr w14:paraId="7A587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24" w:type="pct"/>
                  <w:vAlign w:val="center"/>
                </w:tcPr>
                <w:p w14:paraId="5C5431CF">
                  <w:pPr>
                    <w:pStyle w:val="95"/>
                    <w:numPr>
                      <w:ilvl w:val="0"/>
                      <w:numId w:val="11"/>
                    </w:numPr>
                    <w:spacing w:before="0" w:after="0"/>
                    <w:rPr>
                      <w:rFonts w:hint="eastAsia"/>
                    </w:rPr>
                  </w:pPr>
                </w:p>
              </w:tc>
              <w:tc>
                <w:tcPr>
                  <w:tcW w:w="524" w:type="pct"/>
                  <w:vAlign w:val="center"/>
                </w:tcPr>
                <w:p w14:paraId="07E0A308">
                  <w:pPr>
                    <w:pStyle w:val="95"/>
                    <w:spacing w:before="0" w:after="0"/>
                    <w:rPr>
                      <w:rFonts w:hint="eastAsia"/>
                    </w:rPr>
                  </w:pPr>
                  <w:r>
                    <w:rPr>
                      <w:rFonts w:hint="eastAsia"/>
                    </w:rPr>
                    <w:t>散户2</w:t>
                  </w:r>
                </w:p>
              </w:tc>
              <w:tc>
                <w:tcPr>
                  <w:tcW w:w="898" w:type="pct"/>
                  <w:vAlign w:val="center"/>
                </w:tcPr>
                <w:p w14:paraId="3376B604">
                  <w:pPr>
                    <w:pStyle w:val="95"/>
                    <w:spacing w:before="0" w:after="0"/>
                  </w:pPr>
                  <w:r>
                    <w:t>103°08'03.3497"</w:t>
                  </w:r>
                </w:p>
                <w:p w14:paraId="05061947">
                  <w:pPr>
                    <w:adjustRightInd w:val="0"/>
                    <w:snapToGrid w:val="0"/>
                    <w:jc w:val="center"/>
                  </w:pPr>
                  <w:r>
                    <w:t>26°28'31.0689"</w:t>
                  </w:r>
                </w:p>
              </w:tc>
              <w:tc>
                <w:tcPr>
                  <w:tcW w:w="703" w:type="pct"/>
                  <w:vAlign w:val="center"/>
                </w:tcPr>
                <w:p w14:paraId="6EF08ED9">
                  <w:pPr>
                    <w:pStyle w:val="95"/>
                    <w:spacing w:before="0" w:after="0"/>
                    <w:rPr>
                      <w:rFonts w:hint="eastAsia"/>
                    </w:rPr>
                  </w:pPr>
                  <w:r>
                    <w:rPr>
                      <w:rFonts w:hint="eastAsia"/>
                    </w:rPr>
                    <w:t>地埋线路南侧1</w:t>
                  </w:r>
                  <w:r>
                    <w:t>0</w:t>
                  </w:r>
                  <w:r>
                    <w:rPr>
                      <w:rFonts w:hint="eastAsia"/>
                    </w:rPr>
                    <w:t>m</w:t>
                  </w:r>
                </w:p>
              </w:tc>
              <w:tc>
                <w:tcPr>
                  <w:tcW w:w="663" w:type="pct"/>
                  <w:vAlign w:val="center"/>
                </w:tcPr>
                <w:p w14:paraId="6D63CA93">
                  <w:pPr>
                    <w:pStyle w:val="95"/>
                    <w:spacing w:before="0" w:after="0"/>
                    <w:rPr>
                      <w:rFonts w:hint="eastAsia"/>
                    </w:rPr>
                  </w:pPr>
                  <w:r>
                    <w:rPr>
                      <w:rFonts w:hint="eastAsia"/>
                    </w:rPr>
                    <w:t>L</w:t>
                  </w:r>
                  <w:r>
                    <w:t>18</w:t>
                  </w:r>
                  <w:r>
                    <w:rPr>
                      <w:rFonts w:hint="eastAsia"/>
                    </w:rPr>
                    <w:t>阵列</w:t>
                  </w:r>
                  <w:r>
                    <w:t>10</w:t>
                  </w:r>
                  <w:r>
                    <w:rPr>
                      <w:rFonts w:hint="eastAsia"/>
                    </w:rPr>
                    <w:t>m</w:t>
                  </w:r>
                </w:p>
              </w:tc>
              <w:tc>
                <w:tcPr>
                  <w:tcW w:w="498" w:type="pct"/>
                  <w:vAlign w:val="center"/>
                </w:tcPr>
                <w:p w14:paraId="4BD2D290">
                  <w:pPr>
                    <w:pStyle w:val="95"/>
                    <w:spacing w:before="0" w:after="0"/>
                    <w:rPr>
                      <w:rFonts w:hint="eastAsia"/>
                    </w:rPr>
                  </w:pPr>
                  <w:r>
                    <w:rPr>
                      <w:rFonts w:hint="eastAsia"/>
                    </w:rPr>
                    <w:t>东南侧4</w:t>
                  </w:r>
                  <w:r>
                    <w:t>.9</w:t>
                  </w:r>
                  <w:r>
                    <w:rPr>
                      <w:rFonts w:hint="eastAsia"/>
                    </w:rPr>
                    <w:t>km</w:t>
                  </w:r>
                </w:p>
              </w:tc>
              <w:tc>
                <w:tcPr>
                  <w:tcW w:w="434" w:type="pct"/>
                  <w:vAlign w:val="center"/>
                </w:tcPr>
                <w:p w14:paraId="6D5CF482">
                  <w:pPr>
                    <w:pStyle w:val="95"/>
                    <w:spacing w:before="0" w:after="0"/>
                  </w:pPr>
                  <w:r>
                    <w:rPr>
                      <w:rFonts w:hint="eastAsia"/>
                    </w:rPr>
                    <w:t>南侧1</w:t>
                  </w:r>
                  <w:r>
                    <w:t>50</w:t>
                  </w:r>
                  <w:r>
                    <w:rPr>
                      <w:rFonts w:hint="eastAsia"/>
                    </w:rPr>
                    <w:t>m</w:t>
                  </w:r>
                </w:p>
              </w:tc>
              <w:tc>
                <w:tcPr>
                  <w:tcW w:w="544" w:type="pct"/>
                  <w:vAlign w:val="center"/>
                </w:tcPr>
                <w:p w14:paraId="6C72C35C">
                  <w:pPr>
                    <w:pStyle w:val="95"/>
                    <w:spacing w:before="0" w:after="0"/>
                  </w:pPr>
                  <w:r>
                    <w:t>6</w:t>
                  </w:r>
                  <w:r>
                    <w:rPr>
                      <w:rFonts w:hint="eastAsia"/>
                    </w:rPr>
                    <w:t>户，约</w:t>
                  </w:r>
                  <w:r>
                    <w:t>18</w:t>
                  </w:r>
                  <w:r>
                    <w:rPr>
                      <w:rFonts w:hint="eastAsia"/>
                    </w:rPr>
                    <w:t>人</w:t>
                  </w:r>
                </w:p>
              </w:tc>
              <w:tc>
                <w:tcPr>
                  <w:tcW w:w="512" w:type="pct"/>
                  <w:vMerge w:val="continue"/>
                  <w:vAlign w:val="center"/>
                </w:tcPr>
                <w:p w14:paraId="6753432B">
                  <w:pPr>
                    <w:pStyle w:val="95"/>
                    <w:spacing w:before="0" w:after="0"/>
                    <w:rPr>
                      <w:bCs/>
                    </w:rPr>
                  </w:pPr>
                </w:p>
              </w:tc>
            </w:tr>
            <w:tr w14:paraId="46E4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blHeader/>
                <w:jc w:val="center"/>
              </w:trPr>
              <w:tc>
                <w:tcPr>
                  <w:tcW w:w="224" w:type="pct"/>
                  <w:vAlign w:val="center"/>
                </w:tcPr>
                <w:p w14:paraId="17D78050">
                  <w:pPr>
                    <w:pStyle w:val="95"/>
                    <w:numPr>
                      <w:ilvl w:val="0"/>
                      <w:numId w:val="11"/>
                    </w:numPr>
                    <w:spacing w:before="0" w:after="0"/>
                    <w:rPr>
                      <w:rFonts w:hint="eastAsia"/>
                    </w:rPr>
                  </w:pPr>
                </w:p>
              </w:tc>
              <w:tc>
                <w:tcPr>
                  <w:tcW w:w="524" w:type="pct"/>
                  <w:vAlign w:val="center"/>
                </w:tcPr>
                <w:p w14:paraId="08EB3D96">
                  <w:pPr>
                    <w:pStyle w:val="95"/>
                    <w:spacing w:before="0" w:after="0"/>
                    <w:rPr>
                      <w:rFonts w:hint="eastAsia"/>
                    </w:rPr>
                  </w:pPr>
                  <w:r>
                    <w:rPr>
                      <w:rFonts w:hint="eastAsia"/>
                    </w:rPr>
                    <w:t>盐水沟居民点</w:t>
                  </w:r>
                </w:p>
              </w:tc>
              <w:tc>
                <w:tcPr>
                  <w:tcW w:w="898" w:type="pct"/>
                  <w:vAlign w:val="center"/>
                </w:tcPr>
                <w:p w14:paraId="5F9ADBDC">
                  <w:pPr>
                    <w:adjustRightInd w:val="0"/>
                    <w:jc w:val="center"/>
                    <w:rPr>
                      <w:rFonts w:eastAsia="等线"/>
                    </w:rPr>
                  </w:pPr>
                  <w:r>
                    <w:rPr>
                      <w:rFonts w:eastAsia="等线"/>
                    </w:rPr>
                    <w:t>103°05'55.8207"</w:t>
                  </w:r>
                </w:p>
                <w:p w14:paraId="29A4EA49">
                  <w:pPr>
                    <w:adjustRightInd w:val="0"/>
                    <w:snapToGrid w:val="0"/>
                    <w:jc w:val="center"/>
                  </w:pPr>
                  <w:r>
                    <w:rPr>
                      <w:rFonts w:eastAsia="等线"/>
                    </w:rPr>
                    <w:t>26°30'10.0612"</w:t>
                  </w:r>
                </w:p>
              </w:tc>
              <w:tc>
                <w:tcPr>
                  <w:tcW w:w="703" w:type="pct"/>
                  <w:vAlign w:val="center"/>
                </w:tcPr>
                <w:p w14:paraId="22E08FA7">
                  <w:pPr>
                    <w:pStyle w:val="95"/>
                    <w:spacing w:before="0" w:after="0"/>
                    <w:rPr>
                      <w:rFonts w:hint="eastAsia"/>
                    </w:rPr>
                  </w:pPr>
                  <w:r>
                    <w:rPr>
                      <w:rFonts w:hint="eastAsia"/>
                    </w:rPr>
                    <w:t>集电线路西南侧</w:t>
                  </w:r>
                  <w:r>
                    <w:t>90</w:t>
                  </w:r>
                  <w:r>
                    <w:rPr>
                      <w:rFonts w:hint="eastAsia"/>
                    </w:rPr>
                    <w:t>m</w:t>
                  </w:r>
                </w:p>
              </w:tc>
              <w:tc>
                <w:tcPr>
                  <w:tcW w:w="663" w:type="pct"/>
                  <w:vAlign w:val="center"/>
                </w:tcPr>
                <w:p w14:paraId="1DB27E6C">
                  <w:pPr>
                    <w:pStyle w:val="95"/>
                    <w:spacing w:before="0" w:after="0"/>
                    <w:rPr>
                      <w:rFonts w:hint="eastAsia"/>
                    </w:rPr>
                  </w:pPr>
                  <w:r>
                    <w:rPr>
                      <w:rFonts w:hint="eastAsia"/>
                    </w:rPr>
                    <w:t>L</w:t>
                  </w:r>
                  <w:r>
                    <w:t>04</w:t>
                  </w:r>
                  <w:r>
                    <w:rPr>
                      <w:rFonts w:hint="eastAsia"/>
                    </w:rPr>
                    <w:t>阵列南侧约6</w:t>
                  </w:r>
                  <w:r>
                    <w:t>0</w:t>
                  </w:r>
                  <w:r>
                    <w:rPr>
                      <w:rFonts w:hint="eastAsia"/>
                    </w:rPr>
                    <w:t>m</w:t>
                  </w:r>
                </w:p>
              </w:tc>
              <w:tc>
                <w:tcPr>
                  <w:tcW w:w="498" w:type="pct"/>
                  <w:vAlign w:val="center"/>
                </w:tcPr>
                <w:p w14:paraId="4A1DFC15">
                  <w:pPr>
                    <w:pStyle w:val="95"/>
                    <w:spacing w:before="0" w:after="0"/>
                    <w:rPr>
                      <w:rFonts w:hint="eastAsia"/>
                    </w:rPr>
                  </w:pPr>
                  <w:r>
                    <w:rPr>
                      <w:rFonts w:hint="eastAsia"/>
                    </w:rPr>
                    <w:t>东侧</w:t>
                  </w:r>
                  <w:r>
                    <w:t>20</w:t>
                  </w:r>
                  <w:r>
                    <w:rPr>
                      <w:rFonts w:hint="eastAsia"/>
                    </w:rPr>
                    <w:t>m</w:t>
                  </w:r>
                </w:p>
              </w:tc>
              <w:tc>
                <w:tcPr>
                  <w:tcW w:w="434" w:type="pct"/>
                  <w:vAlign w:val="center"/>
                </w:tcPr>
                <w:p w14:paraId="002111E1">
                  <w:pPr>
                    <w:pStyle w:val="95"/>
                    <w:spacing w:before="0" w:after="0"/>
                  </w:pPr>
                  <w:r>
                    <w:rPr>
                      <w:rFonts w:hint="eastAsia"/>
                    </w:rPr>
                    <w:t>西侧3</w:t>
                  </w:r>
                  <w:r>
                    <w:t>00</w:t>
                  </w:r>
                  <w:r>
                    <w:rPr>
                      <w:rFonts w:hint="eastAsia"/>
                    </w:rPr>
                    <w:t>m</w:t>
                  </w:r>
                </w:p>
              </w:tc>
              <w:tc>
                <w:tcPr>
                  <w:tcW w:w="544" w:type="pct"/>
                  <w:vAlign w:val="center"/>
                </w:tcPr>
                <w:p w14:paraId="6A53381E">
                  <w:pPr>
                    <w:pStyle w:val="95"/>
                    <w:spacing w:before="0" w:after="0"/>
                  </w:pPr>
                  <w:r>
                    <w:t>1</w:t>
                  </w:r>
                  <w:r>
                    <w:rPr>
                      <w:rFonts w:hint="eastAsia"/>
                    </w:rPr>
                    <w:t>户，约</w:t>
                  </w:r>
                  <w:r>
                    <w:t>3</w:t>
                  </w:r>
                  <w:r>
                    <w:rPr>
                      <w:rFonts w:hint="eastAsia"/>
                    </w:rPr>
                    <w:t>人</w:t>
                  </w:r>
                </w:p>
              </w:tc>
              <w:tc>
                <w:tcPr>
                  <w:tcW w:w="512" w:type="pct"/>
                  <w:vMerge w:val="continue"/>
                  <w:vAlign w:val="center"/>
                </w:tcPr>
                <w:p w14:paraId="630761B4">
                  <w:pPr>
                    <w:pStyle w:val="95"/>
                    <w:spacing w:before="0" w:after="0"/>
                    <w:rPr>
                      <w:bCs/>
                    </w:rPr>
                  </w:pPr>
                </w:p>
              </w:tc>
            </w:tr>
          </w:tbl>
          <w:p w14:paraId="092A4DE2">
            <w:pPr>
              <w:autoSpaceDE w:val="0"/>
              <w:autoSpaceDN w:val="0"/>
              <w:spacing w:before="120" w:beforeLines="50" w:line="360" w:lineRule="auto"/>
              <w:rPr>
                <w:rFonts w:hint="eastAsia"/>
                <w:b/>
                <w:bCs/>
                <w:kern w:val="0"/>
                <w:sz w:val="24"/>
              </w:rPr>
            </w:pPr>
            <w:r>
              <w:rPr>
                <w:rFonts w:hint="eastAsia"/>
                <w:b/>
                <w:bCs/>
                <w:kern w:val="0"/>
                <w:sz w:val="24"/>
              </w:rPr>
              <w:t>3.4.6 电磁环境保护目标</w:t>
            </w:r>
          </w:p>
          <w:p w14:paraId="5F2EDC82">
            <w:pPr>
              <w:spacing w:line="360" w:lineRule="auto"/>
              <w:ind w:firstLine="480" w:firstLineChars="200"/>
              <w:rPr>
                <w:sz w:val="24"/>
                <w:szCs w:val="24"/>
              </w:rPr>
            </w:pPr>
            <w:r>
              <w:rPr>
                <w:sz w:val="24"/>
                <w:szCs w:val="24"/>
              </w:rPr>
              <w:t>经现场调查，本项目以礼河三级电站厂界外30m范围内</w:t>
            </w:r>
            <w:r>
              <w:rPr>
                <w:kern w:val="0"/>
                <w:sz w:val="24"/>
                <w:szCs w:val="24"/>
              </w:rPr>
              <w:t>电磁辐射环境保护目标</w:t>
            </w:r>
            <w:r>
              <w:rPr>
                <w:sz w:val="24"/>
                <w:szCs w:val="24"/>
              </w:rPr>
              <w:t>详细见下表。</w:t>
            </w:r>
          </w:p>
          <w:p w14:paraId="194E9BD1">
            <w:pPr>
              <w:pStyle w:val="219"/>
              <w:spacing w:before="0" w:beforeLines="0"/>
              <w:rPr>
                <w:sz w:val="24"/>
                <w:szCs w:val="24"/>
              </w:rPr>
            </w:pPr>
            <w:r>
              <w:rPr>
                <w:sz w:val="24"/>
                <w:szCs w:val="24"/>
              </w:rPr>
              <w:t>表3.4.6-1</w:t>
            </w:r>
            <w:r>
              <w:rPr>
                <w:rFonts w:hint="eastAsia"/>
                <w:sz w:val="24"/>
                <w:szCs w:val="24"/>
              </w:rPr>
              <w:t xml:space="preserve">  </w:t>
            </w:r>
            <w:r>
              <w:rPr>
                <w:sz w:val="24"/>
                <w:szCs w:val="24"/>
              </w:rPr>
              <w:t>电磁环境保护目标</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933"/>
              <w:gridCol w:w="1700"/>
              <w:gridCol w:w="1983"/>
              <w:gridCol w:w="710"/>
              <w:gridCol w:w="867"/>
              <w:gridCol w:w="1823"/>
            </w:tblGrid>
            <w:tr w14:paraId="5F6A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11" w:type="pct"/>
                  <w:vAlign w:val="center"/>
                </w:tcPr>
                <w:p w14:paraId="4A3BA60E">
                  <w:pPr>
                    <w:pStyle w:val="95"/>
                    <w:rPr>
                      <w:b/>
                      <w:bCs/>
                    </w:rPr>
                  </w:pPr>
                  <w:r>
                    <w:rPr>
                      <w:b/>
                      <w:bCs/>
                    </w:rPr>
                    <w:t>序号</w:t>
                  </w:r>
                </w:p>
              </w:tc>
              <w:tc>
                <w:tcPr>
                  <w:tcW w:w="546" w:type="pct"/>
                  <w:vAlign w:val="center"/>
                </w:tcPr>
                <w:p w14:paraId="6DAC0A61">
                  <w:pPr>
                    <w:pStyle w:val="95"/>
                    <w:rPr>
                      <w:rFonts w:hint="eastAsia"/>
                      <w:b/>
                      <w:bCs/>
                    </w:rPr>
                  </w:pPr>
                  <w:r>
                    <w:rPr>
                      <w:b/>
                      <w:bCs/>
                    </w:rPr>
                    <w:t>保护目标</w:t>
                  </w:r>
                  <w:r>
                    <w:rPr>
                      <w:rFonts w:hint="eastAsia"/>
                      <w:b/>
                      <w:bCs/>
                    </w:rPr>
                    <w:t>名称</w:t>
                  </w:r>
                </w:p>
              </w:tc>
              <w:tc>
                <w:tcPr>
                  <w:tcW w:w="995" w:type="pct"/>
                  <w:vAlign w:val="center"/>
                </w:tcPr>
                <w:p w14:paraId="7DD0B9AC">
                  <w:pPr>
                    <w:pStyle w:val="95"/>
                    <w:rPr>
                      <w:b/>
                      <w:bCs/>
                    </w:rPr>
                  </w:pPr>
                  <w:r>
                    <w:rPr>
                      <w:rFonts w:hint="eastAsia"/>
                      <w:b/>
                      <w:bCs/>
                    </w:rPr>
                    <w:t>坐标</w:t>
                  </w:r>
                </w:p>
              </w:tc>
              <w:tc>
                <w:tcPr>
                  <w:tcW w:w="1160" w:type="pct"/>
                  <w:vAlign w:val="center"/>
                </w:tcPr>
                <w:p w14:paraId="27282C64">
                  <w:pPr>
                    <w:pStyle w:val="95"/>
                    <w:rPr>
                      <w:b/>
                      <w:bCs/>
                    </w:rPr>
                  </w:pPr>
                  <w:r>
                    <w:rPr>
                      <w:b/>
                      <w:bCs/>
                    </w:rPr>
                    <w:t>位置关系</w:t>
                  </w:r>
                </w:p>
              </w:tc>
              <w:tc>
                <w:tcPr>
                  <w:tcW w:w="415" w:type="pct"/>
                  <w:vAlign w:val="center"/>
                </w:tcPr>
                <w:p w14:paraId="29FB7CFB">
                  <w:pPr>
                    <w:pStyle w:val="95"/>
                    <w:rPr>
                      <w:b/>
                      <w:bCs/>
                    </w:rPr>
                  </w:pPr>
                  <w:r>
                    <w:rPr>
                      <w:rFonts w:hint="eastAsia"/>
                      <w:b/>
                      <w:bCs/>
                    </w:rPr>
                    <w:t>性质</w:t>
                  </w:r>
                </w:p>
              </w:tc>
              <w:tc>
                <w:tcPr>
                  <w:tcW w:w="507" w:type="pct"/>
                  <w:vAlign w:val="center"/>
                </w:tcPr>
                <w:p w14:paraId="5D260678">
                  <w:pPr>
                    <w:pStyle w:val="95"/>
                    <w:rPr>
                      <w:b/>
                      <w:bCs/>
                    </w:rPr>
                  </w:pPr>
                  <w:r>
                    <w:rPr>
                      <w:b/>
                      <w:bCs/>
                    </w:rPr>
                    <w:t>规模</w:t>
                  </w:r>
                </w:p>
              </w:tc>
              <w:tc>
                <w:tcPr>
                  <w:tcW w:w="1066" w:type="pct"/>
                  <w:vAlign w:val="center"/>
                </w:tcPr>
                <w:p w14:paraId="1C9A5A6C">
                  <w:pPr>
                    <w:pStyle w:val="95"/>
                    <w:rPr>
                      <w:b/>
                      <w:bCs/>
                    </w:rPr>
                  </w:pPr>
                  <w:r>
                    <w:rPr>
                      <w:b/>
                      <w:bCs/>
                    </w:rPr>
                    <w:t>保护</w:t>
                  </w:r>
                  <w:r>
                    <w:rPr>
                      <w:rFonts w:hint="eastAsia"/>
                      <w:b/>
                      <w:bCs/>
                    </w:rPr>
                    <w:t>级别、标准</w:t>
                  </w:r>
                </w:p>
              </w:tc>
            </w:tr>
            <w:tr w14:paraId="40BF2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311" w:type="pct"/>
                  <w:vAlign w:val="center"/>
                </w:tcPr>
                <w:p w14:paraId="50822C06">
                  <w:pPr>
                    <w:pStyle w:val="95"/>
                  </w:pPr>
                  <w:r>
                    <w:rPr>
                      <w:rFonts w:hint="eastAsia"/>
                    </w:rPr>
                    <w:t>1</w:t>
                  </w:r>
                </w:p>
              </w:tc>
              <w:tc>
                <w:tcPr>
                  <w:tcW w:w="546" w:type="pct"/>
                  <w:vAlign w:val="center"/>
                </w:tcPr>
                <w:p w14:paraId="6EEFE1FC">
                  <w:pPr>
                    <w:pStyle w:val="95"/>
                  </w:pPr>
                  <w:r>
                    <w:rPr>
                      <w:rFonts w:hint="eastAsia"/>
                    </w:rPr>
                    <w:t>盐水沟居民点</w:t>
                  </w:r>
                </w:p>
              </w:tc>
              <w:tc>
                <w:tcPr>
                  <w:tcW w:w="995" w:type="pct"/>
                  <w:vAlign w:val="center"/>
                </w:tcPr>
                <w:p w14:paraId="77448FAB">
                  <w:pPr>
                    <w:adjustRightInd w:val="0"/>
                    <w:jc w:val="center"/>
                    <w:rPr>
                      <w:rFonts w:eastAsia="等线"/>
                    </w:rPr>
                  </w:pPr>
                  <w:r>
                    <w:rPr>
                      <w:rFonts w:eastAsia="等线"/>
                    </w:rPr>
                    <w:t>103°05'55.8207"</w:t>
                  </w:r>
                </w:p>
                <w:p w14:paraId="0875F449">
                  <w:pPr>
                    <w:pStyle w:val="95"/>
                  </w:pPr>
                  <w:r>
                    <w:rPr>
                      <w:rFonts w:eastAsia="等线"/>
                    </w:rPr>
                    <w:t>26°30'10.0612"</w:t>
                  </w:r>
                </w:p>
              </w:tc>
              <w:tc>
                <w:tcPr>
                  <w:tcW w:w="1160" w:type="pct"/>
                  <w:vAlign w:val="center"/>
                </w:tcPr>
                <w:p w14:paraId="78E4BF19">
                  <w:pPr>
                    <w:pStyle w:val="95"/>
                  </w:pPr>
                  <w:r>
                    <w:rPr>
                      <w:rFonts w:hint="eastAsia"/>
                    </w:rPr>
                    <w:t>距离以礼河三级电站厂界东侧最近约20m</w:t>
                  </w:r>
                </w:p>
              </w:tc>
              <w:tc>
                <w:tcPr>
                  <w:tcW w:w="415" w:type="pct"/>
                  <w:vAlign w:val="center"/>
                </w:tcPr>
                <w:p w14:paraId="59DBC3DB">
                  <w:pPr>
                    <w:pStyle w:val="95"/>
                  </w:pPr>
                  <w:r>
                    <w:rPr>
                      <w:rFonts w:hint="eastAsia"/>
                      <w:szCs w:val="21"/>
                    </w:rPr>
                    <w:t>居民点</w:t>
                  </w:r>
                </w:p>
              </w:tc>
              <w:tc>
                <w:tcPr>
                  <w:tcW w:w="507" w:type="pct"/>
                  <w:vAlign w:val="center"/>
                </w:tcPr>
                <w:p w14:paraId="1DB30857">
                  <w:pPr>
                    <w:pStyle w:val="95"/>
                  </w:pPr>
                  <w:r>
                    <w:rPr>
                      <w:rFonts w:hint="eastAsia"/>
                    </w:rPr>
                    <w:t>1户，约</w:t>
                  </w:r>
                  <w:r>
                    <w:t>3</w:t>
                  </w:r>
                  <w:r>
                    <w:rPr>
                      <w:rFonts w:hint="eastAsia"/>
                    </w:rPr>
                    <w:t>人</w:t>
                  </w:r>
                </w:p>
              </w:tc>
              <w:tc>
                <w:tcPr>
                  <w:tcW w:w="1066" w:type="pct"/>
                  <w:vAlign w:val="center"/>
                </w:tcPr>
                <w:p w14:paraId="7F863A4A">
                  <w:pPr>
                    <w:adjustRightInd w:val="0"/>
                    <w:snapToGrid w:val="0"/>
                    <w:jc w:val="center"/>
                  </w:pPr>
                  <w:r>
                    <w:rPr>
                      <w:bCs/>
                    </w:rPr>
                    <w:t>《电磁环境控制限值》（GB8702-2014）</w:t>
                  </w:r>
                </w:p>
              </w:tc>
            </w:tr>
          </w:tbl>
          <w:p w14:paraId="15382C04">
            <w:pPr>
              <w:pStyle w:val="29"/>
              <w:ind w:left="0" w:leftChars="0" w:firstLine="0" w:firstLineChars="0"/>
              <w:rPr>
                <w:rFonts w:hint="eastAsia"/>
              </w:rPr>
            </w:pPr>
          </w:p>
        </w:tc>
      </w:tr>
      <w:tr w14:paraId="6684F1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77" w:type="pct"/>
            <w:noWrap/>
            <w:vAlign w:val="center"/>
          </w:tcPr>
          <w:p w14:paraId="3673AB96">
            <w:pPr>
              <w:adjustRightInd w:val="0"/>
              <w:snapToGrid w:val="0"/>
              <w:jc w:val="center"/>
              <w:rPr>
                <w:rFonts w:ascii="宋体" w:hAnsi="宋体" w:cs="宋体"/>
                <w:kern w:val="0"/>
                <w:sz w:val="24"/>
              </w:rPr>
            </w:pPr>
            <w:r>
              <w:rPr>
                <w:rFonts w:hint="eastAsia" w:ascii="宋体" w:hAnsi="宋体" w:cs="宋体"/>
                <w:kern w:val="0"/>
                <w:sz w:val="24"/>
              </w:rPr>
              <w:t>评价</w:t>
            </w:r>
          </w:p>
          <w:p w14:paraId="191ADAFF">
            <w:pPr>
              <w:adjustRightInd w:val="0"/>
              <w:snapToGrid w:val="0"/>
              <w:jc w:val="center"/>
              <w:rPr>
                <w:rFonts w:ascii="宋体" w:hAnsi="宋体" w:cs="宋体"/>
                <w:kern w:val="0"/>
                <w:sz w:val="24"/>
              </w:rPr>
            </w:pPr>
            <w:r>
              <w:rPr>
                <w:rFonts w:hint="eastAsia" w:ascii="宋体" w:hAnsi="宋体" w:cs="宋体"/>
                <w:kern w:val="0"/>
                <w:sz w:val="24"/>
              </w:rPr>
              <w:t>标准</w:t>
            </w:r>
          </w:p>
        </w:tc>
        <w:tc>
          <w:tcPr>
            <w:tcW w:w="4722" w:type="pct"/>
            <w:noWrap/>
          </w:tcPr>
          <w:p w14:paraId="2DF1226E">
            <w:pPr>
              <w:autoSpaceDE w:val="0"/>
              <w:autoSpaceDN w:val="0"/>
              <w:spacing w:before="120" w:beforeLines="50" w:line="360" w:lineRule="auto"/>
              <w:rPr>
                <w:b/>
                <w:bCs/>
                <w:kern w:val="0"/>
                <w:sz w:val="24"/>
              </w:rPr>
            </w:pPr>
            <w:bookmarkStart w:id="119" w:name="OLE_LINK7"/>
            <w:r>
              <w:rPr>
                <w:b/>
                <w:bCs/>
                <w:kern w:val="0"/>
                <w:sz w:val="24"/>
              </w:rPr>
              <w:t>3.</w:t>
            </w:r>
            <w:r>
              <w:rPr>
                <w:rFonts w:hint="eastAsia"/>
                <w:b/>
                <w:bCs/>
                <w:kern w:val="0"/>
                <w:sz w:val="24"/>
              </w:rPr>
              <w:t>5</w:t>
            </w:r>
            <w:r>
              <w:rPr>
                <w:b/>
                <w:bCs/>
                <w:kern w:val="0"/>
                <w:sz w:val="24"/>
              </w:rPr>
              <w:t>环境质量标准</w:t>
            </w:r>
          </w:p>
          <w:p w14:paraId="3B38A86A">
            <w:pPr>
              <w:spacing w:line="360" w:lineRule="auto"/>
              <w:rPr>
                <w:b/>
                <w:bCs/>
                <w:kern w:val="0"/>
                <w:sz w:val="24"/>
              </w:rPr>
            </w:pPr>
            <w:r>
              <w:rPr>
                <w:rFonts w:hint="eastAsia"/>
                <w:b/>
                <w:bCs/>
                <w:kern w:val="0"/>
                <w:sz w:val="24"/>
              </w:rPr>
              <w:t xml:space="preserve">3.5.1 </w:t>
            </w:r>
            <w:r>
              <w:rPr>
                <w:b/>
                <w:bCs/>
                <w:kern w:val="0"/>
                <w:sz w:val="24"/>
              </w:rPr>
              <w:t>环境空气质量标准</w:t>
            </w:r>
          </w:p>
          <w:p w14:paraId="62AD93E4">
            <w:pPr>
              <w:widowControl/>
              <w:topLinePunct/>
              <w:spacing w:line="360" w:lineRule="auto"/>
              <w:ind w:firstLine="480" w:firstLineChars="200"/>
              <w:rPr>
                <w:rFonts w:hint="eastAsia"/>
                <w:color w:val="000000"/>
                <w:sz w:val="24"/>
              </w:rPr>
            </w:pPr>
            <w:r>
              <w:rPr>
                <w:rFonts w:hint="eastAsia"/>
                <w:color w:val="000000"/>
                <w:sz w:val="24"/>
              </w:rPr>
              <w:t>本项目位于</w:t>
            </w:r>
            <w:r>
              <w:rPr>
                <w:rFonts w:hint="eastAsia"/>
                <w:sz w:val="24"/>
              </w:rPr>
              <w:t>会泽县</w:t>
            </w:r>
            <w:r>
              <w:rPr>
                <w:rFonts w:hint="eastAsia"/>
                <w:snapToGrid w:val="0"/>
                <w:color w:val="000000"/>
                <w:kern w:val="0"/>
                <w:sz w:val="24"/>
                <w:szCs w:val="24"/>
              </w:rPr>
              <w:t>娜姑镇大闸村、石门坎村、红泥村、绿坪村、盐水村、牛泥塘村、发基卡村和干海子村</w:t>
            </w:r>
            <w:r>
              <w:rPr>
                <w:rFonts w:hint="eastAsia"/>
                <w:color w:val="000000"/>
                <w:sz w:val="24"/>
              </w:rPr>
              <w:t>，所在区域属于环境空气二类功能区，2030年12月31日前执行《环境空气质量标准》（GB 3095-2026）过渡阶段二级标准，2031年1月1日起执行《环境空气质量标准》（GB 3095-2026）二级标准，标准限值见下表。</w:t>
            </w:r>
          </w:p>
          <w:p w14:paraId="0EE612B4">
            <w:pPr>
              <w:pStyle w:val="102"/>
              <w:spacing w:beforeLines="0" w:afterLines="0" w:line="360" w:lineRule="auto"/>
              <w:rPr>
                <w:bCs w:val="0"/>
                <w:kern w:val="2"/>
                <w:szCs w:val="24"/>
              </w:rPr>
            </w:pPr>
            <w:r>
              <w:rPr>
                <w:bCs w:val="0"/>
                <w:kern w:val="2"/>
                <w:szCs w:val="24"/>
              </w:rPr>
              <w:t>表3</w:t>
            </w:r>
            <w:r>
              <w:rPr>
                <w:rFonts w:hint="eastAsia"/>
                <w:bCs w:val="0"/>
                <w:kern w:val="2"/>
                <w:szCs w:val="24"/>
              </w:rPr>
              <w:t>.5.1</w:t>
            </w:r>
            <w:r>
              <w:rPr>
                <w:bCs w:val="0"/>
                <w:kern w:val="2"/>
                <w:szCs w:val="24"/>
              </w:rPr>
              <w:t>-</w:t>
            </w:r>
            <w:r>
              <w:rPr>
                <w:rFonts w:hint="eastAsia"/>
                <w:bCs w:val="0"/>
                <w:kern w:val="2"/>
                <w:szCs w:val="24"/>
              </w:rPr>
              <w:t xml:space="preserve">1  </w:t>
            </w:r>
            <w:r>
              <w:rPr>
                <w:bCs w:val="0"/>
                <w:kern w:val="2"/>
                <w:szCs w:val="24"/>
              </w:rPr>
              <w:t>环境空气质量标准</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1"/>
              <w:gridCol w:w="2338"/>
              <w:gridCol w:w="1424"/>
              <w:gridCol w:w="1424"/>
              <w:gridCol w:w="1424"/>
            </w:tblGrid>
            <w:tr w14:paraId="5C64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vAlign w:val="center"/>
                </w:tcPr>
                <w:p w14:paraId="0DEBF029">
                  <w:pPr>
                    <w:jc w:val="center"/>
                  </w:pPr>
                  <w:r>
                    <w:t>污染物项目</w:t>
                  </w:r>
                </w:p>
              </w:tc>
              <w:tc>
                <w:tcPr>
                  <w:tcW w:w="2338" w:type="dxa"/>
                  <w:vAlign w:val="center"/>
                </w:tcPr>
                <w:p w14:paraId="47DF6434">
                  <w:pPr>
                    <w:jc w:val="center"/>
                  </w:pPr>
                  <w:r>
                    <w:t>平均时间</w:t>
                  </w:r>
                </w:p>
              </w:tc>
              <w:tc>
                <w:tcPr>
                  <w:tcW w:w="1424" w:type="dxa"/>
                  <w:vAlign w:val="center"/>
                </w:tcPr>
                <w:p w14:paraId="25E48345">
                  <w:pPr>
                    <w:jc w:val="center"/>
                  </w:pPr>
                  <w:r>
                    <w:rPr>
                      <w:rFonts w:hint="eastAsia"/>
                    </w:rPr>
                    <w:t>过渡阶段</w:t>
                  </w:r>
                  <w:r>
                    <w:t>二级浓度限值</w:t>
                  </w:r>
                </w:p>
              </w:tc>
              <w:tc>
                <w:tcPr>
                  <w:tcW w:w="1424" w:type="dxa"/>
                  <w:vAlign w:val="center"/>
                </w:tcPr>
                <w:p w14:paraId="44ED9BA1">
                  <w:pPr>
                    <w:jc w:val="center"/>
                  </w:pPr>
                  <w:r>
                    <w:t>二级浓度限值</w:t>
                  </w:r>
                </w:p>
              </w:tc>
              <w:tc>
                <w:tcPr>
                  <w:tcW w:w="1424" w:type="dxa"/>
                  <w:vAlign w:val="center"/>
                </w:tcPr>
                <w:p w14:paraId="550A3035">
                  <w:pPr>
                    <w:jc w:val="center"/>
                  </w:pPr>
                  <w:r>
                    <w:t>单位</w:t>
                  </w:r>
                </w:p>
              </w:tc>
            </w:tr>
            <w:tr w14:paraId="23E3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1" w:type="dxa"/>
                  <w:vMerge w:val="restart"/>
                  <w:vAlign w:val="center"/>
                </w:tcPr>
                <w:p w14:paraId="28D5789F">
                  <w:pPr>
                    <w:jc w:val="center"/>
                  </w:pPr>
                  <w:r>
                    <w:t>二氧化硫（SO</w:t>
                  </w:r>
                  <w:r>
                    <w:rPr>
                      <w:vertAlign w:val="subscript"/>
                    </w:rPr>
                    <w:t>2</w:t>
                  </w:r>
                  <w:r>
                    <w:t>）</w:t>
                  </w:r>
                </w:p>
              </w:tc>
              <w:tc>
                <w:tcPr>
                  <w:tcW w:w="2338" w:type="dxa"/>
                  <w:vAlign w:val="center"/>
                </w:tcPr>
                <w:p w14:paraId="6F1A588C">
                  <w:pPr>
                    <w:jc w:val="center"/>
                  </w:pPr>
                  <w:r>
                    <w:t>年平均</w:t>
                  </w:r>
                </w:p>
              </w:tc>
              <w:tc>
                <w:tcPr>
                  <w:tcW w:w="1424" w:type="dxa"/>
                  <w:vAlign w:val="center"/>
                </w:tcPr>
                <w:p w14:paraId="051EFF6E">
                  <w:pPr>
                    <w:jc w:val="center"/>
                  </w:pPr>
                  <w:r>
                    <w:t>60</w:t>
                  </w:r>
                </w:p>
              </w:tc>
              <w:tc>
                <w:tcPr>
                  <w:tcW w:w="1424" w:type="dxa"/>
                  <w:vAlign w:val="center"/>
                </w:tcPr>
                <w:p w14:paraId="7A4988DB">
                  <w:pPr>
                    <w:jc w:val="center"/>
                  </w:pPr>
                  <w:r>
                    <w:rPr>
                      <w:rFonts w:hint="eastAsia"/>
                    </w:rPr>
                    <w:t>2</w:t>
                  </w:r>
                  <w:r>
                    <w:t>0</w:t>
                  </w:r>
                </w:p>
              </w:tc>
              <w:tc>
                <w:tcPr>
                  <w:tcW w:w="1424" w:type="dxa"/>
                  <w:vMerge w:val="restart"/>
                  <w:vAlign w:val="center"/>
                </w:tcPr>
                <w:p w14:paraId="0DEB787B">
                  <w:pPr>
                    <w:jc w:val="center"/>
                  </w:pPr>
                  <w:r>
                    <w:t>μg/m</w:t>
                  </w:r>
                  <w:r>
                    <w:rPr>
                      <w:vertAlign w:val="superscript"/>
                    </w:rPr>
                    <w:t>3</w:t>
                  </w:r>
                </w:p>
              </w:tc>
            </w:tr>
            <w:tr w14:paraId="5E97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1" w:type="dxa"/>
                  <w:vMerge w:val="continue"/>
                  <w:vAlign w:val="center"/>
                </w:tcPr>
                <w:p w14:paraId="2F03BC50">
                  <w:pPr>
                    <w:jc w:val="center"/>
                  </w:pPr>
                </w:p>
              </w:tc>
              <w:tc>
                <w:tcPr>
                  <w:tcW w:w="2338" w:type="dxa"/>
                  <w:vAlign w:val="center"/>
                </w:tcPr>
                <w:p w14:paraId="6056D234">
                  <w:pPr>
                    <w:jc w:val="center"/>
                  </w:pPr>
                  <w:r>
                    <w:t>24小时平均</w:t>
                  </w:r>
                </w:p>
              </w:tc>
              <w:tc>
                <w:tcPr>
                  <w:tcW w:w="1424" w:type="dxa"/>
                  <w:vAlign w:val="center"/>
                </w:tcPr>
                <w:p w14:paraId="7861AEFD">
                  <w:pPr>
                    <w:jc w:val="center"/>
                  </w:pPr>
                  <w:r>
                    <w:t>150</w:t>
                  </w:r>
                </w:p>
              </w:tc>
              <w:tc>
                <w:tcPr>
                  <w:tcW w:w="1424" w:type="dxa"/>
                  <w:vAlign w:val="center"/>
                </w:tcPr>
                <w:p w14:paraId="035EFEC0">
                  <w:pPr>
                    <w:jc w:val="center"/>
                  </w:pPr>
                  <w:r>
                    <w:rPr>
                      <w:rFonts w:hint="eastAsia"/>
                    </w:rPr>
                    <w:t>5</w:t>
                  </w:r>
                  <w:r>
                    <w:t>0</w:t>
                  </w:r>
                </w:p>
              </w:tc>
              <w:tc>
                <w:tcPr>
                  <w:tcW w:w="1424" w:type="dxa"/>
                  <w:vMerge w:val="continue"/>
                  <w:vAlign w:val="center"/>
                </w:tcPr>
                <w:p w14:paraId="63A786A8">
                  <w:pPr>
                    <w:jc w:val="center"/>
                  </w:pPr>
                </w:p>
              </w:tc>
            </w:tr>
            <w:tr w14:paraId="0B88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1" w:type="dxa"/>
                  <w:vMerge w:val="continue"/>
                  <w:vAlign w:val="center"/>
                </w:tcPr>
                <w:p w14:paraId="0474A095">
                  <w:pPr>
                    <w:jc w:val="center"/>
                  </w:pPr>
                </w:p>
              </w:tc>
              <w:tc>
                <w:tcPr>
                  <w:tcW w:w="2338" w:type="dxa"/>
                  <w:vAlign w:val="center"/>
                </w:tcPr>
                <w:p w14:paraId="4B2DA6E6">
                  <w:pPr>
                    <w:jc w:val="center"/>
                  </w:pPr>
                  <w:r>
                    <w:t>1小时平均</w:t>
                  </w:r>
                </w:p>
              </w:tc>
              <w:tc>
                <w:tcPr>
                  <w:tcW w:w="1424" w:type="dxa"/>
                  <w:vAlign w:val="center"/>
                </w:tcPr>
                <w:p w14:paraId="4B5DABC0">
                  <w:pPr>
                    <w:jc w:val="center"/>
                  </w:pPr>
                  <w:r>
                    <w:t>500</w:t>
                  </w:r>
                </w:p>
              </w:tc>
              <w:tc>
                <w:tcPr>
                  <w:tcW w:w="1424" w:type="dxa"/>
                  <w:vAlign w:val="center"/>
                </w:tcPr>
                <w:p w14:paraId="6D7CCBAD">
                  <w:pPr>
                    <w:jc w:val="center"/>
                  </w:pPr>
                  <w:r>
                    <w:rPr>
                      <w:rFonts w:hint="eastAsia"/>
                    </w:rPr>
                    <w:t>1</w:t>
                  </w:r>
                  <w:r>
                    <w:t>50</w:t>
                  </w:r>
                </w:p>
              </w:tc>
              <w:tc>
                <w:tcPr>
                  <w:tcW w:w="1424" w:type="dxa"/>
                  <w:vMerge w:val="continue"/>
                  <w:vAlign w:val="center"/>
                </w:tcPr>
                <w:p w14:paraId="7493FB51">
                  <w:pPr>
                    <w:jc w:val="center"/>
                  </w:pPr>
                </w:p>
              </w:tc>
            </w:tr>
            <w:tr w14:paraId="1BC5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vMerge w:val="restart"/>
                  <w:vAlign w:val="center"/>
                </w:tcPr>
                <w:p w14:paraId="117919B3">
                  <w:pPr>
                    <w:jc w:val="center"/>
                  </w:pPr>
                  <w:r>
                    <w:t>二氧化氮（NO</w:t>
                  </w:r>
                  <w:r>
                    <w:rPr>
                      <w:vertAlign w:val="subscript"/>
                    </w:rPr>
                    <w:t>2</w:t>
                  </w:r>
                  <w:r>
                    <w:t>）</w:t>
                  </w:r>
                </w:p>
              </w:tc>
              <w:tc>
                <w:tcPr>
                  <w:tcW w:w="2338" w:type="dxa"/>
                  <w:vAlign w:val="center"/>
                </w:tcPr>
                <w:p w14:paraId="3BAFFF30">
                  <w:pPr>
                    <w:jc w:val="center"/>
                  </w:pPr>
                  <w:r>
                    <w:t>年平均</w:t>
                  </w:r>
                </w:p>
              </w:tc>
              <w:tc>
                <w:tcPr>
                  <w:tcW w:w="1424" w:type="dxa"/>
                  <w:vAlign w:val="center"/>
                </w:tcPr>
                <w:p w14:paraId="7F9C185D">
                  <w:pPr>
                    <w:jc w:val="center"/>
                  </w:pPr>
                  <w:r>
                    <w:t>40</w:t>
                  </w:r>
                </w:p>
              </w:tc>
              <w:tc>
                <w:tcPr>
                  <w:tcW w:w="1424" w:type="dxa"/>
                  <w:vAlign w:val="center"/>
                </w:tcPr>
                <w:p w14:paraId="1B459B16">
                  <w:pPr>
                    <w:jc w:val="center"/>
                  </w:pPr>
                  <w:r>
                    <w:rPr>
                      <w:rFonts w:hint="eastAsia"/>
                    </w:rPr>
                    <w:t>3</w:t>
                  </w:r>
                  <w:r>
                    <w:t>0</w:t>
                  </w:r>
                </w:p>
              </w:tc>
              <w:tc>
                <w:tcPr>
                  <w:tcW w:w="1424" w:type="dxa"/>
                  <w:vMerge w:val="continue"/>
                  <w:vAlign w:val="center"/>
                </w:tcPr>
                <w:p w14:paraId="346E5FB5">
                  <w:pPr>
                    <w:jc w:val="center"/>
                  </w:pPr>
                </w:p>
              </w:tc>
            </w:tr>
            <w:tr w14:paraId="4FB2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1" w:type="dxa"/>
                  <w:vMerge w:val="continue"/>
                  <w:vAlign w:val="center"/>
                </w:tcPr>
                <w:p w14:paraId="2CBAB907">
                  <w:pPr>
                    <w:jc w:val="center"/>
                  </w:pPr>
                </w:p>
              </w:tc>
              <w:tc>
                <w:tcPr>
                  <w:tcW w:w="2338" w:type="dxa"/>
                  <w:vAlign w:val="center"/>
                </w:tcPr>
                <w:p w14:paraId="39C55F43">
                  <w:pPr>
                    <w:jc w:val="center"/>
                  </w:pPr>
                  <w:r>
                    <w:t>24小时平均</w:t>
                  </w:r>
                </w:p>
              </w:tc>
              <w:tc>
                <w:tcPr>
                  <w:tcW w:w="1424" w:type="dxa"/>
                  <w:vAlign w:val="center"/>
                </w:tcPr>
                <w:p w14:paraId="12B1881D">
                  <w:pPr>
                    <w:jc w:val="center"/>
                  </w:pPr>
                  <w:r>
                    <w:t>80</w:t>
                  </w:r>
                </w:p>
              </w:tc>
              <w:tc>
                <w:tcPr>
                  <w:tcW w:w="1424" w:type="dxa"/>
                  <w:vAlign w:val="center"/>
                </w:tcPr>
                <w:p w14:paraId="654D1B69">
                  <w:pPr>
                    <w:jc w:val="center"/>
                  </w:pPr>
                  <w:r>
                    <w:rPr>
                      <w:rFonts w:hint="eastAsia"/>
                    </w:rPr>
                    <w:t>5</w:t>
                  </w:r>
                  <w:r>
                    <w:t>0</w:t>
                  </w:r>
                </w:p>
              </w:tc>
              <w:tc>
                <w:tcPr>
                  <w:tcW w:w="1424" w:type="dxa"/>
                  <w:vMerge w:val="continue"/>
                  <w:vAlign w:val="center"/>
                </w:tcPr>
                <w:p w14:paraId="63778DE0">
                  <w:pPr>
                    <w:jc w:val="center"/>
                  </w:pPr>
                </w:p>
              </w:tc>
            </w:tr>
            <w:tr w14:paraId="2B253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1" w:type="dxa"/>
                  <w:vMerge w:val="continue"/>
                  <w:vAlign w:val="center"/>
                </w:tcPr>
                <w:p w14:paraId="3610BE97">
                  <w:pPr>
                    <w:jc w:val="center"/>
                  </w:pPr>
                </w:p>
              </w:tc>
              <w:tc>
                <w:tcPr>
                  <w:tcW w:w="2338" w:type="dxa"/>
                  <w:vAlign w:val="center"/>
                </w:tcPr>
                <w:p w14:paraId="3D500736">
                  <w:pPr>
                    <w:jc w:val="center"/>
                  </w:pPr>
                  <w:r>
                    <w:t>1小时平均</w:t>
                  </w:r>
                </w:p>
              </w:tc>
              <w:tc>
                <w:tcPr>
                  <w:tcW w:w="1424" w:type="dxa"/>
                  <w:vAlign w:val="center"/>
                </w:tcPr>
                <w:p w14:paraId="52E0580C">
                  <w:pPr>
                    <w:jc w:val="center"/>
                  </w:pPr>
                  <w:r>
                    <w:t>200</w:t>
                  </w:r>
                </w:p>
              </w:tc>
              <w:tc>
                <w:tcPr>
                  <w:tcW w:w="1424" w:type="dxa"/>
                  <w:vAlign w:val="center"/>
                </w:tcPr>
                <w:p w14:paraId="338001FB">
                  <w:pPr>
                    <w:jc w:val="center"/>
                  </w:pPr>
                  <w:r>
                    <w:rPr>
                      <w:rFonts w:hint="eastAsia"/>
                    </w:rPr>
                    <w:t>2</w:t>
                  </w:r>
                  <w:r>
                    <w:t>00</w:t>
                  </w:r>
                </w:p>
              </w:tc>
              <w:tc>
                <w:tcPr>
                  <w:tcW w:w="1424" w:type="dxa"/>
                  <w:vMerge w:val="continue"/>
                  <w:vAlign w:val="center"/>
                </w:tcPr>
                <w:p w14:paraId="2A605F67">
                  <w:pPr>
                    <w:jc w:val="center"/>
                  </w:pPr>
                </w:p>
              </w:tc>
            </w:tr>
            <w:tr w14:paraId="61D9B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vMerge w:val="restart"/>
                  <w:vAlign w:val="center"/>
                </w:tcPr>
                <w:p w14:paraId="7E0D895C">
                  <w:pPr>
                    <w:jc w:val="center"/>
                  </w:pPr>
                  <w:r>
                    <w:t>一氧化碳（CO）</w:t>
                  </w:r>
                </w:p>
              </w:tc>
              <w:tc>
                <w:tcPr>
                  <w:tcW w:w="2338" w:type="dxa"/>
                  <w:vAlign w:val="center"/>
                </w:tcPr>
                <w:p w14:paraId="23C994A6">
                  <w:pPr>
                    <w:jc w:val="center"/>
                  </w:pPr>
                  <w:r>
                    <w:t>24小时平均</w:t>
                  </w:r>
                </w:p>
              </w:tc>
              <w:tc>
                <w:tcPr>
                  <w:tcW w:w="1424" w:type="dxa"/>
                  <w:vAlign w:val="center"/>
                </w:tcPr>
                <w:p w14:paraId="6402C02B">
                  <w:pPr>
                    <w:jc w:val="center"/>
                  </w:pPr>
                  <w:r>
                    <w:t>4</w:t>
                  </w:r>
                </w:p>
              </w:tc>
              <w:tc>
                <w:tcPr>
                  <w:tcW w:w="1424" w:type="dxa"/>
                  <w:vAlign w:val="center"/>
                </w:tcPr>
                <w:p w14:paraId="24C26C7F">
                  <w:pPr>
                    <w:jc w:val="center"/>
                  </w:pPr>
                  <w:r>
                    <w:rPr>
                      <w:rFonts w:hint="eastAsia"/>
                    </w:rPr>
                    <w:t>4</w:t>
                  </w:r>
                </w:p>
              </w:tc>
              <w:tc>
                <w:tcPr>
                  <w:tcW w:w="1424" w:type="dxa"/>
                  <w:vMerge w:val="restart"/>
                  <w:vAlign w:val="center"/>
                </w:tcPr>
                <w:p w14:paraId="084AE2E2">
                  <w:pPr>
                    <w:jc w:val="center"/>
                  </w:pPr>
                  <w:r>
                    <w:t>mg/m</w:t>
                  </w:r>
                  <w:r>
                    <w:rPr>
                      <w:vertAlign w:val="superscript"/>
                    </w:rPr>
                    <w:t>3</w:t>
                  </w:r>
                </w:p>
              </w:tc>
            </w:tr>
            <w:tr w14:paraId="7D43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1" w:type="dxa"/>
                  <w:vMerge w:val="continue"/>
                  <w:vAlign w:val="center"/>
                </w:tcPr>
                <w:p w14:paraId="4A6F0076">
                  <w:pPr>
                    <w:jc w:val="center"/>
                  </w:pPr>
                </w:p>
              </w:tc>
              <w:tc>
                <w:tcPr>
                  <w:tcW w:w="2338" w:type="dxa"/>
                  <w:vAlign w:val="center"/>
                </w:tcPr>
                <w:p w14:paraId="48D602DA">
                  <w:pPr>
                    <w:jc w:val="center"/>
                  </w:pPr>
                  <w:r>
                    <w:t>1小时平均</w:t>
                  </w:r>
                </w:p>
              </w:tc>
              <w:tc>
                <w:tcPr>
                  <w:tcW w:w="1424" w:type="dxa"/>
                  <w:vAlign w:val="center"/>
                </w:tcPr>
                <w:p w14:paraId="3B651B33">
                  <w:pPr>
                    <w:jc w:val="center"/>
                  </w:pPr>
                  <w:r>
                    <w:t>10</w:t>
                  </w:r>
                </w:p>
              </w:tc>
              <w:tc>
                <w:tcPr>
                  <w:tcW w:w="1424" w:type="dxa"/>
                  <w:vAlign w:val="center"/>
                </w:tcPr>
                <w:p w14:paraId="3C5E572D">
                  <w:pPr>
                    <w:jc w:val="center"/>
                  </w:pPr>
                  <w:r>
                    <w:rPr>
                      <w:rFonts w:hint="eastAsia"/>
                    </w:rPr>
                    <w:t>1</w:t>
                  </w:r>
                  <w:r>
                    <w:t>0</w:t>
                  </w:r>
                </w:p>
              </w:tc>
              <w:tc>
                <w:tcPr>
                  <w:tcW w:w="1424" w:type="dxa"/>
                  <w:vMerge w:val="continue"/>
                  <w:vAlign w:val="center"/>
                </w:tcPr>
                <w:p w14:paraId="520DCE62">
                  <w:pPr>
                    <w:jc w:val="center"/>
                  </w:pPr>
                </w:p>
              </w:tc>
            </w:tr>
            <w:tr w14:paraId="79BF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1" w:type="dxa"/>
                  <w:vMerge w:val="restart"/>
                  <w:vAlign w:val="center"/>
                </w:tcPr>
                <w:p w14:paraId="1C3135D5">
                  <w:pPr>
                    <w:jc w:val="center"/>
                  </w:pPr>
                  <w:r>
                    <w:t>臭氧（O</w:t>
                  </w:r>
                  <w:r>
                    <w:rPr>
                      <w:vertAlign w:val="subscript"/>
                    </w:rPr>
                    <w:t>3</w:t>
                  </w:r>
                  <w:r>
                    <w:t>）</w:t>
                  </w:r>
                </w:p>
              </w:tc>
              <w:tc>
                <w:tcPr>
                  <w:tcW w:w="2338" w:type="dxa"/>
                  <w:vAlign w:val="center"/>
                </w:tcPr>
                <w:p w14:paraId="6845921C">
                  <w:pPr>
                    <w:jc w:val="center"/>
                  </w:pPr>
                  <w:r>
                    <w:t>日最大8小时平均</w:t>
                  </w:r>
                </w:p>
              </w:tc>
              <w:tc>
                <w:tcPr>
                  <w:tcW w:w="1424" w:type="dxa"/>
                  <w:vAlign w:val="center"/>
                </w:tcPr>
                <w:p w14:paraId="2211B494">
                  <w:pPr>
                    <w:jc w:val="center"/>
                  </w:pPr>
                  <w:r>
                    <w:t>160</w:t>
                  </w:r>
                </w:p>
              </w:tc>
              <w:tc>
                <w:tcPr>
                  <w:tcW w:w="1424" w:type="dxa"/>
                  <w:vAlign w:val="center"/>
                </w:tcPr>
                <w:p w14:paraId="55BE8FBE">
                  <w:pPr>
                    <w:jc w:val="center"/>
                  </w:pPr>
                  <w:r>
                    <w:rPr>
                      <w:rFonts w:hint="eastAsia"/>
                    </w:rPr>
                    <w:t>1</w:t>
                  </w:r>
                  <w:r>
                    <w:t>60</w:t>
                  </w:r>
                </w:p>
              </w:tc>
              <w:tc>
                <w:tcPr>
                  <w:tcW w:w="1424" w:type="dxa"/>
                  <w:vMerge w:val="restart"/>
                  <w:vAlign w:val="center"/>
                </w:tcPr>
                <w:p w14:paraId="0BC19844">
                  <w:pPr>
                    <w:jc w:val="center"/>
                  </w:pPr>
                  <w:r>
                    <w:t>μg/m</w:t>
                  </w:r>
                  <w:r>
                    <w:rPr>
                      <w:vertAlign w:val="superscript"/>
                    </w:rPr>
                    <w:t>3</w:t>
                  </w:r>
                </w:p>
              </w:tc>
            </w:tr>
            <w:tr w14:paraId="43D6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1" w:type="dxa"/>
                  <w:vMerge w:val="continue"/>
                  <w:vAlign w:val="center"/>
                </w:tcPr>
                <w:p w14:paraId="3C5B04F1">
                  <w:pPr>
                    <w:jc w:val="center"/>
                  </w:pPr>
                </w:p>
              </w:tc>
              <w:tc>
                <w:tcPr>
                  <w:tcW w:w="2338" w:type="dxa"/>
                  <w:vAlign w:val="center"/>
                </w:tcPr>
                <w:p w14:paraId="3262D985">
                  <w:pPr>
                    <w:jc w:val="center"/>
                  </w:pPr>
                  <w:r>
                    <w:t>1小时平均</w:t>
                  </w:r>
                </w:p>
              </w:tc>
              <w:tc>
                <w:tcPr>
                  <w:tcW w:w="1424" w:type="dxa"/>
                  <w:vAlign w:val="center"/>
                </w:tcPr>
                <w:p w14:paraId="34E96836">
                  <w:pPr>
                    <w:jc w:val="center"/>
                  </w:pPr>
                  <w:r>
                    <w:t>200</w:t>
                  </w:r>
                </w:p>
              </w:tc>
              <w:tc>
                <w:tcPr>
                  <w:tcW w:w="1424" w:type="dxa"/>
                  <w:vAlign w:val="center"/>
                </w:tcPr>
                <w:p w14:paraId="3FCB19F3">
                  <w:pPr>
                    <w:jc w:val="center"/>
                  </w:pPr>
                  <w:r>
                    <w:rPr>
                      <w:rFonts w:hint="eastAsia"/>
                    </w:rPr>
                    <w:t>2</w:t>
                  </w:r>
                  <w:r>
                    <w:t>00</w:t>
                  </w:r>
                </w:p>
              </w:tc>
              <w:tc>
                <w:tcPr>
                  <w:tcW w:w="1424" w:type="dxa"/>
                  <w:vMerge w:val="continue"/>
                  <w:vAlign w:val="center"/>
                </w:tcPr>
                <w:p w14:paraId="0A2B28E7">
                  <w:pPr>
                    <w:jc w:val="center"/>
                  </w:pPr>
                </w:p>
              </w:tc>
            </w:tr>
            <w:tr w14:paraId="77AA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vMerge w:val="restart"/>
                  <w:vAlign w:val="center"/>
                </w:tcPr>
                <w:p w14:paraId="58490FC9">
                  <w:pPr>
                    <w:jc w:val="center"/>
                  </w:pPr>
                  <w:r>
                    <w:t>颗粒物（粒径小于等于10μm）</w:t>
                  </w:r>
                </w:p>
              </w:tc>
              <w:tc>
                <w:tcPr>
                  <w:tcW w:w="2338" w:type="dxa"/>
                  <w:vAlign w:val="center"/>
                </w:tcPr>
                <w:p w14:paraId="4BF6407A">
                  <w:pPr>
                    <w:jc w:val="center"/>
                  </w:pPr>
                  <w:r>
                    <w:t>年平均</w:t>
                  </w:r>
                </w:p>
              </w:tc>
              <w:tc>
                <w:tcPr>
                  <w:tcW w:w="1424" w:type="dxa"/>
                  <w:vAlign w:val="center"/>
                </w:tcPr>
                <w:p w14:paraId="4519EA47">
                  <w:pPr>
                    <w:jc w:val="center"/>
                  </w:pPr>
                  <w:r>
                    <w:t>60</w:t>
                  </w:r>
                </w:p>
              </w:tc>
              <w:tc>
                <w:tcPr>
                  <w:tcW w:w="1424" w:type="dxa"/>
                  <w:vAlign w:val="center"/>
                </w:tcPr>
                <w:p w14:paraId="5A692B8D">
                  <w:pPr>
                    <w:jc w:val="center"/>
                  </w:pPr>
                  <w:r>
                    <w:rPr>
                      <w:rFonts w:hint="eastAsia"/>
                    </w:rPr>
                    <w:t>5</w:t>
                  </w:r>
                  <w:r>
                    <w:t>0</w:t>
                  </w:r>
                </w:p>
              </w:tc>
              <w:tc>
                <w:tcPr>
                  <w:tcW w:w="1424" w:type="dxa"/>
                  <w:vMerge w:val="continue"/>
                  <w:vAlign w:val="center"/>
                </w:tcPr>
                <w:p w14:paraId="7753C7A2">
                  <w:pPr>
                    <w:jc w:val="center"/>
                  </w:pPr>
                </w:p>
              </w:tc>
            </w:tr>
            <w:tr w14:paraId="7944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1" w:type="dxa"/>
                  <w:vMerge w:val="continue"/>
                  <w:vAlign w:val="center"/>
                </w:tcPr>
                <w:p w14:paraId="1520D401">
                  <w:pPr>
                    <w:jc w:val="center"/>
                  </w:pPr>
                </w:p>
              </w:tc>
              <w:tc>
                <w:tcPr>
                  <w:tcW w:w="2338" w:type="dxa"/>
                  <w:vAlign w:val="center"/>
                </w:tcPr>
                <w:p w14:paraId="0B3ACA2C">
                  <w:pPr>
                    <w:jc w:val="center"/>
                  </w:pPr>
                  <w:r>
                    <w:t>24小时平均</w:t>
                  </w:r>
                </w:p>
              </w:tc>
              <w:tc>
                <w:tcPr>
                  <w:tcW w:w="1424" w:type="dxa"/>
                  <w:vAlign w:val="center"/>
                </w:tcPr>
                <w:p w14:paraId="5287A5C5">
                  <w:pPr>
                    <w:jc w:val="center"/>
                  </w:pPr>
                  <w:r>
                    <w:t>120</w:t>
                  </w:r>
                </w:p>
              </w:tc>
              <w:tc>
                <w:tcPr>
                  <w:tcW w:w="1424" w:type="dxa"/>
                  <w:vAlign w:val="center"/>
                </w:tcPr>
                <w:p w14:paraId="3224B23F">
                  <w:pPr>
                    <w:jc w:val="center"/>
                  </w:pPr>
                  <w:r>
                    <w:rPr>
                      <w:rFonts w:hint="eastAsia"/>
                    </w:rPr>
                    <w:t>1</w:t>
                  </w:r>
                  <w:r>
                    <w:t>00</w:t>
                  </w:r>
                </w:p>
              </w:tc>
              <w:tc>
                <w:tcPr>
                  <w:tcW w:w="1424" w:type="dxa"/>
                  <w:vMerge w:val="continue"/>
                  <w:vAlign w:val="center"/>
                </w:tcPr>
                <w:p w14:paraId="4D86C287">
                  <w:pPr>
                    <w:jc w:val="center"/>
                  </w:pPr>
                </w:p>
              </w:tc>
            </w:tr>
            <w:tr w14:paraId="15B7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vMerge w:val="restart"/>
                  <w:vAlign w:val="center"/>
                </w:tcPr>
                <w:p w14:paraId="590B0AA7">
                  <w:pPr>
                    <w:jc w:val="center"/>
                  </w:pPr>
                  <w:r>
                    <w:t>颗粒物（粒径小于等于2.5μm）</w:t>
                  </w:r>
                </w:p>
              </w:tc>
              <w:tc>
                <w:tcPr>
                  <w:tcW w:w="2338" w:type="dxa"/>
                  <w:vAlign w:val="center"/>
                </w:tcPr>
                <w:p w14:paraId="0B0FF9B0">
                  <w:pPr>
                    <w:jc w:val="center"/>
                  </w:pPr>
                  <w:r>
                    <w:t>年平均</w:t>
                  </w:r>
                </w:p>
              </w:tc>
              <w:tc>
                <w:tcPr>
                  <w:tcW w:w="1424" w:type="dxa"/>
                  <w:vAlign w:val="center"/>
                </w:tcPr>
                <w:p w14:paraId="03EDEFB3">
                  <w:pPr>
                    <w:jc w:val="center"/>
                  </w:pPr>
                  <w:r>
                    <w:t>30</w:t>
                  </w:r>
                </w:p>
              </w:tc>
              <w:tc>
                <w:tcPr>
                  <w:tcW w:w="1424" w:type="dxa"/>
                  <w:vAlign w:val="center"/>
                </w:tcPr>
                <w:p w14:paraId="2D14EE0F">
                  <w:pPr>
                    <w:jc w:val="center"/>
                  </w:pPr>
                  <w:r>
                    <w:rPr>
                      <w:rFonts w:hint="eastAsia"/>
                    </w:rPr>
                    <w:t>2</w:t>
                  </w:r>
                  <w:r>
                    <w:t>5</w:t>
                  </w:r>
                </w:p>
              </w:tc>
              <w:tc>
                <w:tcPr>
                  <w:tcW w:w="1424" w:type="dxa"/>
                  <w:vMerge w:val="continue"/>
                  <w:vAlign w:val="center"/>
                </w:tcPr>
                <w:p w14:paraId="0F7AC710">
                  <w:pPr>
                    <w:jc w:val="center"/>
                  </w:pPr>
                </w:p>
              </w:tc>
            </w:tr>
            <w:tr w14:paraId="6293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1" w:type="dxa"/>
                  <w:vMerge w:val="continue"/>
                  <w:vAlign w:val="center"/>
                </w:tcPr>
                <w:p w14:paraId="1C6D16C0">
                  <w:pPr>
                    <w:jc w:val="center"/>
                  </w:pPr>
                </w:p>
              </w:tc>
              <w:tc>
                <w:tcPr>
                  <w:tcW w:w="2338" w:type="dxa"/>
                  <w:vAlign w:val="center"/>
                </w:tcPr>
                <w:p w14:paraId="4BAF8549">
                  <w:pPr>
                    <w:jc w:val="center"/>
                  </w:pPr>
                  <w:r>
                    <w:t>24小时平均</w:t>
                  </w:r>
                </w:p>
              </w:tc>
              <w:tc>
                <w:tcPr>
                  <w:tcW w:w="1424" w:type="dxa"/>
                  <w:vAlign w:val="center"/>
                </w:tcPr>
                <w:p w14:paraId="6F3E4315">
                  <w:pPr>
                    <w:jc w:val="center"/>
                  </w:pPr>
                  <w:r>
                    <w:rPr>
                      <w:rFonts w:hint="eastAsia"/>
                    </w:rPr>
                    <w:t>6</w:t>
                  </w:r>
                  <w:r>
                    <w:t>0</w:t>
                  </w:r>
                </w:p>
              </w:tc>
              <w:tc>
                <w:tcPr>
                  <w:tcW w:w="1424" w:type="dxa"/>
                  <w:vAlign w:val="center"/>
                </w:tcPr>
                <w:p w14:paraId="511D3482">
                  <w:pPr>
                    <w:jc w:val="center"/>
                  </w:pPr>
                  <w:r>
                    <w:rPr>
                      <w:rFonts w:hint="eastAsia"/>
                    </w:rPr>
                    <w:t>5</w:t>
                  </w:r>
                  <w:r>
                    <w:t>0</w:t>
                  </w:r>
                </w:p>
              </w:tc>
              <w:tc>
                <w:tcPr>
                  <w:tcW w:w="1424" w:type="dxa"/>
                  <w:vMerge w:val="continue"/>
                  <w:vAlign w:val="center"/>
                </w:tcPr>
                <w:p w14:paraId="46998081">
                  <w:pPr>
                    <w:jc w:val="center"/>
                  </w:pPr>
                </w:p>
              </w:tc>
            </w:tr>
          </w:tbl>
          <w:p w14:paraId="61CA5FF5">
            <w:pPr>
              <w:autoSpaceDE w:val="0"/>
              <w:autoSpaceDN w:val="0"/>
              <w:spacing w:before="120" w:beforeLines="50" w:line="360" w:lineRule="auto"/>
              <w:rPr>
                <w:b/>
                <w:bCs/>
                <w:kern w:val="0"/>
                <w:sz w:val="24"/>
              </w:rPr>
            </w:pPr>
            <w:r>
              <w:rPr>
                <w:rFonts w:hint="eastAsia"/>
                <w:b/>
                <w:bCs/>
                <w:kern w:val="0"/>
                <w:sz w:val="24"/>
              </w:rPr>
              <w:t xml:space="preserve">3.5.2 </w:t>
            </w:r>
            <w:r>
              <w:rPr>
                <w:b/>
                <w:bCs/>
                <w:kern w:val="0"/>
                <w:sz w:val="24"/>
              </w:rPr>
              <w:t>地表水环境质量标准</w:t>
            </w:r>
          </w:p>
          <w:p w14:paraId="037707CC">
            <w:pPr>
              <w:widowControl/>
              <w:spacing w:line="360" w:lineRule="auto"/>
              <w:ind w:firstLine="480" w:firstLineChars="200"/>
              <w:rPr>
                <w:color w:val="000000"/>
                <w:sz w:val="24"/>
              </w:rPr>
            </w:pPr>
            <w:r>
              <w:rPr>
                <w:rFonts w:hint="eastAsia"/>
                <w:color w:val="000000"/>
                <w:sz w:val="24"/>
              </w:rPr>
              <w:t>本</w:t>
            </w:r>
            <w:r>
              <w:rPr>
                <w:color w:val="000000"/>
                <w:sz w:val="24"/>
              </w:rPr>
              <w:t>项目周边水系主要为小江、盐水沟等。根据《云南省水功能区划（2014年修订）》，小江（清水海</w:t>
            </w:r>
            <w:r>
              <w:rPr>
                <w:rFonts w:hint="eastAsia"/>
                <w:color w:val="000000"/>
                <w:sz w:val="24"/>
              </w:rPr>
              <w:t>－</w:t>
            </w:r>
            <w:r>
              <w:rPr>
                <w:color w:val="000000"/>
                <w:sz w:val="24"/>
              </w:rPr>
              <w:t>入金沙江口段），2030年水质目标为Ⅲ类，执行《地表水环境质量标准》（GB</w:t>
            </w:r>
            <w:r>
              <w:rPr>
                <w:rFonts w:hint="eastAsia"/>
                <w:color w:val="000000"/>
                <w:sz w:val="24"/>
              </w:rPr>
              <w:t xml:space="preserve"> </w:t>
            </w:r>
            <w:r>
              <w:rPr>
                <w:color w:val="000000"/>
                <w:sz w:val="24"/>
              </w:rPr>
              <w:t>3838-2002）Ⅲ类标准。根据支流保护不低于干流的原则，盐水沟参照小江执行《地表水环境质量标准》（GB 3838-2002）Ⅲ类标准</w:t>
            </w:r>
            <w:r>
              <w:rPr>
                <w:rFonts w:hint="eastAsia"/>
                <w:color w:val="000000"/>
                <w:sz w:val="24"/>
              </w:rPr>
              <w:t>。标准限值见下表。</w:t>
            </w:r>
          </w:p>
          <w:p w14:paraId="3C461C4E">
            <w:pPr>
              <w:pStyle w:val="102"/>
              <w:spacing w:beforeLines="0" w:afterLines="0" w:line="360" w:lineRule="auto"/>
              <w:rPr>
                <w:szCs w:val="24"/>
              </w:rPr>
            </w:pPr>
          </w:p>
          <w:p w14:paraId="6F89DF49">
            <w:pPr>
              <w:pStyle w:val="102"/>
              <w:spacing w:beforeLines="0" w:afterLines="0" w:line="360" w:lineRule="auto"/>
              <w:rPr>
                <w:rFonts w:hint="eastAsia"/>
                <w:szCs w:val="24"/>
              </w:rPr>
            </w:pPr>
            <w:r>
              <w:rPr>
                <w:szCs w:val="24"/>
              </w:rPr>
              <w:t>表3</w:t>
            </w:r>
            <w:r>
              <w:rPr>
                <w:rFonts w:hint="eastAsia"/>
                <w:szCs w:val="24"/>
              </w:rPr>
              <w:t xml:space="preserve">.5.2-1  </w:t>
            </w:r>
            <w:r>
              <w:rPr>
                <w:szCs w:val="24"/>
              </w:rPr>
              <w:t>地表水环境质量标准</w:t>
            </w:r>
            <w:r>
              <w:rPr>
                <w:rFonts w:hint="eastAsia"/>
                <w:szCs w:val="24"/>
              </w:rPr>
              <w:t xml:space="preserve">    </w:t>
            </w:r>
            <w:r>
              <w:rPr>
                <w:szCs w:val="24"/>
              </w:rPr>
              <w:t>单位：</w:t>
            </w:r>
            <w:r>
              <w:rPr>
                <w:rFonts w:hint="eastAsia"/>
                <w:szCs w:val="24"/>
              </w:rPr>
              <w:t>m</w:t>
            </w:r>
            <w:r>
              <w:rPr>
                <w:szCs w:val="24"/>
              </w:rPr>
              <w:t>g/</w:t>
            </w:r>
            <w:r>
              <w:rPr>
                <w:rFonts w:hint="eastAsia"/>
                <w:szCs w:val="24"/>
              </w:rPr>
              <w:t>L</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0"/>
              <w:gridCol w:w="6147"/>
            </w:tblGrid>
            <w:tr w14:paraId="66E4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2379235A">
                  <w:pPr>
                    <w:pStyle w:val="225"/>
                    <w:spacing w:before="0"/>
                    <w:rPr>
                      <w:b/>
                      <w:bCs/>
                      <w:sz w:val="21"/>
                    </w:rPr>
                  </w:pPr>
                  <w:r>
                    <w:rPr>
                      <w:b/>
                      <w:bCs/>
                      <w:sz w:val="21"/>
                    </w:rPr>
                    <w:t>项目</w:t>
                  </w:r>
                </w:p>
              </w:tc>
              <w:tc>
                <w:tcPr>
                  <w:tcW w:w="4029" w:type="dxa"/>
                  <w:vAlign w:val="center"/>
                </w:tcPr>
                <w:p w14:paraId="7B581184">
                  <w:pPr>
                    <w:pStyle w:val="225"/>
                    <w:spacing w:before="0"/>
                    <w:rPr>
                      <w:b/>
                      <w:bCs/>
                      <w:sz w:val="21"/>
                    </w:rPr>
                  </w:pPr>
                  <w:r>
                    <w:rPr>
                      <w:b/>
                      <w:bCs/>
                      <w:sz w:val="21"/>
                    </w:rPr>
                    <w:t>Ⅲ类标准值</w:t>
                  </w:r>
                </w:p>
              </w:tc>
            </w:tr>
            <w:tr w14:paraId="5876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1DA29A13">
                  <w:pPr>
                    <w:pStyle w:val="225"/>
                    <w:spacing w:before="0"/>
                    <w:rPr>
                      <w:sz w:val="21"/>
                    </w:rPr>
                  </w:pPr>
                  <w:r>
                    <w:rPr>
                      <w:sz w:val="21"/>
                    </w:rPr>
                    <w:t>水温（℃）</w:t>
                  </w:r>
                </w:p>
              </w:tc>
              <w:tc>
                <w:tcPr>
                  <w:tcW w:w="4029" w:type="dxa"/>
                  <w:vAlign w:val="center"/>
                </w:tcPr>
                <w:p w14:paraId="53FFBC42">
                  <w:pPr>
                    <w:pStyle w:val="225"/>
                    <w:spacing w:before="0"/>
                    <w:rPr>
                      <w:sz w:val="21"/>
                    </w:rPr>
                  </w:pPr>
                  <w:r>
                    <w:rPr>
                      <w:sz w:val="21"/>
                    </w:rPr>
                    <w:t>人为造成的环境水温变化应限制在：周平均最大温升≤1，周平均最大温降≤2</w:t>
                  </w:r>
                </w:p>
              </w:tc>
            </w:tr>
            <w:tr w14:paraId="4151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5B1AB2B4">
                  <w:pPr>
                    <w:pStyle w:val="225"/>
                    <w:spacing w:before="0"/>
                    <w:rPr>
                      <w:sz w:val="21"/>
                    </w:rPr>
                  </w:pPr>
                  <w:r>
                    <w:rPr>
                      <w:sz w:val="21"/>
                    </w:rPr>
                    <w:t>pH（无量纲）</w:t>
                  </w:r>
                </w:p>
              </w:tc>
              <w:tc>
                <w:tcPr>
                  <w:tcW w:w="4029" w:type="dxa"/>
                  <w:vAlign w:val="center"/>
                </w:tcPr>
                <w:p w14:paraId="2F1C9933">
                  <w:pPr>
                    <w:pStyle w:val="225"/>
                    <w:spacing w:before="0"/>
                    <w:rPr>
                      <w:sz w:val="21"/>
                    </w:rPr>
                  </w:pPr>
                  <w:r>
                    <w:rPr>
                      <w:sz w:val="21"/>
                    </w:rPr>
                    <w:t>6~9</w:t>
                  </w:r>
                </w:p>
              </w:tc>
            </w:tr>
            <w:tr w14:paraId="2146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2B2ED5FB">
                  <w:pPr>
                    <w:pStyle w:val="225"/>
                    <w:spacing w:before="0"/>
                    <w:rPr>
                      <w:sz w:val="21"/>
                    </w:rPr>
                  </w:pPr>
                  <w:r>
                    <w:rPr>
                      <w:sz w:val="21"/>
                    </w:rPr>
                    <w:t>溶解氧</w:t>
                  </w:r>
                </w:p>
              </w:tc>
              <w:tc>
                <w:tcPr>
                  <w:tcW w:w="4029" w:type="dxa"/>
                  <w:vAlign w:val="center"/>
                </w:tcPr>
                <w:p w14:paraId="76D037C0">
                  <w:pPr>
                    <w:pStyle w:val="225"/>
                    <w:spacing w:before="0"/>
                    <w:rPr>
                      <w:sz w:val="21"/>
                    </w:rPr>
                  </w:pPr>
                  <w:r>
                    <w:rPr>
                      <w:sz w:val="21"/>
                    </w:rPr>
                    <w:t>5</w:t>
                  </w:r>
                </w:p>
              </w:tc>
            </w:tr>
            <w:tr w14:paraId="003F4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382BB388">
                  <w:pPr>
                    <w:pStyle w:val="225"/>
                    <w:spacing w:before="0"/>
                    <w:rPr>
                      <w:sz w:val="21"/>
                    </w:rPr>
                  </w:pPr>
                  <w:r>
                    <w:rPr>
                      <w:sz w:val="21"/>
                    </w:rPr>
                    <w:t>高锰酸盐指数</w:t>
                  </w:r>
                </w:p>
              </w:tc>
              <w:tc>
                <w:tcPr>
                  <w:tcW w:w="4029" w:type="dxa"/>
                  <w:vAlign w:val="center"/>
                </w:tcPr>
                <w:p w14:paraId="03971689">
                  <w:pPr>
                    <w:pStyle w:val="225"/>
                    <w:spacing w:before="0"/>
                    <w:rPr>
                      <w:sz w:val="21"/>
                    </w:rPr>
                  </w:pPr>
                  <w:r>
                    <w:rPr>
                      <w:sz w:val="21"/>
                    </w:rPr>
                    <w:t>6</w:t>
                  </w:r>
                </w:p>
              </w:tc>
            </w:tr>
            <w:tr w14:paraId="4AAA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57D0C4BF">
                  <w:pPr>
                    <w:pStyle w:val="225"/>
                    <w:spacing w:before="0"/>
                    <w:rPr>
                      <w:sz w:val="21"/>
                    </w:rPr>
                  </w:pPr>
                  <w:r>
                    <w:rPr>
                      <w:sz w:val="21"/>
                    </w:rPr>
                    <w:t>化学需氧量</w:t>
                  </w:r>
                </w:p>
              </w:tc>
              <w:tc>
                <w:tcPr>
                  <w:tcW w:w="4029" w:type="dxa"/>
                  <w:vAlign w:val="center"/>
                </w:tcPr>
                <w:p w14:paraId="635C63BE">
                  <w:pPr>
                    <w:pStyle w:val="225"/>
                    <w:spacing w:before="0"/>
                    <w:rPr>
                      <w:sz w:val="21"/>
                    </w:rPr>
                  </w:pPr>
                  <w:r>
                    <w:rPr>
                      <w:sz w:val="21"/>
                    </w:rPr>
                    <w:t>20</w:t>
                  </w:r>
                </w:p>
              </w:tc>
            </w:tr>
            <w:tr w14:paraId="5C6A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536AFFE5">
                  <w:pPr>
                    <w:pStyle w:val="225"/>
                    <w:spacing w:before="0"/>
                    <w:rPr>
                      <w:sz w:val="21"/>
                    </w:rPr>
                  </w:pPr>
                  <w:r>
                    <w:rPr>
                      <w:sz w:val="21"/>
                    </w:rPr>
                    <w:t>氨氮</w:t>
                  </w:r>
                </w:p>
              </w:tc>
              <w:tc>
                <w:tcPr>
                  <w:tcW w:w="4029" w:type="dxa"/>
                  <w:vAlign w:val="center"/>
                </w:tcPr>
                <w:p w14:paraId="195A72B8">
                  <w:pPr>
                    <w:pStyle w:val="225"/>
                    <w:spacing w:before="0"/>
                    <w:rPr>
                      <w:sz w:val="21"/>
                    </w:rPr>
                  </w:pPr>
                  <w:r>
                    <w:rPr>
                      <w:sz w:val="21"/>
                    </w:rPr>
                    <w:t>1</w:t>
                  </w:r>
                </w:p>
              </w:tc>
            </w:tr>
            <w:tr w14:paraId="188A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0DBB3691">
                  <w:pPr>
                    <w:pStyle w:val="225"/>
                    <w:spacing w:before="0"/>
                    <w:rPr>
                      <w:sz w:val="21"/>
                    </w:rPr>
                  </w:pPr>
                  <w:r>
                    <w:rPr>
                      <w:sz w:val="21"/>
                    </w:rPr>
                    <w:t>总磷</w:t>
                  </w:r>
                </w:p>
              </w:tc>
              <w:tc>
                <w:tcPr>
                  <w:tcW w:w="4029" w:type="dxa"/>
                  <w:vAlign w:val="center"/>
                </w:tcPr>
                <w:p w14:paraId="14093B85">
                  <w:pPr>
                    <w:pStyle w:val="225"/>
                    <w:spacing w:before="0"/>
                    <w:rPr>
                      <w:sz w:val="21"/>
                    </w:rPr>
                  </w:pPr>
                  <w:r>
                    <w:rPr>
                      <w:sz w:val="21"/>
                    </w:rPr>
                    <w:t>0.2(湖、库0.05)</w:t>
                  </w:r>
                </w:p>
              </w:tc>
            </w:tr>
            <w:tr w14:paraId="7DDD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1082AB64">
                  <w:pPr>
                    <w:pStyle w:val="225"/>
                    <w:spacing w:before="0"/>
                    <w:rPr>
                      <w:sz w:val="21"/>
                    </w:rPr>
                  </w:pPr>
                  <w:r>
                    <w:rPr>
                      <w:sz w:val="21"/>
                    </w:rPr>
                    <w:t>总氮</w:t>
                  </w:r>
                </w:p>
              </w:tc>
              <w:tc>
                <w:tcPr>
                  <w:tcW w:w="4029" w:type="dxa"/>
                  <w:vAlign w:val="center"/>
                </w:tcPr>
                <w:p w14:paraId="30F19433">
                  <w:pPr>
                    <w:pStyle w:val="225"/>
                    <w:spacing w:before="0"/>
                    <w:rPr>
                      <w:sz w:val="21"/>
                    </w:rPr>
                  </w:pPr>
                  <w:r>
                    <w:rPr>
                      <w:sz w:val="21"/>
                    </w:rPr>
                    <w:t>1</w:t>
                  </w:r>
                </w:p>
              </w:tc>
            </w:tr>
            <w:tr w14:paraId="278E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2645EB8F">
                  <w:pPr>
                    <w:pStyle w:val="225"/>
                    <w:spacing w:before="0"/>
                    <w:rPr>
                      <w:sz w:val="21"/>
                    </w:rPr>
                  </w:pPr>
                  <w:r>
                    <w:rPr>
                      <w:sz w:val="21"/>
                    </w:rPr>
                    <w:t>铜</w:t>
                  </w:r>
                </w:p>
              </w:tc>
              <w:tc>
                <w:tcPr>
                  <w:tcW w:w="4029" w:type="dxa"/>
                  <w:vAlign w:val="center"/>
                </w:tcPr>
                <w:p w14:paraId="1DC9D31D">
                  <w:pPr>
                    <w:pStyle w:val="225"/>
                    <w:spacing w:before="0"/>
                    <w:rPr>
                      <w:sz w:val="21"/>
                    </w:rPr>
                  </w:pPr>
                  <w:r>
                    <w:rPr>
                      <w:sz w:val="21"/>
                    </w:rPr>
                    <w:t>1</w:t>
                  </w:r>
                </w:p>
              </w:tc>
            </w:tr>
            <w:tr w14:paraId="2DD0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1573" w:type="dxa"/>
                  <w:vAlign w:val="center"/>
                </w:tcPr>
                <w:p w14:paraId="106480D2">
                  <w:pPr>
                    <w:pStyle w:val="225"/>
                    <w:spacing w:before="0"/>
                    <w:rPr>
                      <w:sz w:val="21"/>
                    </w:rPr>
                  </w:pPr>
                  <w:r>
                    <w:rPr>
                      <w:sz w:val="21"/>
                    </w:rPr>
                    <w:t>锌</w:t>
                  </w:r>
                </w:p>
              </w:tc>
              <w:tc>
                <w:tcPr>
                  <w:tcW w:w="4029" w:type="dxa"/>
                  <w:vAlign w:val="center"/>
                </w:tcPr>
                <w:p w14:paraId="013AC43B">
                  <w:pPr>
                    <w:pStyle w:val="225"/>
                    <w:spacing w:before="0"/>
                    <w:rPr>
                      <w:sz w:val="21"/>
                    </w:rPr>
                  </w:pPr>
                  <w:r>
                    <w:rPr>
                      <w:sz w:val="21"/>
                    </w:rPr>
                    <w:t>1</w:t>
                  </w:r>
                </w:p>
              </w:tc>
            </w:tr>
            <w:tr w14:paraId="63F2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5565673D">
                  <w:pPr>
                    <w:pStyle w:val="225"/>
                    <w:spacing w:before="0"/>
                    <w:rPr>
                      <w:sz w:val="21"/>
                    </w:rPr>
                  </w:pPr>
                  <w:r>
                    <w:rPr>
                      <w:sz w:val="21"/>
                    </w:rPr>
                    <w:t>氟化物</w:t>
                  </w:r>
                </w:p>
              </w:tc>
              <w:tc>
                <w:tcPr>
                  <w:tcW w:w="4029" w:type="dxa"/>
                  <w:vAlign w:val="center"/>
                </w:tcPr>
                <w:p w14:paraId="3DAC1C3A">
                  <w:pPr>
                    <w:pStyle w:val="225"/>
                    <w:spacing w:before="0"/>
                    <w:rPr>
                      <w:sz w:val="21"/>
                    </w:rPr>
                  </w:pPr>
                  <w:r>
                    <w:rPr>
                      <w:sz w:val="21"/>
                    </w:rPr>
                    <w:t>1</w:t>
                  </w:r>
                </w:p>
              </w:tc>
            </w:tr>
            <w:tr w14:paraId="366E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1D4F75BA">
                  <w:pPr>
                    <w:pStyle w:val="225"/>
                    <w:spacing w:before="0"/>
                    <w:rPr>
                      <w:sz w:val="21"/>
                    </w:rPr>
                  </w:pPr>
                  <w:r>
                    <w:rPr>
                      <w:sz w:val="21"/>
                    </w:rPr>
                    <w:t>砷</w:t>
                  </w:r>
                </w:p>
              </w:tc>
              <w:tc>
                <w:tcPr>
                  <w:tcW w:w="4029" w:type="dxa"/>
                  <w:vAlign w:val="center"/>
                </w:tcPr>
                <w:p w14:paraId="45C3A6CE">
                  <w:pPr>
                    <w:pStyle w:val="225"/>
                    <w:spacing w:before="0"/>
                    <w:rPr>
                      <w:sz w:val="21"/>
                    </w:rPr>
                  </w:pPr>
                  <w:r>
                    <w:rPr>
                      <w:sz w:val="21"/>
                    </w:rPr>
                    <w:t>0.05</w:t>
                  </w:r>
                </w:p>
              </w:tc>
            </w:tr>
            <w:tr w14:paraId="7C61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51F45E2E">
                  <w:pPr>
                    <w:pStyle w:val="225"/>
                    <w:spacing w:before="0"/>
                    <w:rPr>
                      <w:sz w:val="21"/>
                    </w:rPr>
                  </w:pPr>
                  <w:r>
                    <w:rPr>
                      <w:sz w:val="21"/>
                    </w:rPr>
                    <w:t>硒</w:t>
                  </w:r>
                </w:p>
              </w:tc>
              <w:tc>
                <w:tcPr>
                  <w:tcW w:w="4029" w:type="dxa"/>
                  <w:vAlign w:val="center"/>
                </w:tcPr>
                <w:p w14:paraId="42B34299">
                  <w:pPr>
                    <w:pStyle w:val="225"/>
                    <w:spacing w:before="0"/>
                    <w:rPr>
                      <w:sz w:val="21"/>
                    </w:rPr>
                  </w:pPr>
                  <w:r>
                    <w:rPr>
                      <w:sz w:val="21"/>
                    </w:rPr>
                    <w:t>0.01</w:t>
                  </w:r>
                </w:p>
              </w:tc>
            </w:tr>
            <w:tr w14:paraId="5056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11A547F7">
                  <w:pPr>
                    <w:pStyle w:val="225"/>
                    <w:spacing w:before="0"/>
                    <w:rPr>
                      <w:sz w:val="21"/>
                    </w:rPr>
                  </w:pPr>
                  <w:r>
                    <w:rPr>
                      <w:sz w:val="21"/>
                    </w:rPr>
                    <w:t>汞</w:t>
                  </w:r>
                </w:p>
              </w:tc>
              <w:tc>
                <w:tcPr>
                  <w:tcW w:w="4029" w:type="dxa"/>
                  <w:vAlign w:val="center"/>
                </w:tcPr>
                <w:p w14:paraId="5E445F5F">
                  <w:pPr>
                    <w:pStyle w:val="225"/>
                    <w:spacing w:before="0"/>
                    <w:rPr>
                      <w:sz w:val="21"/>
                    </w:rPr>
                  </w:pPr>
                  <w:r>
                    <w:rPr>
                      <w:sz w:val="21"/>
                    </w:rPr>
                    <w:t>0.0001</w:t>
                  </w:r>
                </w:p>
              </w:tc>
            </w:tr>
            <w:tr w14:paraId="1941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2FDEA910">
                  <w:pPr>
                    <w:pStyle w:val="225"/>
                    <w:spacing w:before="0"/>
                    <w:rPr>
                      <w:sz w:val="21"/>
                    </w:rPr>
                  </w:pPr>
                  <w:r>
                    <w:rPr>
                      <w:sz w:val="21"/>
                    </w:rPr>
                    <w:t>镉</w:t>
                  </w:r>
                </w:p>
              </w:tc>
              <w:tc>
                <w:tcPr>
                  <w:tcW w:w="4029" w:type="dxa"/>
                  <w:vAlign w:val="center"/>
                </w:tcPr>
                <w:p w14:paraId="25F44DD5">
                  <w:pPr>
                    <w:pStyle w:val="225"/>
                    <w:spacing w:before="0"/>
                    <w:rPr>
                      <w:sz w:val="21"/>
                    </w:rPr>
                  </w:pPr>
                  <w:r>
                    <w:rPr>
                      <w:sz w:val="21"/>
                    </w:rPr>
                    <w:t>0.005</w:t>
                  </w:r>
                </w:p>
              </w:tc>
            </w:tr>
            <w:tr w14:paraId="7E50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6AED7AC3">
                  <w:pPr>
                    <w:pStyle w:val="225"/>
                    <w:spacing w:before="0"/>
                    <w:rPr>
                      <w:sz w:val="21"/>
                    </w:rPr>
                  </w:pPr>
                  <w:r>
                    <w:rPr>
                      <w:sz w:val="21"/>
                    </w:rPr>
                    <w:t>粪大肠菌群(个/L)</w:t>
                  </w:r>
                </w:p>
              </w:tc>
              <w:tc>
                <w:tcPr>
                  <w:tcW w:w="4029" w:type="dxa"/>
                  <w:vAlign w:val="center"/>
                </w:tcPr>
                <w:p w14:paraId="7C507558">
                  <w:pPr>
                    <w:pStyle w:val="225"/>
                    <w:spacing w:before="0"/>
                    <w:rPr>
                      <w:sz w:val="21"/>
                    </w:rPr>
                  </w:pPr>
                  <w:r>
                    <w:rPr>
                      <w:sz w:val="21"/>
                    </w:rPr>
                    <w:t>10000</w:t>
                  </w:r>
                </w:p>
              </w:tc>
            </w:tr>
            <w:tr w14:paraId="616BA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4F234AF2">
                  <w:pPr>
                    <w:pStyle w:val="225"/>
                    <w:spacing w:before="0"/>
                    <w:rPr>
                      <w:sz w:val="21"/>
                    </w:rPr>
                  </w:pPr>
                  <w:r>
                    <w:rPr>
                      <w:sz w:val="21"/>
                    </w:rPr>
                    <w:t>铅</w:t>
                  </w:r>
                </w:p>
              </w:tc>
              <w:tc>
                <w:tcPr>
                  <w:tcW w:w="4029" w:type="dxa"/>
                  <w:vAlign w:val="center"/>
                </w:tcPr>
                <w:p w14:paraId="30464BA1">
                  <w:pPr>
                    <w:pStyle w:val="225"/>
                    <w:spacing w:before="0"/>
                    <w:rPr>
                      <w:sz w:val="21"/>
                    </w:rPr>
                  </w:pPr>
                  <w:r>
                    <w:rPr>
                      <w:sz w:val="21"/>
                    </w:rPr>
                    <w:t>0.05</w:t>
                  </w:r>
                </w:p>
              </w:tc>
            </w:tr>
            <w:tr w14:paraId="7239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49E46C69">
                  <w:pPr>
                    <w:pStyle w:val="225"/>
                    <w:spacing w:before="0"/>
                    <w:rPr>
                      <w:sz w:val="21"/>
                    </w:rPr>
                  </w:pPr>
                  <w:r>
                    <w:rPr>
                      <w:sz w:val="21"/>
                    </w:rPr>
                    <w:t>氰化物</w:t>
                  </w:r>
                </w:p>
              </w:tc>
              <w:tc>
                <w:tcPr>
                  <w:tcW w:w="4029" w:type="dxa"/>
                  <w:vAlign w:val="center"/>
                </w:tcPr>
                <w:p w14:paraId="53AA13FC">
                  <w:pPr>
                    <w:pStyle w:val="225"/>
                    <w:spacing w:before="0"/>
                    <w:rPr>
                      <w:sz w:val="21"/>
                    </w:rPr>
                  </w:pPr>
                  <w:r>
                    <w:rPr>
                      <w:sz w:val="21"/>
                    </w:rPr>
                    <w:t>0.2</w:t>
                  </w:r>
                </w:p>
              </w:tc>
            </w:tr>
            <w:tr w14:paraId="0308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1414346F">
                  <w:pPr>
                    <w:pStyle w:val="225"/>
                    <w:spacing w:before="0"/>
                    <w:rPr>
                      <w:sz w:val="21"/>
                    </w:rPr>
                  </w:pPr>
                  <w:r>
                    <w:rPr>
                      <w:sz w:val="21"/>
                    </w:rPr>
                    <w:t>挥发酚</w:t>
                  </w:r>
                </w:p>
              </w:tc>
              <w:tc>
                <w:tcPr>
                  <w:tcW w:w="4029" w:type="dxa"/>
                  <w:vAlign w:val="center"/>
                </w:tcPr>
                <w:p w14:paraId="03235CFB">
                  <w:pPr>
                    <w:pStyle w:val="225"/>
                    <w:spacing w:before="0"/>
                    <w:rPr>
                      <w:sz w:val="21"/>
                    </w:rPr>
                  </w:pPr>
                  <w:r>
                    <w:rPr>
                      <w:sz w:val="21"/>
                    </w:rPr>
                    <w:t>0.005</w:t>
                  </w:r>
                </w:p>
              </w:tc>
            </w:tr>
            <w:tr w14:paraId="7EE8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2A50D8A9">
                  <w:pPr>
                    <w:pStyle w:val="225"/>
                    <w:spacing w:before="0"/>
                    <w:rPr>
                      <w:sz w:val="21"/>
                    </w:rPr>
                  </w:pPr>
                  <w:r>
                    <w:rPr>
                      <w:sz w:val="21"/>
                    </w:rPr>
                    <w:t>石油类</w:t>
                  </w:r>
                </w:p>
              </w:tc>
              <w:tc>
                <w:tcPr>
                  <w:tcW w:w="4029" w:type="dxa"/>
                  <w:vAlign w:val="center"/>
                </w:tcPr>
                <w:p w14:paraId="734AE96C">
                  <w:pPr>
                    <w:pStyle w:val="225"/>
                    <w:spacing w:before="0"/>
                    <w:rPr>
                      <w:sz w:val="21"/>
                    </w:rPr>
                  </w:pPr>
                  <w:r>
                    <w:rPr>
                      <w:sz w:val="21"/>
                    </w:rPr>
                    <w:t>0.05</w:t>
                  </w:r>
                </w:p>
              </w:tc>
            </w:tr>
            <w:tr w14:paraId="37B5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1EB60CE1">
                  <w:pPr>
                    <w:pStyle w:val="225"/>
                    <w:spacing w:before="0"/>
                    <w:rPr>
                      <w:sz w:val="21"/>
                    </w:rPr>
                  </w:pPr>
                  <w:r>
                    <w:rPr>
                      <w:sz w:val="21"/>
                    </w:rPr>
                    <w:t>阴离子表面活性剂</w:t>
                  </w:r>
                </w:p>
              </w:tc>
              <w:tc>
                <w:tcPr>
                  <w:tcW w:w="4029" w:type="dxa"/>
                  <w:vAlign w:val="center"/>
                </w:tcPr>
                <w:p w14:paraId="22D3BD80">
                  <w:pPr>
                    <w:pStyle w:val="225"/>
                    <w:spacing w:before="0"/>
                    <w:rPr>
                      <w:sz w:val="21"/>
                    </w:rPr>
                  </w:pPr>
                  <w:r>
                    <w:rPr>
                      <w:sz w:val="21"/>
                    </w:rPr>
                    <w:t>0.2</w:t>
                  </w:r>
                </w:p>
              </w:tc>
            </w:tr>
            <w:tr w14:paraId="4C31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411A9006">
                  <w:pPr>
                    <w:pStyle w:val="225"/>
                    <w:spacing w:before="0"/>
                    <w:rPr>
                      <w:sz w:val="21"/>
                    </w:rPr>
                  </w:pPr>
                  <w:r>
                    <w:rPr>
                      <w:sz w:val="21"/>
                    </w:rPr>
                    <w:t>硫化物</w:t>
                  </w:r>
                </w:p>
              </w:tc>
              <w:tc>
                <w:tcPr>
                  <w:tcW w:w="4029" w:type="dxa"/>
                  <w:vAlign w:val="center"/>
                </w:tcPr>
                <w:p w14:paraId="0B58286E">
                  <w:pPr>
                    <w:pStyle w:val="225"/>
                    <w:spacing w:before="0"/>
                    <w:rPr>
                      <w:sz w:val="21"/>
                    </w:rPr>
                  </w:pPr>
                  <w:r>
                    <w:rPr>
                      <w:sz w:val="21"/>
                    </w:rPr>
                    <w:t>0.2</w:t>
                  </w:r>
                </w:p>
              </w:tc>
            </w:tr>
            <w:tr w14:paraId="3113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6448E48C">
                  <w:pPr>
                    <w:pStyle w:val="225"/>
                    <w:spacing w:before="0"/>
                    <w:rPr>
                      <w:sz w:val="21"/>
                    </w:rPr>
                  </w:pPr>
                  <w:r>
                    <w:rPr>
                      <w:sz w:val="21"/>
                    </w:rPr>
                    <w:t>铬</w:t>
                  </w:r>
                </w:p>
              </w:tc>
              <w:tc>
                <w:tcPr>
                  <w:tcW w:w="4029" w:type="dxa"/>
                  <w:vAlign w:val="center"/>
                </w:tcPr>
                <w:p w14:paraId="7706DAB6">
                  <w:pPr>
                    <w:pStyle w:val="225"/>
                    <w:spacing w:before="0"/>
                    <w:rPr>
                      <w:sz w:val="21"/>
                    </w:rPr>
                  </w:pPr>
                  <w:r>
                    <w:rPr>
                      <w:sz w:val="21"/>
                    </w:rPr>
                    <w:t>0.05</w:t>
                  </w:r>
                </w:p>
              </w:tc>
            </w:tr>
            <w:tr w14:paraId="20AD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 w:type="dxa"/>
                  <w:vAlign w:val="center"/>
                </w:tcPr>
                <w:p w14:paraId="024C82CE">
                  <w:pPr>
                    <w:pStyle w:val="225"/>
                    <w:spacing w:before="0"/>
                    <w:rPr>
                      <w:sz w:val="21"/>
                    </w:rPr>
                  </w:pPr>
                  <w:r>
                    <w:rPr>
                      <w:sz w:val="21"/>
                    </w:rPr>
                    <w:t>五日生化需氧量</w:t>
                  </w:r>
                </w:p>
              </w:tc>
              <w:tc>
                <w:tcPr>
                  <w:tcW w:w="4029" w:type="dxa"/>
                  <w:vAlign w:val="center"/>
                </w:tcPr>
                <w:p w14:paraId="6A28F500">
                  <w:pPr>
                    <w:pStyle w:val="225"/>
                    <w:spacing w:before="0"/>
                    <w:rPr>
                      <w:sz w:val="21"/>
                    </w:rPr>
                  </w:pPr>
                  <w:r>
                    <w:rPr>
                      <w:sz w:val="21"/>
                    </w:rPr>
                    <w:t>4</w:t>
                  </w:r>
                </w:p>
              </w:tc>
            </w:tr>
          </w:tbl>
          <w:p w14:paraId="70144AD5">
            <w:pPr>
              <w:autoSpaceDE w:val="0"/>
              <w:autoSpaceDN w:val="0"/>
              <w:spacing w:before="120" w:beforeLines="50" w:line="360" w:lineRule="auto"/>
              <w:rPr>
                <w:rFonts w:hint="eastAsia"/>
                <w:b/>
                <w:bCs/>
                <w:kern w:val="0"/>
                <w:sz w:val="24"/>
              </w:rPr>
            </w:pPr>
            <w:r>
              <w:rPr>
                <w:rFonts w:hint="eastAsia"/>
                <w:b/>
                <w:bCs/>
                <w:kern w:val="0"/>
                <w:sz w:val="24"/>
              </w:rPr>
              <w:t>3.5.3 声环境质量标准</w:t>
            </w:r>
          </w:p>
          <w:p w14:paraId="22684588">
            <w:pPr>
              <w:spacing w:line="360" w:lineRule="auto"/>
              <w:ind w:firstLine="480" w:firstLineChars="200"/>
              <w:rPr>
                <w:rFonts w:hint="eastAsia"/>
                <w:sz w:val="24"/>
              </w:rPr>
            </w:pPr>
            <w:r>
              <w:rPr>
                <w:rFonts w:hint="eastAsia"/>
                <w:sz w:val="24"/>
              </w:rPr>
              <w:t>本</w:t>
            </w:r>
            <w:r>
              <w:rPr>
                <w:sz w:val="24"/>
              </w:rPr>
              <w:t>项目所在区域为农村地区，执行《声环境质量标准》（GB</w:t>
            </w:r>
            <w:r>
              <w:rPr>
                <w:rFonts w:hint="eastAsia"/>
                <w:sz w:val="24"/>
              </w:rPr>
              <w:t xml:space="preserve"> </w:t>
            </w:r>
            <w:r>
              <w:rPr>
                <w:sz w:val="24"/>
              </w:rPr>
              <w:t>3096-2008）中2类标准</w:t>
            </w:r>
            <w:r>
              <w:rPr>
                <w:rFonts w:hint="eastAsia"/>
                <w:sz w:val="24"/>
              </w:rPr>
              <w:t>，标准限值见下表。</w:t>
            </w:r>
          </w:p>
          <w:p w14:paraId="57378006">
            <w:pPr>
              <w:pStyle w:val="102"/>
              <w:spacing w:beforeLines="0" w:afterLines="0" w:line="360" w:lineRule="auto"/>
              <w:rPr>
                <w:rFonts w:hint="eastAsia"/>
                <w:szCs w:val="24"/>
              </w:rPr>
            </w:pPr>
            <w:r>
              <w:rPr>
                <w:szCs w:val="24"/>
              </w:rPr>
              <w:t>表3</w:t>
            </w:r>
            <w:r>
              <w:rPr>
                <w:rFonts w:hint="eastAsia"/>
                <w:szCs w:val="24"/>
              </w:rPr>
              <w:t>.5.3</w:t>
            </w:r>
            <w:r>
              <w:rPr>
                <w:szCs w:val="24"/>
              </w:rPr>
              <w:t>-</w:t>
            </w:r>
            <w:r>
              <w:rPr>
                <w:rFonts w:hint="eastAsia"/>
                <w:szCs w:val="24"/>
              </w:rPr>
              <w:t xml:space="preserve">1  </w:t>
            </w:r>
            <w:r>
              <w:rPr>
                <w:szCs w:val="24"/>
              </w:rPr>
              <w:t>声环境质量标准</w:t>
            </w:r>
            <w:r>
              <w:rPr>
                <w:rFonts w:hint="eastAsia"/>
                <w:szCs w:val="24"/>
              </w:rPr>
              <w:t xml:space="preserve">    单位：dB(A)</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5"/>
              <w:gridCol w:w="2444"/>
              <w:gridCol w:w="2448"/>
            </w:tblGrid>
            <w:tr w14:paraId="31A8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38" w:type="pct"/>
                  <w:vAlign w:val="center"/>
                </w:tcPr>
                <w:p w14:paraId="1D1C611F">
                  <w:pPr>
                    <w:tabs>
                      <w:tab w:val="center" w:pos="3899"/>
                    </w:tabs>
                    <w:overflowPunct w:val="0"/>
                    <w:autoSpaceDN w:val="0"/>
                    <w:snapToGrid w:val="0"/>
                    <w:jc w:val="center"/>
                  </w:pPr>
                  <w:r>
                    <w:rPr>
                      <w:rFonts w:hint="eastAsia"/>
                      <w:b/>
                      <w:bCs/>
                      <w:kern w:val="0"/>
                    </w:rPr>
                    <w:t>类别</w:t>
                  </w:r>
                </w:p>
              </w:tc>
              <w:tc>
                <w:tcPr>
                  <w:tcW w:w="1429" w:type="pct"/>
                  <w:vAlign w:val="center"/>
                </w:tcPr>
                <w:p w14:paraId="78F989B7">
                  <w:pPr>
                    <w:tabs>
                      <w:tab w:val="center" w:pos="3899"/>
                    </w:tabs>
                    <w:overflowPunct w:val="0"/>
                    <w:autoSpaceDN w:val="0"/>
                    <w:snapToGrid w:val="0"/>
                    <w:jc w:val="center"/>
                    <w:rPr>
                      <w:b/>
                      <w:bCs/>
                      <w:kern w:val="0"/>
                    </w:rPr>
                  </w:pPr>
                  <w:r>
                    <w:rPr>
                      <w:b/>
                      <w:bCs/>
                    </w:rPr>
                    <w:t>昼间</w:t>
                  </w:r>
                </w:p>
              </w:tc>
              <w:tc>
                <w:tcPr>
                  <w:tcW w:w="1432" w:type="pct"/>
                  <w:vAlign w:val="center"/>
                </w:tcPr>
                <w:p w14:paraId="752D14DC">
                  <w:pPr>
                    <w:tabs>
                      <w:tab w:val="center" w:pos="3899"/>
                    </w:tabs>
                    <w:overflowPunct w:val="0"/>
                    <w:autoSpaceDN w:val="0"/>
                    <w:snapToGrid w:val="0"/>
                    <w:jc w:val="center"/>
                    <w:rPr>
                      <w:b/>
                      <w:bCs/>
                      <w:kern w:val="0"/>
                    </w:rPr>
                  </w:pPr>
                  <w:r>
                    <w:rPr>
                      <w:b/>
                      <w:bCs/>
                    </w:rPr>
                    <w:t>夜间</w:t>
                  </w:r>
                </w:p>
              </w:tc>
            </w:tr>
            <w:tr w14:paraId="2C019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38" w:type="pct"/>
                  <w:vAlign w:val="center"/>
                </w:tcPr>
                <w:p w14:paraId="3BF7D0B5">
                  <w:pPr>
                    <w:tabs>
                      <w:tab w:val="center" w:pos="3899"/>
                    </w:tabs>
                    <w:overflowPunct w:val="0"/>
                    <w:autoSpaceDN w:val="0"/>
                    <w:snapToGrid w:val="0"/>
                    <w:jc w:val="center"/>
                  </w:pPr>
                  <w:r>
                    <w:t>2类标准</w:t>
                  </w:r>
                </w:p>
              </w:tc>
              <w:tc>
                <w:tcPr>
                  <w:tcW w:w="1429" w:type="pct"/>
                  <w:vAlign w:val="center"/>
                </w:tcPr>
                <w:p w14:paraId="30607ABA">
                  <w:pPr>
                    <w:tabs>
                      <w:tab w:val="center" w:pos="3899"/>
                    </w:tabs>
                    <w:overflowPunct w:val="0"/>
                    <w:autoSpaceDN w:val="0"/>
                    <w:snapToGrid w:val="0"/>
                    <w:jc w:val="center"/>
                  </w:pPr>
                  <w:r>
                    <w:t>60</w:t>
                  </w:r>
                </w:p>
              </w:tc>
              <w:tc>
                <w:tcPr>
                  <w:tcW w:w="1432" w:type="pct"/>
                  <w:vAlign w:val="center"/>
                </w:tcPr>
                <w:p w14:paraId="42023ABF">
                  <w:pPr>
                    <w:tabs>
                      <w:tab w:val="center" w:pos="3899"/>
                    </w:tabs>
                    <w:overflowPunct w:val="0"/>
                    <w:autoSpaceDN w:val="0"/>
                    <w:snapToGrid w:val="0"/>
                    <w:jc w:val="center"/>
                  </w:pPr>
                  <w:r>
                    <w:rPr>
                      <w:rFonts w:hint="eastAsia"/>
                    </w:rPr>
                    <w:t>5</w:t>
                  </w:r>
                  <w:r>
                    <w:t>0</w:t>
                  </w:r>
                </w:p>
              </w:tc>
            </w:tr>
          </w:tbl>
          <w:p w14:paraId="1E0C43DF">
            <w:pPr>
              <w:autoSpaceDE w:val="0"/>
              <w:autoSpaceDN w:val="0"/>
              <w:spacing w:before="120" w:beforeLines="50" w:line="360" w:lineRule="auto"/>
              <w:rPr>
                <w:rFonts w:hint="eastAsia"/>
                <w:b/>
                <w:bCs/>
                <w:kern w:val="0"/>
                <w:sz w:val="24"/>
              </w:rPr>
            </w:pPr>
            <w:r>
              <w:rPr>
                <w:rFonts w:hint="eastAsia"/>
                <w:b/>
                <w:bCs/>
                <w:kern w:val="0"/>
                <w:sz w:val="24"/>
              </w:rPr>
              <w:t>3.5.4 电磁环境质量标准</w:t>
            </w:r>
          </w:p>
          <w:p w14:paraId="39FC4D20">
            <w:pPr>
              <w:pStyle w:val="212"/>
              <w:ind w:firstLine="480"/>
            </w:pPr>
            <w:r>
              <w:rPr>
                <w:rFonts w:hint="eastAsia"/>
                <w:lang w:val="en-US"/>
              </w:rPr>
              <w:t>本</w:t>
            </w:r>
            <w:r>
              <w:t>项目工频电场强度、工频磁感应强度公众曝露控制限值按照《</w:t>
            </w:r>
            <w:bookmarkStart w:id="120" w:name="OLE_LINK52"/>
            <w:r>
              <w:t>电磁环境控制限值</w:t>
            </w:r>
            <w:bookmarkEnd w:id="120"/>
            <w:r>
              <w:t>》（GB</w:t>
            </w:r>
            <w:r>
              <w:rPr>
                <w:rFonts w:hint="eastAsia"/>
                <w:lang w:val="en-US"/>
              </w:rPr>
              <w:t xml:space="preserve"> </w:t>
            </w:r>
            <w:r>
              <w:t>8702-2014）执行，标准</w:t>
            </w:r>
            <w:r>
              <w:rPr>
                <w:rFonts w:hint="eastAsia"/>
              </w:rPr>
              <w:t>限</w:t>
            </w:r>
            <w:r>
              <w:t>值见</w:t>
            </w:r>
            <w:r>
              <w:rPr>
                <w:rFonts w:hint="eastAsia"/>
              </w:rPr>
              <w:t>下表</w:t>
            </w:r>
            <w:r>
              <w:t>。</w:t>
            </w:r>
          </w:p>
          <w:p w14:paraId="240F619E">
            <w:pPr>
              <w:pStyle w:val="12"/>
              <w:spacing w:after="0" w:line="360" w:lineRule="auto"/>
              <w:ind w:left="0" w:leftChars="0"/>
              <w:jc w:val="center"/>
              <w:rPr>
                <w:b/>
                <w:bCs/>
              </w:rPr>
            </w:pPr>
            <w:r>
              <w:rPr>
                <w:b/>
                <w:bCs/>
              </w:rPr>
              <w:t>表3</w:t>
            </w:r>
            <w:r>
              <w:rPr>
                <w:rFonts w:hint="eastAsia"/>
                <w:b/>
                <w:bCs/>
              </w:rPr>
              <w:t xml:space="preserve">.5.4-1  </w:t>
            </w:r>
            <w:r>
              <w:rPr>
                <w:b/>
                <w:bCs/>
              </w:rPr>
              <w:t>电磁环境公众曝露控制限值</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0"/>
              <w:gridCol w:w="2847"/>
              <w:gridCol w:w="2849"/>
            </w:tblGrid>
            <w:tr w14:paraId="391C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60" w:type="dxa"/>
                  <w:vAlign w:val="center"/>
                </w:tcPr>
                <w:p w14:paraId="52034A62">
                  <w:pPr>
                    <w:pStyle w:val="83"/>
                    <w:spacing w:before="24" w:after="24"/>
                    <w:rPr>
                      <w:rFonts w:ascii="Times New Roman"/>
                      <w:b/>
                      <w:bCs/>
                    </w:rPr>
                  </w:pPr>
                  <w:r>
                    <w:rPr>
                      <w:rFonts w:ascii="Times New Roman"/>
                      <w:b/>
                      <w:bCs/>
                    </w:rPr>
                    <w:t>频率范围</w:t>
                  </w:r>
                </w:p>
              </w:tc>
              <w:tc>
                <w:tcPr>
                  <w:tcW w:w="2656" w:type="dxa"/>
                  <w:vAlign w:val="center"/>
                </w:tcPr>
                <w:p w14:paraId="364907EA">
                  <w:pPr>
                    <w:pStyle w:val="83"/>
                    <w:spacing w:before="24" w:after="24"/>
                    <w:rPr>
                      <w:rFonts w:ascii="Times New Roman"/>
                      <w:b/>
                      <w:bCs/>
                    </w:rPr>
                  </w:pPr>
                  <w:r>
                    <w:rPr>
                      <w:rFonts w:ascii="Times New Roman"/>
                      <w:b/>
                      <w:bCs/>
                    </w:rPr>
                    <w:t>电场强度E（V/m）</w:t>
                  </w:r>
                </w:p>
              </w:tc>
              <w:tc>
                <w:tcPr>
                  <w:tcW w:w="2658" w:type="dxa"/>
                  <w:vAlign w:val="center"/>
                </w:tcPr>
                <w:p w14:paraId="1C15E9B6">
                  <w:pPr>
                    <w:pStyle w:val="83"/>
                    <w:spacing w:before="24" w:after="24"/>
                    <w:rPr>
                      <w:rFonts w:ascii="Times New Roman"/>
                      <w:b/>
                      <w:bCs/>
                    </w:rPr>
                  </w:pPr>
                  <w:r>
                    <w:rPr>
                      <w:rFonts w:ascii="Times New Roman"/>
                      <w:b/>
                      <w:bCs/>
                    </w:rPr>
                    <w:t>磁感应强度B（μT）</w:t>
                  </w:r>
                </w:p>
              </w:tc>
            </w:tr>
            <w:tr w14:paraId="6A75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60" w:type="dxa"/>
                  <w:vAlign w:val="center"/>
                </w:tcPr>
                <w:p w14:paraId="52556BCA">
                  <w:pPr>
                    <w:pStyle w:val="83"/>
                    <w:spacing w:before="24" w:after="24"/>
                    <w:rPr>
                      <w:rFonts w:ascii="Times New Roman"/>
                    </w:rPr>
                  </w:pPr>
                  <w:r>
                    <w:rPr>
                      <w:rFonts w:ascii="Times New Roman"/>
                    </w:rPr>
                    <w:t>0.025kHz~1.2kHz</w:t>
                  </w:r>
                </w:p>
              </w:tc>
              <w:tc>
                <w:tcPr>
                  <w:tcW w:w="2656" w:type="dxa"/>
                  <w:vAlign w:val="center"/>
                </w:tcPr>
                <w:p w14:paraId="1591BB2A">
                  <w:pPr>
                    <w:pStyle w:val="83"/>
                    <w:spacing w:before="24" w:after="24"/>
                    <w:rPr>
                      <w:rFonts w:ascii="Times New Roman"/>
                    </w:rPr>
                  </w:pPr>
                  <w:r>
                    <w:rPr>
                      <w:rFonts w:ascii="Times New Roman"/>
                    </w:rPr>
                    <w:t>200/f</w:t>
                  </w:r>
                </w:p>
              </w:tc>
              <w:tc>
                <w:tcPr>
                  <w:tcW w:w="2658" w:type="dxa"/>
                  <w:vAlign w:val="center"/>
                </w:tcPr>
                <w:p w14:paraId="7CAD90D4">
                  <w:pPr>
                    <w:pStyle w:val="83"/>
                    <w:spacing w:before="24" w:after="24"/>
                    <w:rPr>
                      <w:rFonts w:ascii="Times New Roman"/>
                    </w:rPr>
                  </w:pPr>
                  <w:r>
                    <w:rPr>
                      <w:rFonts w:ascii="Times New Roman"/>
                    </w:rPr>
                    <w:t>5/f</w:t>
                  </w:r>
                </w:p>
              </w:tc>
            </w:tr>
            <w:tr w14:paraId="7B060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974" w:type="dxa"/>
                  <w:gridSpan w:val="3"/>
                  <w:vAlign w:val="center"/>
                </w:tcPr>
                <w:p w14:paraId="6EDF00E0">
                  <w:pPr>
                    <w:pStyle w:val="83"/>
                    <w:spacing w:before="24" w:after="24"/>
                    <w:jc w:val="both"/>
                    <w:rPr>
                      <w:rFonts w:ascii="Times New Roman"/>
                    </w:rPr>
                  </w:pPr>
                  <w:r>
                    <w:rPr>
                      <w:rFonts w:ascii="Times New Roman"/>
                    </w:rPr>
                    <w:t>注：1、频率f的取值为0.05kHz。</w:t>
                  </w:r>
                </w:p>
                <w:p w14:paraId="68945E87">
                  <w:pPr>
                    <w:adjustRightInd w:val="0"/>
                    <w:snapToGrid w:val="0"/>
                    <w:ind w:firstLine="630" w:firstLineChars="300"/>
                    <w:jc w:val="left"/>
                  </w:pPr>
                  <w:r>
                    <w:fldChar w:fldCharType="begin"/>
                  </w:r>
                  <w:r>
                    <w:instrText xml:space="preserve">=1\*GB3</w:instrText>
                  </w:r>
                  <w:r>
                    <w:fldChar w:fldCharType="separate"/>
                  </w:r>
                  <w:r>
                    <w:rPr>
                      <w:rFonts w:hint="eastAsia" w:ascii="宋体" w:hAnsi="宋体" w:cs="宋体"/>
                    </w:rPr>
                    <w:t>①</w:t>
                  </w:r>
                  <w:r>
                    <w:fldChar w:fldCharType="end"/>
                  </w:r>
                  <w:r>
                    <w:t>工频电场：以4000V/m作为工频电场强度公众曝露控制限值。</w:t>
                  </w:r>
                </w:p>
                <w:p w14:paraId="5F711568">
                  <w:pPr>
                    <w:adjustRightInd w:val="0"/>
                    <w:snapToGrid w:val="0"/>
                    <w:ind w:firstLine="630" w:firstLineChars="300"/>
                    <w:jc w:val="left"/>
                    <w:rPr>
                      <w:rFonts w:hint="eastAsia"/>
                    </w:rPr>
                  </w:pPr>
                  <w:r>
                    <w:rPr>
                      <w:rFonts w:hint="eastAsia" w:ascii="宋体" w:hAnsi="宋体" w:cs="宋体"/>
                    </w:rPr>
                    <w:t>②</w:t>
                  </w:r>
                  <w:r>
                    <w:t>工频磁场：以100μT作为工频磁感应强度公众曝露控制限值。</w:t>
                  </w:r>
                </w:p>
              </w:tc>
            </w:tr>
          </w:tbl>
          <w:p w14:paraId="15E01D52">
            <w:pPr>
              <w:autoSpaceDE w:val="0"/>
              <w:autoSpaceDN w:val="0"/>
              <w:spacing w:before="120" w:beforeLines="50" w:line="360" w:lineRule="auto"/>
              <w:rPr>
                <w:b/>
                <w:bCs/>
                <w:kern w:val="0"/>
                <w:sz w:val="24"/>
              </w:rPr>
            </w:pPr>
            <w:r>
              <w:rPr>
                <w:b/>
                <w:bCs/>
                <w:kern w:val="0"/>
                <w:sz w:val="24"/>
              </w:rPr>
              <w:t>3.</w:t>
            </w:r>
            <w:r>
              <w:rPr>
                <w:rFonts w:hint="eastAsia"/>
                <w:b/>
                <w:bCs/>
                <w:kern w:val="0"/>
                <w:sz w:val="24"/>
              </w:rPr>
              <w:t>6 排放标准</w:t>
            </w:r>
          </w:p>
          <w:p w14:paraId="76738742">
            <w:pPr>
              <w:spacing w:line="360" w:lineRule="auto"/>
              <w:rPr>
                <w:rFonts w:hint="eastAsia"/>
                <w:b/>
                <w:bCs/>
                <w:kern w:val="0"/>
                <w:sz w:val="24"/>
              </w:rPr>
            </w:pPr>
            <w:r>
              <w:rPr>
                <w:rFonts w:hint="eastAsia"/>
                <w:b/>
                <w:bCs/>
                <w:kern w:val="0"/>
                <w:sz w:val="24"/>
              </w:rPr>
              <w:t>3.6.1 大气污染物排放标准</w:t>
            </w:r>
          </w:p>
          <w:p w14:paraId="6B324507">
            <w:pPr>
              <w:adjustRightInd w:val="0"/>
              <w:snapToGrid w:val="0"/>
              <w:spacing w:line="360" w:lineRule="auto"/>
              <w:ind w:firstLine="480" w:firstLineChars="200"/>
              <w:rPr>
                <w:sz w:val="24"/>
              </w:rPr>
            </w:pPr>
            <w:r>
              <w:rPr>
                <w:sz w:val="24"/>
              </w:rPr>
              <w:t>施工期产生的大气污染物</w:t>
            </w:r>
            <w:r>
              <w:rPr>
                <w:rFonts w:hint="eastAsia"/>
                <w:sz w:val="24"/>
              </w:rPr>
              <w:t>颗粒物</w:t>
            </w:r>
            <w:r>
              <w:rPr>
                <w:sz w:val="24"/>
              </w:rPr>
              <w:t>执行《大气污染物综合排放标准》（GB</w:t>
            </w:r>
            <w:r>
              <w:rPr>
                <w:rFonts w:hint="eastAsia"/>
                <w:sz w:val="24"/>
              </w:rPr>
              <w:t xml:space="preserve"> </w:t>
            </w:r>
            <w:r>
              <w:rPr>
                <w:sz w:val="24"/>
              </w:rPr>
              <w:t>16297-1996）</w:t>
            </w:r>
            <w:r>
              <w:rPr>
                <w:rFonts w:hint="eastAsia"/>
                <w:sz w:val="24"/>
              </w:rPr>
              <w:t>中</w:t>
            </w:r>
            <w:r>
              <w:rPr>
                <w:sz w:val="24"/>
              </w:rPr>
              <w:t>无组织排放</w:t>
            </w:r>
            <w:r>
              <w:rPr>
                <w:rFonts w:hint="eastAsia"/>
                <w:sz w:val="24"/>
              </w:rPr>
              <w:t>监控</w:t>
            </w:r>
            <w:r>
              <w:rPr>
                <w:sz w:val="24"/>
              </w:rPr>
              <w:t>浓度限值</w:t>
            </w:r>
            <w:r>
              <w:rPr>
                <w:rFonts w:hint="eastAsia"/>
                <w:sz w:val="24"/>
              </w:rPr>
              <w:t>，</w:t>
            </w:r>
            <w:r>
              <w:rPr>
                <w:sz w:val="24"/>
              </w:rPr>
              <w:t>排放限值</w:t>
            </w:r>
            <w:r>
              <w:rPr>
                <w:rFonts w:hint="eastAsia"/>
                <w:sz w:val="24"/>
              </w:rPr>
              <w:t>见下表</w:t>
            </w:r>
            <w:r>
              <w:rPr>
                <w:sz w:val="24"/>
              </w:rPr>
              <w:t>。</w:t>
            </w:r>
          </w:p>
          <w:p w14:paraId="630C5AF6">
            <w:pPr>
              <w:pStyle w:val="12"/>
              <w:spacing w:after="0" w:line="360" w:lineRule="auto"/>
              <w:ind w:left="0" w:leftChars="0"/>
              <w:jc w:val="center"/>
              <w:rPr>
                <w:b/>
                <w:bCs/>
              </w:rPr>
            </w:pPr>
            <w:r>
              <w:rPr>
                <w:b/>
                <w:bCs/>
              </w:rPr>
              <w:t>表3</w:t>
            </w:r>
            <w:r>
              <w:rPr>
                <w:rFonts w:hint="eastAsia"/>
                <w:b/>
                <w:bCs/>
              </w:rPr>
              <w:t>.6.1</w:t>
            </w:r>
            <w:r>
              <w:rPr>
                <w:b/>
                <w:bCs/>
              </w:rPr>
              <w:t>-</w:t>
            </w:r>
            <w:r>
              <w:rPr>
                <w:rFonts w:hint="eastAsia"/>
                <w:b/>
                <w:bCs/>
              </w:rPr>
              <w:t xml:space="preserve">1  </w:t>
            </w:r>
            <w:r>
              <w:rPr>
                <w:b/>
                <w:bCs/>
              </w:rPr>
              <w:t>大气污染物综合排放标准</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6"/>
              <w:gridCol w:w="3479"/>
              <w:gridCol w:w="3172"/>
            </w:tblGrid>
            <w:tr w14:paraId="41A8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780" w:type="dxa"/>
                  <w:vMerge w:val="restart"/>
                  <w:noWrap/>
                  <w:vAlign w:val="center"/>
                </w:tcPr>
                <w:p w14:paraId="0FD01A89">
                  <w:pPr>
                    <w:jc w:val="center"/>
                    <w:rPr>
                      <w:b/>
                      <w:bCs/>
                    </w:rPr>
                  </w:pPr>
                  <w:r>
                    <w:rPr>
                      <w:b/>
                      <w:bCs/>
                    </w:rPr>
                    <w:t>污染物</w:t>
                  </w:r>
                </w:p>
              </w:tc>
              <w:tc>
                <w:tcPr>
                  <w:tcW w:w="6240" w:type="dxa"/>
                  <w:gridSpan w:val="2"/>
                  <w:noWrap/>
                  <w:vAlign w:val="center"/>
                </w:tcPr>
                <w:p w14:paraId="1F931C97">
                  <w:pPr>
                    <w:jc w:val="center"/>
                    <w:rPr>
                      <w:b/>
                      <w:bCs/>
                    </w:rPr>
                  </w:pPr>
                  <w:r>
                    <w:rPr>
                      <w:b/>
                      <w:bCs/>
                    </w:rPr>
                    <w:t>无组织排放监控浓度限值</w:t>
                  </w:r>
                </w:p>
              </w:tc>
            </w:tr>
            <w:tr w14:paraId="76B8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780" w:type="dxa"/>
                  <w:vMerge w:val="continue"/>
                  <w:noWrap/>
                  <w:vAlign w:val="center"/>
                </w:tcPr>
                <w:p w14:paraId="37AD944C">
                  <w:pPr>
                    <w:jc w:val="center"/>
                    <w:rPr>
                      <w:b/>
                      <w:bCs/>
                    </w:rPr>
                  </w:pPr>
                </w:p>
              </w:tc>
              <w:tc>
                <w:tcPr>
                  <w:tcW w:w="3264" w:type="dxa"/>
                  <w:tcBorders>
                    <w:right w:val="single" w:color="auto" w:sz="4" w:space="0"/>
                  </w:tcBorders>
                  <w:noWrap/>
                  <w:vAlign w:val="center"/>
                </w:tcPr>
                <w:p w14:paraId="2CE4935A">
                  <w:pPr>
                    <w:jc w:val="center"/>
                    <w:rPr>
                      <w:b/>
                      <w:bCs/>
                    </w:rPr>
                  </w:pPr>
                  <w:r>
                    <w:rPr>
                      <w:b/>
                      <w:bCs/>
                    </w:rPr>
                    <w:t>监控点</w:t>
                  </w:r>
                </w:p>
              </w:tc>
              <w:tc>
                <w:tcPr>
                  <w:tcW w:w="2976" w:type="dxa"/>
                  <w:noWrap/>
                  <w:vAlign w:val="center"/>
                </w:tcPr>
                <w:p w14:paraId="711359BD">
                  <w:pPr>
                    <w:jc w:val="center"/>
                    <w:rPr>
                      <w:b/>
                      <w:bCs/>
                    </w:rPr>
                  </w:pPr>
                  <w:r>
                    <w:rPr>
                      <w:b/>
                      <w:bCs/>
                    </w:rPr>
                    <w:t>浓度mg/m³</w:t>
                  </w:r>
                </w:p>
              </w:tc>
            </w:tr>
            <w:tr w14:paraId="713C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780" w:type="dxa"/>
                  <w:noWrap/>
                  <w:vAlign w:val="center"/>
                </w:tcPr>
                <w:p w14:paraId="75FDC8B3">
                  <w:pPr>
                    <w:jc w:val="center"/>
                  </w:pPr>
                  <w:r>
                    <w:t>颗粒物</w:t>
                  </w:r>
                </w:p>
              </w:tc>
              <w:tc>
                <w:tcPr>
                  <w:tcW w:w="3264" w:type="dxa"/>
                  <w:tcBorders>
                    <w:right w:val="single" w:color="auto" w:sz="4" w:space="0"/>
                  </w:tcBorders>
                  <w:noWrap/>
                  <w:vAlign w:val="center"/>
                </w:tcPr>
                <w:p w14:paraId="33CEF97B">
                  <w:pPr>
                    <w:jc w:val="center"/>
                  </w:pPr>
                  <w:r>
                    <w:t>周界外浓度最高点</w:t>
                  </w:r>
                </w:p>
              </w:tc>
              <w:tc>
                <w:tcPr>
                  <w:tcW w:w="2976" w:type="dxa"/>
                  <w:noWrap/>
                  <w:vAlign w:val="center"/>
                </w:tcPr>
                <w:p w14:paraId="3AFD7751">
                  <w:pPr>
                    <w:jc w:val="center"/>
                  </w:pPr>
                  <w:r>
                    <w:t>1.0</w:t>
                  </w:r>
                </w:p>
              </w:tc>
            </w:tr>
          </w:tbl>
          <w:p w14:paraId="63B5B8BC">
            <w:pPr>
              <w:spacing w:before="120" w:beforeLines="50" w:line="360" w:lineRule="auto"/>
              <w:rPr>
                <w:rFonts w:hint="eastAsia"/>
                <w:b/>
                <w:bCs/>
                <w:kern w:val="0"/>
                <w:sz w:val="24"/>
              </w:rPr>
            </w:pPr>
            <w:bookmarkStart w:id="121" w:name="_Toc31563"/>
            <w:bookmarkStart w:id="122" w:name="_Toc14002"/>
            <w:r>
              <w:rPr>
                <w:rFonts w:hint="eastAsia"/>
                <w:b/>
                <w:bCs/>
                <w:kern w:val="0"/>
                <w:sz w:val="24"/>
              </w:rPr>
              <w:t>3.6.2 噪声</w:t>
            </w:r>
            <w:bookmarkEnd w:id="121"/>
            <w:r>
              <w:rPr>
                <w:rFonts w:hint="eastAsia"/>
                <w:b/>
                <w:bCs/>
                <w:kern w:val="0"/>
                <w:sz w:val="24"/>
              </w:rPr>
              <w:t>排放标准</w:t>
            </w:r>
          </w:p>
          <w:p w14:paraId="7D09152A">
            <w:pPr>
              <w:adjustRightInd w:val="0"/>
              <w:snapToGrid w:val="0"/>
              <w:spacing w:line="360" w:lineRule="auto"/>
              <w:ind w:firstLine="480" w:firstLineChars="200"/>
              <w:rPr>
                <w:sz w:val="24"/>
              </w:rPr>
            </w:pPr>
            <w:r>
              <w:rPr>
                <w:rFonts w:hint="eastAsia"/>
                <w:sz w:val="24"/>
              </w:rPr>
              <w:t>施工期执行《建筑施工噪声排放标准》（GB 12523-2025），</w:t>
            </w:r>
            <w:r>
              <w:rPr>
                <w:sz w:val="24"/>
              </w:rPr>
              <w:t>排放限值</w:t>
            </w:r>
            <w:r>
              <w:rPr>
                <w:rFonts w:hint="eastAsia"/>
                <w:sz w:val="24"/>
              </w:rPr>
              <w:t>见下表</w:t>
            </w:r>
            <w:r>
              <w:rPr>
                <w:sz w:val="24"/>
              </w:rPr>
              <w:t>。</w:t>
            </w:r>
          </w:p>
          <w:p w14:paraId="4B12C07D">
            <w:pPr>
              <w:spacing w:line="360" w:lineRule="auto"/>
              <w:ind w:firstLine="482" w:firstLineChars="200"/>
              <w:jc w:val="center"/>
              <w:rPr>
                <w:b/>
                <w:bCs/>
                <w:sz w:val="24"/>
                <w:szCs w:val="24"/>
              </w:rPr>
            </w:pPr>
            <w:r>
              <w:rPr>
                <w:b/>
                <w:bCs/>
                <w:sz w:val="24"/>
                <w:szCs w:val="24"/>
              </w:rPr>
              <w:t>表3</w:t>
            </w:r>
            <w:r>
              <w:rPr>
                <w:rFonts w:hint="eastAsia"/>
                <w:b/>
                <w:bCs/>
                <w:sz w:val="24"/>
                <w:szCs w:val="24"/>
              </w:rPr>
              <w:t>.6.2</w:t>
            </w:r>
            <w:r>
              <w:rPr>
                <w:b/>
                <w:bCs/>
                <w:sz w:val="24"/>
                <w:szCs w:val="24"/>
              </w:rPr>
              <w:t>-</w:t>
            </w:r>
            <w:r>
              <w:rPr>
                <w:rFonts w:hint="eastAsia"/>
                <w:b/>
                <w:bCs/>
                <w:sz w:val="24"/>
                <w:szCs w:val="24"/>
              </w:rPr>
              <w:t>1  建筑施工</w:t>
            </w:r>
            <w:r>
              <w:rPr>
                <w:b/>
                <w:bCs/>
                <w:sz w:val="24"/>
                <w:szCs w:val="24"/>
              </w:rPr>
              <w:t>噪声排放标准</w:t>
            </w:r>
            <w:r>
              <w:rPr>
                <w:rFonts w:hint="eastAsia"/>
                <w:b/>
                <w:bCs/>
                <w:sz w:val="24"/>
                <w:szCs w:val="24"/>
              </w:rPr>
              <w:t xml:space="preserve">    </w:t>
            </w:r>
            <w:r>
              <w:rPr>
                <w:b/>
                <w:bCs/>
                <w:sz w:val="24"/>
                <w:szCs w:val="24"/>
              </w:rPr>
              <w:t>单位：</w:t>
            </w:r>
            <w:r>
              <w:rPr>
                <w:rFonts w:hint="eastAsia"/>
                <w:b/>
                <w:bCs/>
                <w:sz w:val="24"/>
                <w:szCs w:val="24"/>
              </w:rPr>
              <w:t>dB(A)</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9"/>
              <w:gridCol w:w="2849"/>
              <w:gridCol w:w="2848"/>
            </w:tblGrid>
            <w:tr w14:paraId="1184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66" w:type="pct"/>
                  <w:vAlign w:val="center"/>
                </w:tcPr>
                <w:p w14:paraId="3D0A4488">
                  <w:pPr>
                    <w:adjustRightInd w:val="0"/>
                    <w:snapToGrid w:val="0"/>
                    <w:jc w:val="center"/>
                    <w:rPr>
                      <w:b/>
                      <w:bCs/>
                    </w:rPr>
                  </w:pPr>
                  <w:r>
                    <w:rPr>
                      <w:b/>
                      <w:bCs/>
                    </w:rPr>
                    <w:t>时段</w:t>
                  </w:r>
                </w:p>
              </w:tc>
              <w:tc>
                <w:tcPr>
                  <w:tcW w:w="1667" w:type="pct"/>
                  <w:vAlign w:val="center"/>
                </w:tcPr>
                <w:p w14:paraId="51C9A575">
                  <w:pPr>
                    <w:adjustRightInd w:val="0"/>
                    <w:snapToGrid w:val="0"/>
                    <w:jc w:val="center"/>
                    <w:rPr>
                      <w:b/>
                      <w:bCs/>
                    </w:rPr>
                  </w:pPr>
                  <w:r>
                    <w:rPr>
                      <w:b/>
                      <w:bCs/>
                    </w:rPr>
                    <w:t>昼间</w:t>
                  </w:r>
                </w:p>
              </w:tc>
              <w:tc>
                <w:tcPr>
                  <w:tcW w:w="1666" w:type="pct"/>
                  <w:vAlign w:val="center"/>
                </w:tcPr>
                <w:p w14:paraId="6B7FA905">
                  <w:pPr>
                    <w:adjustRightInd w:val="0"/>
                    <w:snapToGrid w:val="0"/>
                    <w:jc w:val="center"/>
                    <w:rPr>
                      <w:b/>
                      <w:bCs/>
                    </w:rPr>
                  </w:pPr>
                  <w:r>
                    <w:rPr>
                      <w:b/>
                      <w:bCs/>
                    </w:rPr>
                    <w:t>夜间</w:t>
                  </w:r>
                </w:p>
              </w:tc>
            </w:tr>
            <w:tr w14:paraId="10CC8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66" w:type="pct"/>
                  <w:vAlign w:val="center"/>
                </w:tcPr>
                <w:p w14:paraId="24D5C7A8">
                  <w:pPr>
                    <w:adjustRightInd w:val="0"/>
                    <w:snapToGrid w:val="0"/>
                    <w:jc w:val="center"/>
                  </w:pPr>
                  <w:r>
                    <w:t>标准值</w:t>
                  </w:r>
                </w:p>
              </w:tc>
              <w:tc>
                <w:tcPr>
                  <w:tcW w:w="1667" w:type="pct"/>
                  <w:vAlign w:val="center"/>
                </w:tcPr>
                <w:p w14:paraId="466657BF">
                  <w:pPr>
                    <w:adjustRightInd w:val="0"/>
                    <w:snapToGrid w:val="0"/>
                    <w:jc w:val="center"/>
                  </w:pPr>
                  <w:r>
                    <w:t>70</w:t>
                  </w:r>
                </w:p>
              </w:tc>
              <w:tc>
                <w:tcPr>
                  <w:tcW w:w="1666" w:type="pct"/>
                  <w:vAlign w:val="center"/>
                </w:tcPr>
                <w:p w14:paraId="59043E67">
                  <w:pPr>
                    <w:adjustRightInd w:val="0"/>
                    <w:snapToGrid w:val="0"/>
                    <w:jc w:val="center"/>
                  </w:pPr>
                  <w:r>
                    <w:t>55</w:t>
                  </w:r>
                </w:p>
              </w:tc>
            </w:tr>
          </w:tbl>
          <w:p w14:paraId="6B26978A">
            <w:pPr>
              <w:adjustRightInd w:val="0"/>
              <w:snapToGrid w:val="0"/>
              <w:spacing w:line="360" w:lineRule="auto"/>
              <w:ind w:firstLine="480" w:firstLineChars="200"/>
              <w:rPr>
                <w:sz w:val="24"/>
              </w:rPr>
            </w:pPr>
            <w:r>
              <w:rPr>
                <w:sz w:val="24"/>
              </w:rPr>
              <w:t>运营期执行《工业企业厂界环境噪声排放标准》（GB</w:t>
            </w:r>
            <w:r>
              <w:rPr>
                <w:rFonts w:hint="eastAsia"/>
                <w:sz w:val="24"/>
              </w:rPr>
              <w:t xml:space="preserve"> </w:t>
            </w:r>
            <w:r>
              <w:rPr>
                <w:sz w:val="24"/>
              </w:rPr>
              <w:t>12348-2008）2类标准</w:t>
            </w:r>
            <w:r>
              <w:rPr>
                <w:rFonts w:hint="eastAsia"/>
                <w:sz w:val="24"/>
              </w:rPr>
              <w:t>，</w:t>
            </w:r>
            <w:r>
              <w:rPr>
                <w:sz w:val="24"/>
              </w:rPr>
              <w:t>排放限值</w:t>
            </w:r>
            <w:r>
              <w:rPr>
                <w:rFonts w:hint="eastAsia"/>
                <w:sz w:val="24"/>
              </w:rPr>
              <w:t>见下表</w:t>
            </w:r>
            <w:r>
              <w:rPr>
                <w:sz w:val="24"/>
              </w:rPr>
              <w:t>。</w:t>
            </w:r>
          </w:p>
          <w:p w14:paraId="6D70D257">
            <w:pPr>
              <w:spacing w:line="360" w:lineRule="auto"/>
              <w:ind w:firstLine="482" w:firstLineChars="200"/>
              <w:jc w:val="center"/>
              <w:rPr>
                <w:b/>
                <w:bCs/>
                <w:sz w:val="24"/>
                <w:szCs w:val="24"/>
              </w:rPr>
            </w:pPr>
            <w:r>
              <w:rPr>
                <w:b/>
                <w:bCs/>
                <w:sz w:val="24"/>
                <w:szCs w:val="24"/>
              </w:rPr>
              <w:t>表3</w:t>
            </w:r>
            <w:r>
              <w:rPr>
                <w:rFonts w:hint="eastAsia"/>
                <w:b/>
                <w:bCs/>
                <w:sz w:val="24"/>
                <w:szCs w:val="24"/>
              </w:rPr>
              <w:t xml:space="preserve">.6.2-2  </w:t>
            </w:r>
            <w:r>
              <w:rPr>
                <w:b/>
                <w:bCs/>
                <w:sz w:val="24"/>
                <w:szCs w:val="24"/>
              </w:rPr>
              <w:t>工业企业厂界环境噪声排放</w:t>
            </w:r>
            <w:r>
              <w:rPr>
                <w:rFonts w:hint="eastAsia"/>
                <w:b/>
                <w:bCs/>
                <w:sz w:val="24"/>
                <w:szCs w:val="24"/>
              </w:rPr>
              <w:t xml:space="preserve">    </w:t>
            </w:r>
            <w:r>
              <w:rPr>
                <w:b/>
                <w:bCs/>
                <w:sz w:val="24"/>
                <w:szCs w:val="24"/>
              </w:rPr>
              <w:t>标准</w:t>
            </w:r>
            <w:r>
              <w:rPr>
                <w:rFonts w:hint="eastAsia"/>
                <w:b/>
                <w:bCs/>
                <w:sz w:val="24"/>
                <w:szCs w:val="24"/>
              </w:rPr>
              <w:t>单位：dB(A)</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9"/>
              <w:gridCol w:w="2849"/>
              <w:gridCol w:w="2848"/>
            </w:tblGrid>
            <w:tr w14:paraId="107E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66" w:type="pct"/>
                  <w:vAlign w:val="center"/>
                </w:tcPr>
                <w:p w14:paraId="14082FF3">
                  <w:pPr>
                    <w:adjustRightInd w:val="0"/>
                    <w:snapToGrid w:val="0"/>
                    <w:jc w:val="center"/>
                    <w:rPr>
                      <w:b/>
                      <w:bCs/>
                    </w:rPr>
                  </w:pPr>
                  <w:r>
                    <w:rPr>
                      <w:b/>
                      <w:bCs/>
                    </w:rPr>
                    <w:t>时段</w:t>
                  </w:r>
                </w:p>
              </w:tc>
              <w:tc>
                <w:tcPr>
                  <w:tcW w:w="1667" w:type="pct"/>
                  <w:vAlign w:val="center"/>
                </w:tcPr>
                <w:p w14:paraId="417684FB">
                  <w:pPr>
                    <w:adjustRightInd w:val="0"/>
                    <w:snapToGrid w:val="0"/>
                    <w:jc w:val="center"/>
                    <w:rPr>
                      <w:b/>
                      <w:bCs/>
                    </w:rPr>
                  </w:pPr>
                  <w:r>
                    <w:rPr>
                      <w:b/>
                      <w:bCs/>
                    </w:rPr>
                    <w:t>昼间</w:t>
                  </w:r>
                </w:p>
              </w:tc>
              <w:tc>
                <w:tcPr>
                  <w:tcW w:w="1666" w:type="pct"/>
                  <w:vAlign w:val="center"/>
                </w:tcPr>
                <w:p w14:paraId="319ACD4E">
                  <w:pPr>
                    <w:adjustRightInd w:val="0"/>
                    <w:snapToGrid w:val="0"/>
                    <w:jc w:val="center"/>
                    <w:rPr>
                      <w:b/>
                      <w:bCs/>
                    </w:rPr>
                  </w:pPr>
                  <w:r>
                    <w:rPr>
                      <w:b/>
                      <w:bCs/>
                    </w:rPr>
                    <w:t>夜间</w:t>
                  </w:r>
                </w:p>
              </w:tc>
            </w:tr>
            <w:tr w14:paraId="5B31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66" w:type="pct"/>
                  <w:vAlign w:val="center"/>
                </w:tcPr>
                <w:p w14:paraId="441062D0">
                  <w:pPr>
                    <w:adjustRightInd w:val="0"/>
                    <w:snapToGrid w:val="0"/>
                    <w:jc w:val="center"/>
                  </w:pPr>
                  <w:r>
                    <w:t>标准值</w:t>
                  </w:r>
                </w:p>
              </w:tc>
              <w:tc>
                <w:tcPr>
                  <w:tcW w:w="1667" w:type="pct"/>
                  <w:vAlign w:val="center"/>
                </w:tcPr>
                <w:p w14:paraId="78E9EB0C">
                  <w:pPr>
                    <w:adjustRightInd w:val="0"/>
                    <w:snapToGrid w:val="0"/>
                    <w:jc w:val="center"/>
                  </w:pPr>
                  <w:r>
                    <w:t>60</w:t>
                  </w:r>
                </w:p>
              </w:tc>
              <w:tc>
                <w:tcPr>
                  <w:tcW w:w="1666" w:type="pct"/>
                  <w:vAlign w:val="center"/>
                </w:tcPr>
                <w:p w14:paraId="79D544E9">
                  <w:pPr>
                    <w:adjustRightInd w:val="0"/>
                    <w:snapToGrid w:val="0"/>
                    <w:jc w:val="center"/>
                  </w:pPr>
                  <w:r>
                    <w:t>50</w:t>
                  </w:r>
                </w:p>
              </w:tc>
            </w:tr>
          </w:tbl>
          <w:p w14:paraId="56988582">
            <w:pPr>
              <w:spacing w:before="120" w:beforeLines="50" w:line="360" w:lineRule="auto"/>
              <w:rPr>
                <w:rFonts w:hint="eastAsia"/>
                <w:b/>
                <w:bCs/>
                <w:kern w:val="0"/>
                <w:sz w:val="24"/>
              </w:rPr>
            </w:pPr>
            <w:r>
              <w:rPr>
                <w:rFonts w:hint="eastAsia"/>
                <w:b/>
                <w:bCs/>
                <w:kern w:val="0"/>
                <w:sz w:val="24"/>
              </w:rPr>
              <w:t>3.6.3 水污染物排放标准</w:t>
            </w:r>
          </w:p>
          <w:p w14:paraId="442ECF8D">
            <w:pPr>
              <w:spacing w:line="360" w:lineRule="auto"/>
              <w:ind w:firstLine="480" w:firstLineChars="200"/>
              <w:rPr>
                <w:sz w:val="24"/>
              </w:rPr>
            </w:pPr>
            <w:r>
              <w:rPr>
                <w:rFonts w:hint="eastAsia"/>
                <w:sz w:val="24"/>
              </w:rPr>
              <w:t>本项目施工期废污水经处理后全部回用，生产废水经处理后回用于施工生产，现场施工人员粪便污水和清洗废水经收集后，定期清掏用作农肥。</w:t>
            </w:r>
          </w:p>
          <w:p w14:paraId="4D7E0B55">
            <w:pPr>
              <w:spacing w:line="360" w:lineRule="auto"/>
              <w:ind w:firstLine="480" w:firstLineChars="200"/>
              <w:rPr>
                <w:sz w:val="24"/>
              </w:rPr>
            </w:pPr>
            <w:r>
              <w:rPr>
                <w:rFonts w:hint="eastAsia"/>
                <w:sz w:val="24"/>
              </w:rPr>
              <w:t>运营期，运营人员产生的生活废水进入以礼河电厂三级电站内新建的一体化污水处理设备（以新代老）。废水处理达《污水综合排放标准》（GB</w:t>
            </w:r>
            <w:r>
              <w:rPr>
                <w:sz w:val="24"/>
              </w:rPr>
              <w:t xml:space="preserve"> </w:t>
            </w:r>
            <w:r>
              <w:rPr>
                <w:rFonts w:hint="eastAsia"/>
                <w:sz w:val="24"/>
              </w:rPr>
              <w:t>8978-1996）后进入中水池，不外排；回用于绿化、降尘时，应满足《城市污水再生利用 城市杂用水水质》（GB/T</w:t>
            </w:r>
            <w:r>
              <w:rPr>
                <w:sz w:val="24"/>
              </w:rPr>
              <w:t xml:space="preserve"> </w:t>
            </w:r>
            <w:r>
              <w:rPr>
                <w:rFonts w:hint="eastAsia"/>
                <w:sz w:val="24"/>
              </w:rPr>
              <w:t>18920-2020）绿化标准。</w:t>
            </w:r>
          </w:p>
          <w:p w14:paraId="65D55DA1">
            <w:pPr>
              <w:spacing w:line="360" w:lineRule="auto"/>
              <w:ind w:firstLine="480" w:firstLineChars="200"/>
              <w:rPr>
                <w:sz w:val="24"/>
              </w:rPr>
            </w:pPr>
          </w:p>
          <w:p w14:paraId="5E966502">
            <w:pPr>
              <w:spacing w:line="360" w:lineRule="auto"/>
              <w:ind w:firstLine="482" w:firstLineChars="200"/>
              <w:rPr>
                <w:rFonts w:hint="eastAsia"/>
                <w:b/>
                <w:bCs/>
                <w:sz w:val="24"/>
                <w:szCs w:val="24"/>
              </w:rPr>
            </w:pPr>
          </w:p>
          <w:p w14:paraId="71C9E8A7">
            <w:pPr>
              <w:spacing w:line="360" w:lineRule="auto"/>
              <w:ind w:firstLine="482" w:firstLineChars="200"/>
              <w:jc w:val="center"/>
              <w:rPr>
                <w:b/>
                <w:bCs/>
                <w:sz w:val="24"/>
                <w:szCs w:val="24"/>
              </w:rPr>
            </w:pPr>
            <w:r>
              <w:rPr>
                <w:rFonts w:hint="eastAsia"/>
                <w:b/>
                <w:bCs/>
                <w:sz w:val="24"/>
                <w:szCs w:val="24"/>
              </w:rPr>
              <w:t>表3.6.3-1  《城市污水再生利用 城市杂用水水质》标准值</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12"/>
              <w:gridCol w:w="3872"/>
              <w:gridCol w:w="1180"/>
              <w:gridCol w:w="2284"/>
            </w:tblGrid>
            <w:tr w14:paraId="7A10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709" w:type="pct"/>
                  <w:vAlign w:val="center"/>
                </w:tcPr>
                <w:p w14:paraId="267BB970">
                  <w:pPr>
                    <w:adjustRightInd w:val="0"/>
                    <w:snapToGrid w:val="0"/>
                    <w:jc w:val="center"/>
                    <w:rPr>
                      <w:b/>
                      <w:bCs/>
                    </w:rPr>
                  </w:pPr>
                  <w:r>
                    <w:rPr>
                      <w:b/>
                      <w:bCs/>
                    </w:rPr>
                    <w:t>序号</w:t>
                  </w:r>
                </w:p>
              </w:tc>
              <w:tc>
                <w:tcPr>
                  <w:tcW w:w="2955" w:type="pct"/>
                  <w:gridSpan w:val="2"/>
                  <w:vAlign w:val="center"/>
                </w:tcPr>
                <w:p w14:paraId="561272CE">
                  <w:pPr>
                    <w:adjustRightInd w:val="0"/>
                    <w:snapToGrid w:val="0"/>
                    <w:jc w:val="center"/>
                    <w:rPr>
                      <w:b/>
                      <w:bCs/>
                    </w:rPr>
                  </w:pPr>
                  <w:r>
                    <w:rPr>
                      <w:b/>
                      <w:bCs/>
                    </w:rPr>
                    <w:t>项目</w:t>
                  </w:r>
                </w:p>
              </w:tc>
              <w:tc>
                <w:tcPr>
                  <w:tcW w:w="1337" w:type="pct"/>
                  <w:vAlign w:val="center"/>
                </w:tcPr>
                <w:p w14:paraId="6CE9D755">
                  <w:pPr>
                    <w:adjustRightInd w:val="0"/>
                    <w:snapToGrid w:val="0"/>
                    <w:jc w:val="center"/>
                    <w:rPr>
                      <w:rFonts w:hint="eastAsia"/>
                      <w:b/>
                      <w:bCs/>
                    </w:rPr>
                  </w:pPr>
                  <w:r>
                    <w:rPr>
                      <w:b/>
                      <w:bCs/>
                    </w:rPr>
                    <w:t>城市绿化</w:t>
                  </w:r>
                  <w:r>
                    <w:rPr>
                      <w:rFonts w:hint="eastAsia"/>
                      <w:b/>
                      <w:bCs/>
                    </w:rPr>
                    <w:t>、道路</w:t>
                  </w:r>
                  <w:r>
                    <w:rPr>
                      <w:b/>
                      <w:bCs/>
                    </w:rPr>
                    <w:t>清扫</w:t>
                  </w:r>
                </w:p>
              </w:tc>
            </w:tr>
            <w:tr w14:paraId="7596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709" w:type="pct"/>
                  <w:vAlign w:val="center"/>
                </w:tcPr>
                <w:p w14:paraId="6B7FB455">
                  <w:pPr>
                    <w:adjustRightInd w:val="0"/>
                    <w:snapToGrid w:val="0"/>
                    <w:jc w:val="center"/>
                    <w:rPr>
                      <w:kern w:val="0"/>
                      <w:szCs w:val="20"/>
                    </w:rPr>
                  </w:pPr>
                  <w:r>
                    <w:rPr>
                      <w:kern w:val="0"/>
                      <w:szCs w:val="20"/>
                    </w:rPr>
                    <w:t>1</w:t>
                  </w:r>
                </w:p>
              </w:tc>
              <w:tc>
                <w:tcPr>
                  <w:tcW w:w="2265" w:type="pct"/>
                  <w:vAlign w:val="center"/>
                </w:tcPr>
                <w:p w14:paraId="3D3D10E8">
                  <w:pPr>
                    <w:adjustRightInd w:val="0"/>
                    <w:snapToGrid w:val="0"/>
                    <w:jc w:val="center"/>
                    <w:rPr>
                      <w:kern w:val="0"/>
                      <w:szCs w:val="20"/>
                    </w:rPr>
                  </w:pPr>
                  <w:r>
                    <w:rPr>
                      <w:kern w:val="0"/>
                      <w:szCs w:val="20"/>
                    </w:rPr>
                    <w:t>pH</w:t>
                  </w:r>
                </w:p>
              </w:tc>
              <w:tc>
                <w:tcPr>
                  <w:tcW w:w="690" w:type="pct"/>
                  <w:vAlign w:val="center"/>
                </w:tcPr>
                <w:p w14:paraId="72CF7190">
                  <w:pPr>
                    <w:adjustRightInd w:val="0"/>
                    <w:snapToGrid w:val="0"/>
                    <w:jc w:val="center"/>
                    <w:rPr>
                      <w:kern w:val="0"/>
                      <w:szCs w:val="20"/>
                    </w:rPr>
                  </w:pPr>
                  <w:r>
                    <w:rPr>
                      <w:rFonts w:hint="eastAsia"/>
                      <w:kern w:val="0"/>
                      <w:szCs w:val="20"/>
                    </w:rPr>
                    <w:t>/</w:t>
                  </w:r>
                </w:p>
              </w:tc>
              <w:tc>
                <w:tcPr>
                  <w:tcW w:w="1337" w:type="pct"/>
                  <w:vAlign w:val="center"/>
                </w:tcPr>
                <w:p w14:paraId="4205591C">
                  <w:pPr>
                    <w:adjustRightInd w:val="0"/>
                    <w:snapToGrid w:val="0"/>
                    <w:jc w:val="center"/>
                    <w:rPr>
                      <w:kern w:val="0"/>
                      <w:szCs w:val="20"/>
                    </w:rPr>
                  </w:pPr>
                  <w:r>
                    <w:rPr>
                      <w:kern w:val="0"/>
                      <w:szCs w:val="20"/>
                    </w:rPr>
                    <w:t>6.0~9.0</w:t>
                  </w:r>
                </w:p>
              </w:tc>
            </w:tr>
            <w:tr w14:paraId="1FB1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709" w:type="pct"/>
                  <w:vAlign w:val="center"/>
                </w:tcPr>
                <w:p w14:paraId="60C8169B">
                  <w:pPr>
                    <w:adjustRightInd w:val="0"/>
                    <w:snapToGrid w:val="0"/>
                    <w:jc w:val="center"/>
                    <w:rPr>
                      <w:kern w:val="0"/>
                      <w:szCs w:val="20"/>
                    </w:rPr>
                  </w:pPr>
                  <w:r>
                    <w:rPr>
                      <w:kern w:val="0"/>
                      <w:szCs w:val="20"/>
                    </w:rPr>
                    <w:t>2</w:t>
                  </w:r>
                </w:p>
              </w:tc>
              <w:tc>
                <w:tcPr>
                  <w:tcW w:w="2265" w:type="pct"/>
                  <w:vAlign w:val="center"/>
                </w:tcPr>
                <w:p w14:paraId="4608042B">
                  <w:pPr>
                    <w:adjustRightInd w:val="0"/>
                    <w:snapToGrid w:val="0"/>
                    <w:jc w:val="center"/>
                    <w:rPr>
                      <w:kern w:val="0"/>
                      <w:szCs w:val="20"/>
                    </w:rPr>
                  </w:pPr>
                  <w:r>
                    <w:rPr>
                      <w:kern w:val="0"/>
                      <w:szCs w:val="20"/>
                    </w:rPr>
                    <w:t>色（度）</w:t>
                  </w:r>
                </w:p>
              </w:tc>
              <w:tc>
                <w:tcPr>
                  <w:tcW w:w="690" w:type="pct"/>
                  <w:vAlign w:val="center"/>
                </w:tcPr>
                <w:p w14:paraId="7EA15AA5">
                  <w:pPr>
                    <w:adjustRightInd w:val="0"/>
                    <w:snapToGrid w:val="0"/>
                    <w:jc w:val="center"/>
                    <w:rPr>
                      <w:kern w:val="0"/>
                      <w:szCs w:val="20"/>
                    </w:rPr>
                  </w:pPr>
                  <w:r>
                    <w:rPr>
                      <w:kern w:val="0"/>
                      <w:szCs w:val="20"/>
                    </w:rPr>
                    <w:t>≤</w:t>
                  </w:r>
                </w:p>
              </w:tc>
              <w:tc>
                <w:tcPr>
                  <w:tcW w:w="1337" w:type="pct"/>
                  <w:vAlign w:val="center"/>
                </w:tcPr>
                <w:p w14:paraId="4B82D834">
                  <w:pPr>
                    <w:adjustRightInd w:val="0"/>
                    <w:snapToGrid w:val="0"/>
                    <w:jc w:val="center"/>
                    <w:rPr>
                      <w:kern w:val="0"/>
                      <w:szCs w:val="20"/>
                    </w:rPr>
                  </w:pPr>
                  <w:r>
                    <w:rPr>
                      <w:kern w:val="0"/>
                      <w:szCs w:val="20"/>
                    </w:rPr>
                    <w:t>30</w:t>
                  </w:r>
                </w:p>
              </w:tc>
            </w:tr>
            <w:tr w14:paraId="4379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709" w:type="pct"/>
                  <w:vAlign w:val="center"/>
                </w:tcPr>
                <w:p w14:paraId="128C9E96">
                  <w:pPr>
                    <w:adjustRightInd w:val="0"/>
                    <w:snapToGrid w:val="0"/>
                    <w:jc w:val="center"/>
                    <w:rPr>
                      <w:kern w:val="0"/>
                      <w:szCs w:val="20"/>
                    </w:rPr>
                  </w:pPr>
                  <w:r>
                    <w:rPr>
                      <w:kern w:val="0"/>
                      <w:szCs w:val="20"/>
                    </w:rPr>
                    <w:t>3</w:t>
                  </w:r>
                </w:p>
              </w:tc>
              <w:tc>
                <w:tcPr>
                  <w:tcW w:w="2265" w:type="pct"/>
                  <w:vAlign w:val="center"/>
                </w:tcPr>
                <w:p w14:paraId="039FC719">
                  <w:pPr>
                    <w:adjustRightInd w:val="0"/>
                    <w:snapToGrid w:val="0"/>
                    <w:jc w:val="center"/>
                    <w:rPr>
                      <w:kern w:val="0"/>
                      <w:szCs w:val="20"/>
                    </w:rPr>
                  </w:pPr>
                  <w:r>
                    <w:rPr>
                      <w:kern w:val="0"/>
                      <w:szCs w:val="20"/>
                    </w:rPr>
                    <w:t>嗅</w:t>
                  </w:r>
                </w:p>
              </w:tc>
              <w:tc>
                <w:tcPr>
                  <w:tcW w:w="690" w:type="pct"/>
                  <w:vAlign w:val="center"/>
                </w:tcPr>
                <w:p w14:paraId="5310C63C">
                  <w:pPr>
                    <w:adjustRightInd w:val="0"/>
                    <w:snapToGrid w:val="0"/>
                    <w:jc w:val="center"/>
                    <w:rPr>
                      <w:rFonts w:hint="eastAsia"/>
                      <w:kern w:val="0"/>
                      <w:szCs w:val="20"/>
                    </w:rPr>
                  </w:pPr>
                  <w:r>
                    <w:rPr>
                      <w:rFonts w:hint="eastAsia"/>
                      <w:kern w:val="0"/>
                      <w:szCs w:val="20"/>
                    </w:rPr>
                    <w:t>/</w:t>
                  </w:r>
                </w:p>
              </w:tc>
              <w:tc>
                <w:tcPr>
                  <w:tcW w:w="1337" w:type="pct"/>
                </w:tcPr>
                <w:p w14:paraId="667CAFE5">
                  <w:pPr>
                    <w:adjustRightInd w:val="0"/>
                    <w:snapToGrid w:val="0"/>
                    <w:jc w:val="center"/>
                    <w:rPr>
                      <w:kern w:val="0"/>
                      <w:szCs w:val="20"/>
                    </w:rPr>
                  </w:pPr>
                  <w:r>
                    <w:rPr>
                      <w:kern w:val="0"/>
                      <w:szCs w:val="20"/>
                    </w:rPr>
                    <w:t>无不快感</w:t>
                  </w:r>
                </w:p>
              </w:tc>
            </w:tr>
            <w:tr w14:paraId="35F9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709" w:type="pct"/>
                  <w:vAlign w:val="center"/>
                </w:tcPr>
                <w:p w14:paraId="6CBA4698">
                  <w:pPr>
                    <w:adjustRightInd w:val="0"/>
                    <w:snapToGrid w:val="0"/>
                    <w:jc w:val="center"/>
                    <w:rPr>
                      <w:kern w:val="0"/>
                      <w:szCs w:val="20"/>
                    </w:rPr>
                  </w:pPr>
                  <w:r>
                    <w:rPr>
                      <w:kern w:val="0"/>
                      <w:szCs w:val="20"/>
                    </w:rPr>
                    <w:t>4</w:t>
                  </w:r>
                </w:p>
              </w:tc>
              <w:tc>
                <w:tcPr>
                  <w:tcW w:w="2265" w:type="pct"/>
                  <w:vAlign w:val="center"/>
                </w:tcPr>
                <w:p w14:paraId="2A88F622">
                  <w:pPr>
                    <w:adjustRightInd w:val="0"/>
                    <w:snapToGrid w:val="0"/>
                    <w:jc w:val="center"/>
                    <w:rPr>
                      <w:kern w:val="0"/>
                      <w:szCs w:val="20"/>
                    </w:rPr>
                  </w:pPr>
                  <w:r>
                    <w:rPr>
                      <w:kern w:val="0"/>
                      <w:szCs w:val="20"/>
                    </w:rPr>
                    <w:t>浊度(NTU)</w:t>
                  </w:r>
                </w:p>
              </w:tc>
              <w:tc>
                <w:tcPr>
                  <w:tcW w:w="690" w:type="pct"/>
                  <w:vAlign w:val="center"/>
                </w:tcPr>
                <w:p w14:paraId="4606D873">
                  <w:pPr>
                    <w:adjustRightInd w:val="0"/>
                    <w:snapToGrid w:val="0"/>
                    <w:jc w:val="center"/>
                    <w:rPr>
                      <w:kern w:val="0"/>
                      <w:szCs w:val="20"/>
                    </w:rPr>
                  </w:pPr>
                  <w:r>
                    <w:rPr>
                      <w:kern w:val="0"/>
                      <w:szCs w:val="20"/>
                    </w:rPr>
                    <w:t>≤</w:t>
                  </w:r>
                </w:p>
              </w:tc>
              <w:tc>
                <w:tcPr>
                  <w:tcW w:w="1337" w:type="pct"/>
                  <w:vAlign w:val="center"/>
                </w:tcPr>
                <w:p w14:paraId="2EBBD746">
                  <w:pPr>
                    <w:adjustRightInd w:val="0"/>
                    <w:snapToGrid w:val="0"/>
                    <w:jc w:val="center"/>
                    <w:rPr>
                      <w:kern w:val="0"/>
                      <w:szCs w:val="20"/>
                    </w:rPr>
                  </w:pPr>
                  <w:r>
                    <w:rPr>
                      <w:kern w:val="0"/>
                      <w:szCs w:val="20"/>
                    </w:rPr>
                    <w:t>10</w:t>
                  </w:r>
                </w:p>
              </w:tc>
            </w:tr>
            <w:tr w14:paraId="1385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709" w:type="pct"/>
                  <w:vAlign w:val="center"/>
                </w:tcPr>
                <w:p w14:paraId="19ECC867">
                  <w:pPr>
                    <w:adjustRightInd w:val="0"/>
                    <w:snapToGrid w:val="0"/>
                    <w:jc w:val="center"/>
                    <w:rPr>
                      <w:kern w:val="0"/>
                      <w:szCs w:val="20"/>
                    </w:rPr>
                  </w:pPr>
                  <w:r>
                    <w:rPr>
                      <w:kern w:val="0"/>
                      <w:szCs w:val="20"/>
                    </w:rPr>
                    <w:t>5</w:t>
                  </w:r>
                </w:p>
              </w:tc>
              <w:tc>
                <w:tcPr>
                  <w:tcW w:w="2265" w:type="pct"/>
                  <w:vAlign w:val="center"/>
                </w:tcPr>
                <w:p w14:paraId="77A939FA">
                  <w:pPr>
                    <w:adjustRightInd w:val="0"/>
                    <w:snapToGrid w:val="0"/>
                    <w:jc w:val="center"/>
                    <w:rPr>
                      <w:kern w:val="0"/>
                      <w:szCs w:val="20"/>
                    </w:rPr>
                  </w:pPr>
                  <w:r>
                    <w:rPr>
                      <w:kern w:val="0"/>
                      <w:szCs w:val="20"/>
                    </w:rPr>
                    <w:t>溶解性总固体(mg/L)</w:t>
                  </w:r>
                </w:p>
              </w:tc>
              <w:tc>
                <w:tcPr>
                  <w:tcW w:w="690" w:type="pct"/>
                  <w:vAlign w:val="center"/>
                </w:tcPr>
                <w:p w14:paraId="25D8FDEF">
                  <w:pPr>
                    <w:adjustRightInd w:val="0"/>
                    <w:snapToGrid w:val="0"/>
                    <w:jc w:val="center"/>
                    <w:rPr>
                      <w:kern w:val="0"/>
                      <w:szCs w:val="20"/>
                    </w:rPr>
                  </w:pPr>
                  <w:r>
                    <w:rPr>
                      <w:kern w:val="0"/>
                      <w:szCs w:val="20"/>
                    </w:rPr>
                    <w:t>≤</w:t>
                  </w:r>
                </w:p>
              </w:tc>
              <w:tc>
                <w:tcPr>
                  <w:tcW w:w="1337" w:type="pct"/>
                  <w:vAlign w:val="center"/>
                </w:tcPr>
                <w:p w14:paraId="6E9DB48F">
                  <w:pPr>
                    <w:adjustRightInd w:val="0"/>
                    <w:snapToGrid w:val="0"/>
                    <w:jc w:val="center"/>
                    <w:rPr>
                      <w:kern w:val="0"/>
                      <w:szCs w:val="20"/>
                    </w:rPr>
                  </w:pPr>
                  <w:r>
                    <w:rPr>
                      <w:kern w:val="0"/>
                      <w:szCs w:val="20"/>
                    </w:rPr>
                    <w:t>1000</w:t>
                  </w:r>
                </w:p>
              </w:tc>
            </w:tr>
            <w:tr w14:paraId="7F06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709" w:type="pct"/>
                  <w:vAlign w:val="center"/>
                </w:tcPr>
                <w:p w14:paraId="267F0869">
                  <w:pPr>
                    <w:adjustRightInd w:val="0"/>
                    <w:snapToGrid w:val="0"/>
                    <w:jc w:val="center"/>
                    <w:rPr>
                      <w:kern w:val="0"/>
                      <w:szCs w:val="20"/>
                    </w:rPr>
                  </w:pPr>
                  <w:r>
                    <w:rPr>
                      <w:kern w:val="0"/>
                      <w:szCs w:val="20"/>
                    </w:rPr>
                    <w:t>6</w:t>
                  </w:r>
                </w:p>
              </w:tc>
              <w:tc>
                <w:tcPr>
                  <w:tcW w:w="2265" w:type="pct"/>
                  <w:vAlign w:val="center"/>
                </w:tcPr>
                <w:p w14:paraId="65305372">
                  <w:pPr>
                    <w:adjustRightInd w:val="0"/>
                    <w:snapToGrid w:val="0"/>
                    <w:jc w:val="center"/>
                    <w:rPr>
                      <w:kern w:val="0"/>
                      <w:szCs w:val="20"/>
                    </w:rPr>
                  </w:pPr>
                  <w:r>
                    <w:rPr>
                      <w:kern w:val="0"/>
                      <w:szCs w:val="20"/>
                    </w:rPr>
                    <w:t>生化需氧量BOD</w:t>
                  </w:r>
                  <w:r>
                    <w:rPr>
                      <w:kern w:val="0"/>
                      <w:szCs w:val="20"/>
                      <w:vertAlign w:val="subscript"/>
                    </w:rPr>
                    <w:t>5</w:t>
                  </w:r>
                  <w:r>
                    <w:rPr>
                      <w:kern w:val="0"/>
                      <w:szCs w:val="20"/>
                    </w:rPr>
                    <w:t>(mg/L)</w:t>
                  </w:r>
                </w:p>
              </w:tc>
              <w:tc>
                <w:tcPr>
                  <w:tcW w:w="690" w:type="pct"/>
                  <w:vAlign w:val="center"/>
                </w:tcPr>
                <w:p w14:paraId="3FC7761A">
                  <w:pPr>
                    <w:adjustRightInd w:val="0"/>
                    <w:snapToGrid w:val="0"/>
                    <w:jc w:val="center"/>
                    <w:rPr>
                      <w:kern w:val="0"/>
                      <w:szCs w:val="20"/>
                    </w:rPr>
                  </w:pPr>
                  <w:r>
                    <w:rPr>
                      <w:kern w:val="0"/>
                      <w:szCs w:val="20"/>
                    </w:rPr>
                    <w:t>≤</w:t>
                  </w:r>
                </w:p>
              </w:tc>
              <w:tc>
                <w:tcPr>
                  <w:tcW w:w="1337" w:type="pct"/>
                  <w:vAlign w:val="center"/>
                </w:tcPr>
                <w:p w14:paraId="3D56256F">
                  <w:pPr>
                    <w:adjustRightInd w:val="0"/>
                    <w:snapToGrid w:val="0"/>
                    <w:jc w:val="center"/>
                    <w:rPr>
                      <w:kern w:val="0"/>
                      <w:szCs w:val="20"/>
                    </w:rPr>
                  </w:pPr>
                  <w:r>
                    <w:rPr>
                      <w:kern w:val="0"/>
                      <w:szCs w:val="20"/>
                    </w:rPr>
                    <w:t>10</w:t>
                  </w:r>
                </w:p>
              </w:tc>
            </w:tr>
            <w:tr w14:paraId="28ED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709" w:type="pct"/>
                  <w:vAlign w:val="center"/>
                </w:tcPr>
                <w:p w14:paraId="23DE3D7B">
                  <w:pPr>
                    <w:adjustRightInd w:val="0"/>
                    <w:snapToGrid w:val="0"/>
                    <w:jc w:val="center"/>
                    <w:rPr>
                      <w:kern w:val="0"/>
                      <w:szCs w:val="20"/>
                    </w:rPr>
                  </w:pPr>
                  <w:r>
                    <w:rPr>
                      <w:kern w:val="0"/>
                      <w:szCs w:val="20"/>
                    </w:rPr>
                    <w:t>7</w:t>
                  </w:r>
                </w:p>
              </w:tc>
              <w:tc>
                <w:tcPr>
                  <w:tcW w:w="2265" w:type="pct"/>
                  <w:vAlign w:val="center"/>
                </w:tcPr>
                <w:p w14:paraId="086C83DE">
                  <w:pPr>
                    <w:adjustRightInd w:val="0"/>
                    <w:snapToGrid w:val="0"/>
                    <w:jc w:val="center"/>
                    <w:rPr>
                      <w:kern w:val="0"/>
                      <w:szCs w:val="20"/>
                    </w:rPr>
                  </w:pPr>
                  <w:r>
                    <w:rPr>
                      <w:kern w:val="0"/>
                      <w:szCs w:val="20"/>
                    </w:rPr>
                    <w:t>氨氮(mg/L)</w:t>
                  </w:r>
                </w:p>
              </w:tc>
              <w:tc>
                <w:tcPr>
                  <w:tcW w:w="690" w:type="pct"/>
                  <w:vAlign w:val="center"/>
                </w:tcPr>
                <w:p w14:paraId="6AFCBC77">
                  <w:pPr>
                    <w:adjustRightInd w:val="0"/>
                    <w:snapToGrid w:val="0"/>
                    <w:jc w:val="center"/>
                    <w:rPr>
                      <w:kern w:val="0"/>
                      <w:szCs w:val="20"/>
                    </w:rPr>
                  </w:pPr>
                  <w:r>
                    <w:rPr>
                      <w:kern w:val="0"/>
                      <w:szCs w:val="20"/>
                    </w:rPr>
                    <w:t>≤</w:t>
                  </w:r>
                </w:p>
              </w:tc>
              <w:tc>
                <w:tcPr>
                  <w:tcW w:w="1337" w:type="pct"/>
                  <w:vAlign w:val="center"/>
                </w:tcPr>
                <w:p w14:paraId="7B8FCCE5">
                  <w:pPr>
                    <w:adjustRightInd w:val="0"/>
                    <w:snapToGrid w:val="0"/>
                    <w:jc w:val="center"/>
                    <w:rPr>
                      <w:kern w:val="0"/>
                      <w:szCs w:val="20"/>
                    </w:rPr>
                  </w:pPr>
                  <w:r>
                    <w:rPr>
                      <w:kern w:val="0"/>
                      <w:szCs w:val="20"/>
                    </w:rPr>
                    <w:t>8</w:t>
                  </w:r>
                </w:p>
              </w:tc>
            </w:tr>
            <w:tr w14:paraId="10BE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709" w:type="pct"/>
                  <w:vAlign w:val="center"/>
                </w:tcPr>
                <w:p w14:paraId="2B68138D">
                  <w:pPr>
                    <w:adjustRightInd w:val="0"/>
                    <w:snapToGrid w:val="0"/>
                    <w:jc w:val="center"/>
                    <w:rPr>
                      <w:kern w:val="0"/>
                      <w:szCs w:val="20"/>
                    </w:rPr>
                  </w:pPr>
                  <w:r>
                    <w:rPr>
                      <w:kern w:val="0"/>
                      <w:szCs w:val="20"/>
                    </w:rPr>
                    <w:t>8</w:t>
                  </w:r>
                </w:p>
              </w:tc>
              <w:tc>
                <w:tcPr>
                  <w:tcW w:w="2265" w:type="pct"/>
                  <w:vAlign w:val="center"/>
                </w:tcPr>
                <w:p w14:paraId="5A2A0634">
                  <w:pPr>
                    <w:adjustRightInd w:val="0"/>
                    <w:snapToGrid w:val="0"/>
                    <w:jc w:val="center"/>
                    <w:rPr>
                      <w:kern w:val="0"/>
                      <w:szCs w:val="20"/>
                    </w:rPr>
                  </w:pPr>
                  <w:r>
                    <w:rPr>
                      <w:kern w:val="0"/>
                      <w:szCs w:val="20"/>
                    </w:rPr>
                    <w:t>阴离子表面活性</w:t>
                  </w:r>
                  <w:r>
                    <w:rPr>
                      <w:rFonts w:hint="eastAsia"/>
                      <w:kern w:val="0"/>
                      <w:szCs w:val="20"/>
                    </w:rPr>
                    <w:t>（</w:t>
                  </w:r>
                  <w:r>
                    <w:rPr>
                      <w:kern w:val="0"/>
                      <w:szCs w:val="20"/>
                    </w:rPr>
                    <w:t>mg/L</w:t>
                  </w:r>
                  <w:r>
                    <w:rPr>
                      <w:rFonts w:hint="eastAsia"/>
                      <w:kern w:val="0"/>
                      <w:szCs w:val="20"/>
                    </w:rPr>
                    <w:t>）</w:t>
                  </w:r>
                </w:p>
              </w:tc>
              <w:tc>
                <w:tcPr>
                  <w:tcW w:w="690" w:type="pct"/>
                  <w:vAlign w:val="center"/>
                </w:tcPr>
                <w:p w14:paraId="09196DF2">
                  <w:pPr>
                    <w:adjustRightInd w:val="0"/>
                    <w:snapToGrid w:val="0"/>
                    <w:jc w:val="center"/>
                    <w:rPr>
                      <w:kern w:val="0"/>
                      <w:szCs w:val="20"/>
                    </w:rPr>
                  </w:pPr>
                  <w:r>
                    <w:rPr>
                      <w:kern w:val="0"/>
                      <w:szCs w:val="20"/>
                    </w:rPr>
                    <w:t>≤</w:t>
                  </w:r>
                </w:p>
              </w:tc>
              <w:tc>
                <w:tcPr>
                  <w:tcW w:w="1337" w:type="pct"/>
                  <w:vAlign w:val="center"/>
                </w:tcPr>
                <w:p w14:paraId="38021577">
                  <w:pPr>
                    <w:adjustRightInd w:val="0"/>
                    <w:snapToGrid w:val="0"/>
                    <w:jc w:val="center"/>
                    <w:rPr>
                      <w:kern w:val="0"/>
                      <w:szCs w:val="20"/>
                    </w:rPr>
                  </w:pPr>
                  <w:r>
                    <w:rPr>
                      <w:kern w:val="0"/>
                      <w:szCs w:val="20"/>
                    </w:rPr>
                    <w:t>0.5</w:t>
                  </w:r>
                </w:p>
              </w:tc>
            </w:tr>
            <w:tr w14:paraId="7CC93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709" w:type="pct"/>
                  <w:vAlign w:val="center"/>
                </w:tcPr>
                <w:p w14:paraId="204EFCBF">
                  <w:pPr>
                    <w:adjustRightInd w:val="0"/>
                    <w:snapToGrid w:val="0"/>
                    <w:jc w:val="center"/>
                    <w:rPr>
                      <w:kern w:val="0"/>
                      <w:szCs w:val="20"/>
                    </w:rPr>
                  </w:pPr>
                  <w:r>
                    <w:rPr>
                      <w:kern w:val="0"/>
                      <w:szCs w:val="20"/>
                    </w:rPr>
                    <w:t>9</w:t>
                  </w:r>
                </w:p>
              </w:tc>
              <w:tc>
                <w:tcPr>
                  <w:tcW w:w="2265" w:type="pct"/>
                  <w:vAlign w:val="center"/>
                </w:tcPr>
                <w:p w14:paraId="5AE93314">
                  <w:pPr>
                    <w:adjustRightInd w:val="0"/>
                    <w:snapToGrid w:val="0"/>
                    <w:jc w:val="center"/>
                    <w:rPr>
                      <w:kern w:val="0"/>
                      <w:szCs w:val="20"/>
                    </w:rPr>
                  </w:pPr>
                  <w:r>
                    <w:rPr>
                      <w:kern w:val="0"/>
                      <w:szCs w:val="20"/>
                    </w:rPr>
                    <w:t>铁(mg/L)</w:t>
                  </w:r>
                </w:p>
              </w:tc>
              <w:tc>
                <w:tcPr>
                  <w:tcW w:w="690" w:type="pct"/>
                  <w:vAlign w:val="center"/>
                </w:tcPr>
                <w:p w14:paraId="70699C30">
                  <w:pPr>
                    <w:adjustRightInd w:val="0"/>
                    <w:snapToGrid w:val="0"/>
                    <w:jc w:val="center"/>
                    <w:rPr>
                      <w:kern w:val="0"/>
                      <w:szCs w:val="20"/>
                    </w:rPr>
                  </w:pPr>
                  <w:r>
                    <w:rPr>
                      <w:kern w:val="0"/>
                      <w:szCs w:val="20"/>
                    </w:rPr>
                    <w:t>≤</w:t>
                  </w:r>
                </w:p>
              </w:tc>
              <w:tc>
                <w:tcPr>
                  <w:tcW w:w="1337" w:type="pct"/>
                  <w:vAlign w:val="center"/>
                </w:tcPr>
                <w:p w14:paraId="60A71F19">
                  <w:pPr>
                    <w:adjustRightInd w:val="0"/>
                    <w:snapToGrid w:val="0"/>
                    <w:jc w:val="center"/>
                    <w:rPr>
                      <w:kern w:val="0"/>
                      <w:szCs w:val="20"/>
                    </w:rPr>
                  </w:pPr>
                  <w:r>
                    <w:rPr>
                      <w:kern w:val="0"/>
                      <w:szCs w:val="20"/>
                    </w:rPr>
                    <w:t>－</w:t>
                  </w:r>
                </w:p>
              </w:tc>
            </w:tr>
            <w:tr w14:paraId="4AF8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709" w:type="pct"/>
                  <w:vAlign w:val="center"/>
                </w:tcPr>
                <w:p w14:paraId="6E8F979D">
                  <w:pPr>
                    <w:adjustRightInd w:val="0"/>
                    <w:snapToGrid w:val="0"/>
                    <w:jc w:val="center"/>
                    <w:rPr>
                      <w:kern w:val="0"/>
                      <w:szCs w:val="20"/>
                    </w:rPr>
                  </w:pPr>
                  <w:r>
                    <w:rPr>
                      <w:kern w:val="0"/>
                      <w:szCs w:val="20"/>
                    </w:rPr>
                    <w:t>10</w:t>
                  </w:r>
                </w:p>
              </w:tc>
              <w:tc>
                <w:tcPr>
                  <w:tcW w:w="2265" w:type="pct"/>
                  <w:vAlign w:val="center"/>
                </w:tcPr>
                <w:p w14:paraId="71D28091">
                  <w:pPr>
                    <w:adjustRightInd w:val="0"/>
                    <w:snapToGrid w:val="0"/>
                    <w:jc w:val="center"/>
                    <w:rPr>
                      <w:kern w:val="0"/>
                      <w:szCs w:val="20"/>
                    </w:rPr>
                  </w:pPr>
                  <w:r>
                    <w:rPr>
                      <w:kern w:val="0"/>
                      <w:szCs w:val="20"/>
                    </w:rPr>
                    <w:t>锰(mg/L)</w:t>
                  </w:r>
                </w:p>
              </w:tc>
              <w:tc>
                <w:tcPr>
                  <w:tcW w:w="690" w:type="pct"/>
                  <w:vAlign w:val="center"/>
                </w:tcPr>
                <w:p w14:paraId="64364A84">
                  <w:pPr>
                    <w:adjustRightInd w:val="0"/>
                    <w:snapToGrid w:val="0"/>
                    <w:jc w:val="center"/>
                    <w:rPr>
                      <w:kern w:val="0"/>
                      <w:szCs w:val="20"/>
                    </w:rPr>
                  </w:pPr>
                  <w:r>
                    <w:rPr>
                      <w:kern w:val="0"/>
                      <w:szCs w:val="20"/>
                    </w:rPr>
                    <w:t>≤</w:t>
                  </w:r>
                </w:p>
              </w:tc>
              <w:tc>
                <w:tcPr>
                  <w:tcW w:w="1337" w:type="pct"/>
                  <w:vAlign w:val="center"/>
                </w:tcPr>
                <w:p w14:paraId="2DB6C8A8">
                  <w:pPr>
                    <w:adjustRightInd w:val="0"/>
                    <w:snapToGrid w:val="0"/>
                    <w:jc w:val="center"/>
                    <w:rPr>
                      <w:kern w:val="0"/>
                      <w:szCs w:val="20"/>
                    </w:rPr>
                  </w:pPr>
                  <w:r>
                    <w:rPr>
                      <w:kern w:val="0"/>
                      <w:szCs w:val="20"/>
                    </w:rPr>
                    <w:t>－</w:t>
                  </w:r>
                </w:p>
              </w:tc>
            </w:tr>
            <w:tr w14:paraId="747B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709" w:type="pct"/>
                  <w:vAlign w:val="center"/>
                </w:tcPr>
                <w:p w14:paraId="0D4BC183">
                  <w:pPr>
                    <w:adjustRightInd w:val="0"/>
                    <w:snapToGrid w:val="0"/>
                    <w:jc w:val="center"/>
                    <w:rPr>
                      <w:kern w:val="0"/>
                      <w:szCs w:val="20"/>
                    </w:rPr>
                  </w:pPr>
                  <w:r>
                    <w:rPr>
                      <w:kern w:val="0"/>
                      <w:szCs w:val="20"/>
                    </w:rPr>
                    <w:t>11</w:t>
                  </w:r>
                </w:p>
              </w:tc>
              <w:tc>
                <w:tcPr>
                  <w:tcW w:w="2265" w:type="pct"/>
                  <w:vAlign w:val="center"/>
                </w:tcPr>
                <w:p w14:paraId="03EFCAB9">
                  <w:pPr>
                    <w:adjustRightInd w:val="0"/>
                    <w:snapToGrid w:val="0"/>
                    <w:jc w:val="center"/>
                    <w:rPr>
                      <w:kern w:val="0"/>
                      <w:szCs w:val="20"/>
                    </w:rPr>
                  </w:pPr>
                  <w:r>
                    <w:rPr>
                      <w:kern w:val="0"/>
                      <w:szCs w:val="20"/>
                    </w:rPr>
                    <w:t>溶解氧(mg/L)</w:t>
                  </w:r>
                </w:p>
              </w:tc>
              <w:tc>
                <w:tcPr>
                  <w:tcW w:w="690" w:type="pct"/>
                  <w:vAlign w:val="center"/>
                </w:tcPr>
                <w:p w14:paraId="7F6D8F9F">
                  <w:pPr>
                    <w:adjustRightInd w:val="0"/>
                    <w:snapToGrid w:val="0"/>
                    <w:jc w:val="center"/>
                    <w:rPr>
                      <w:kern w:val="0"/>
                      <w:szCs w:val="20"/>
                    </w:rPr>
                  </w:pPr>
                  <w:r>
                    <w:rPr>
                      <w:kern w:val="0"/>
                      <w:szCs w:val="20"/>
                    </w:rPr>
                    <w:t>≥</w:t>
                  </w:r>
                </w:p>
              </w:tc>
              <w:tc>
                <w:tcPr>
                  <w:tcW w:w="1337" w:type="pct"/>
                  <w:vAlign w:val="center"/>
                </w:tcPr>
                <w:p w14:paraId="1FA9ADC3">
                  <w:pPr>
                    <w:adjustRightInd w:val="0"/>
                    <w:snapToGrid w:val="0"/>
                    <w:jc w:val="center"/>
                    <w:rPr>
                      <w:kern w:val="0"/>
                      <w:szCs w:val="20"/>
                    </w:rPr>
                  </w:pPr>
                  <w:r>
                    <w:rPr>
                      <w:kern w:val="0"/>
                      <w:szCs w:val="20"/>
                    </w:rPr>
                    <w:t>2.0</w:t>
                  </w:r>
                </w:p>
              </w:tc>
            </w:tr>
            <w:tr w14:paraId="2D422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709" w:type="pct"/>
                  <w:vAlign w:val="center"/>
                </w:tcPr>
                <w:p w14:paraId="18CB1006">
                  <w:pPr>
                    <w:adjustRightInd w:val="0"/>
                    <w:snapToGrid w:val="0"/>
                    <w:jc w:val="center"/>
                    <w:rPr>
                      <w:kern w:val="0"/>
                      <w:szCs w:val="20"/>
                    </w:rPr>
                  </w:pPr>
                  <w:r>
                    <w:rPr>
                      <w:kern w:val="0"/>
                      <w:szCs w:val="20"/>
                    </w:rPr>
                    <w:t>12</w:t>
                  </w:r>
                </w:p>
              </w:tc>
              <w:tc>
                <w:tcPr>
                  <w:tcW w:w="2265" w:type="pct"/>
                  <w:vAlign w:val="center"/>
                </w:tcPr>
                <w:p w14:paraId="131B0F33">
                  <w:pPr>
                    <w:adjustRightInd w:val="0"/>
                    <w:snapToGrid w:val="0"/>
                    <w:jc w:val="center"/>
                    <w:rPr>
                      <w:kern w:val="0"/>
                      <w:szCs w:val="20"/>
                    </w:rPr>
                  </w:pPr>
                  <w:r>
                    <w:rPr>
                      <w:kern w:val="0"/>
                      <w:szCs w:val="20"/>
                    </w:rPr>
                    <w:t>总余氯(mg/L)</w:t>
                  </w:r>
                </w:p>
              </w:tc>
              <w:tc>
                <w:tcPr>
                  <w:tcW w:w="690" w:type="pct"/>
                  <w:vAlign w:val="center"/>
                </w:tcPr>
                <w:p w14:paraId="160FA422">
                  <w:pPr>
                    <w:adjustRightInd w:val="0"/>
                    <w:snapToGrid w:val="0"/>
                    <w:jc w:val="center"/>
                    <w:rPr>
                      <w:kern w:val="0"/>
                      <w:szCs w:val="20"/>
                    </w:rPr>
                  </w:pPr>
                  <w:r>
                    <w:rPr>
                      <w:rFonts w:hint="eastAsia"/>
                      <w:kern w:val="0"/>
                      <w:szCs w:val="20"/>
                    </w:rPr>
                    <w:t>/</w:t>
                  </w:r>
                </w:p>
              </w:tc>
              <w:tc>
                <w:tcPr>
                  <w:tcW w:w="1337" w:type="pct"/>
                  <w:vAlign w:val="center"/>
                </w:tcPr>
                <w:p w14:paraId="487E5F63">
                  <w:pPr>
                    <w:adjustRightInd w:val="0"/>
                    <w:snapToGrid w:val="0"/>
                    <w:jc w:val="center"/>
                    <w:rPr>
                      <w:kern w:val="0"/>
                      <w:szCs w:val="20"/>
                    </w:rPr>
                  </w:pPr>
                  <w:r>
                    <w:rPr>
                      <w:kern w:val="0"/>
                      <w:szCs w:val="20"/>
                    </w:rPr>
                    <w:t>≥1.0</w:t>
                  </w:r>
                </w:p>
              </w:tc>
            </w:tr>
            <w:tr w14:paraId="1EFE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709" w:type="pct"/>
                  <w:vAlign w:val="center"/>
                </w:tcPr>
                <w:p w14:paraId="7A360077">
                  <w:pPr>
                    <w:adjustRightInd w:val="0"/>
                    <w:snapToGrid w:val="0"/>
                    <w:jc w:val="center"/>
                    <w:rPr>
                      <w:kern w:val="0"/>
                      <w:szCs w:val="20"/>
                    </w:rPr>
                  </w:pPr>
                  <w:r>
                    <w:rPr>
                      <w:kern w:val="0"/>
                      <w:szCs w:val="20"/>
                    </w:rPr>
                    <w:t>13</w:t>
                  </w:r>
                </w:p>
              </w:tc>
              <w:tc>
                <w:tcPr>
                  <w:tcW w:w="2265" w:type="pct"/>
                  <w:vAlign w:val="center"/>
                </w:tcPr>
                <w:p w14:paraId="411FFF09">
                  <w:pPr>
                    <w:adjustRightInd w:val="0"/>
                    <w:snapToGrid w:val="0"/>
                    <w:jc w:val="center"/>
                    <w:rPr>
                      <w:kern w:val="0"/>
                      <w:szCs w:val="20"/>
                    </w:rPr>
                  </w:pPr>
                  <w:r>
                    <w:rPr>
                      <w:kern w:val="0"/>
                      <w:szCs w:val="20"/>
                    </w:rPr>
                    <w:t>大肠</w:t>
                  </w:r>
                  <w:r>
                    <w:rPr>
                      <w:rFonts w:hint="eastAsia"/>
                      <w:kern w:val="0"/>
                      <w:szCs w:val="20"/>
                    </w:rPr>
                    <w:t>埃希</w:t>
                  </w:r>
                  <w:r>
                    <w:rPr>
                      <w:kern w:val="0"/>
                      <w:szCs w:val="20"/>
                    </w:rPr>
                    <w:t>氏菌(</w:t>
                  </w:r>
                  <w:r>
                    <w:rPr>
                      <w:rFonts w:hint="eastAsia"/>
                      <w:kern w:val="0"/>
                      <w:szCs w:val="20"/>
                    </w:rPr>
                    <w:t>M</w:t>
                  </w:r>
                  <w:r>
                    <w:rPr>
                      <w:kern w:val="0"/>
                      <w:szCs w:val="20"/>
                    </w:rPr>
                    <w:t>PN/100mL)</w:t>
                  </w:r>
                </w:p>
              </w:tc>
              <w:tc>
                <w:tcPr>
                  <w:tcW w:w="690" w:type="pct"/>
                  <w:vAlign w:val="center"/>
                </w:tcPr>
                <w:p w14:paraId="423A8B7D">
                  <w:pPr>
                    <w:adjustRightInd w:val="0"/>
                    <w:snapToGrid w:val="0"/>
                    <w:jc w:val="center"/>
                    <w:rPr>
                      <w:kern w:val="0"/>
                      <w:szCs w:val="20"/>
                    </w:rPr>
                  </w:pPr>
                  <w:r>
                    <w:rPr>
                      <w:rFonts w:hint="eastAsia"/>
                      <w:kern w:val="0"/>
                      <w:szCs w:val="20"/>
                    </w:rPr>
                    <w:t>/</w:t>
                  </w:r>
                </w:p>
              </w:tc>
              <w:tc>
                <w:tcPr>
                  <w:tcW w:w="1337" w:type="pct"/>
                </w:tcPr>
                <w:p w14:paraId="6B742A0F">
                  <w:pPr>
                    <w:adjustRightInd w:val="0"/>
                    <w:snapToGrid w:val="0"/>
                    <w:jc w:val="center"/>
                    <w:rPr>
                      <w:kern w:val="0"/>
                      <w:szCs w:val="20"/>
                    </w:rPr>
                  </w:pPr>
                  <w:r>
                    <w:rPr>
                      <w:rFonts w:hint="eastAsia"/>
                      <w:kern w:val="0"/>
                      <w:szCs w:val="20"/>
                    </w:rPr>
                    <w:t>无</w:t>
                  </w:r>
                </w:p>
              </w:tc>
            </w:tr>
            <w:bookmarkEnd w:id="122"/>
          </w:tbl>
          <w:p w14:paraId="0EC669A0">
            <w:pPr>
              <w:spacing w:before="120" w:beforeLines="50" w:line="360" w:lineRule="auto"/>
              <w:rPr>
                <w:rFonts w:hint="eastAsia"/>
                <w:b/>
                <w:bCs/>
                <w:kern w:val="0"/>
                <w:sz w:val="24"/>
              </w:rPr>
            </w:pPr>
            <w:r>
              <w:rPr>
                <w:rFonts w:hint="eastAsia"/>
                <w:b/>
                <w:bCs/>
                <w:kern w:val="0"/>
                <w:sz w:val="24"/>
              </w:rPr>
              <w:t>3.6.4 固体废物</w:t>
            </w:r>
          </w:p>
          <w:p w14:paraId="6506EBB7">
            <w:pPr>
              <w:widowControl/>
              <w:spacing w:line="360" w:lineRule="auto"/>
              <w:ind w:firstLine="480" w:firstLineChars="200"/>
              <w:rPr>
                <w:sz w:val="24"/>
              </w:rPr>
            </w:pPr>
            <w:r>
              <w:rPr>
                <w:sz w:val="24"/>
              </w:rPr>
              <w:t>一般工业固</w:t>
            </w:r>
            <w:r>
              <w:rPr>
                <w:rFonts w:hint="eastAsia"/>
                <w:sz w:val="24"/>
              </w:rPr>
              <w:t>体</w:t>
            </w:r>
            <w:r>
              <w:rPr>
                <w:sz w:val="24"/>
              </w:rPr>
              <w:t>废</w:t>
            </w:r>
            <w:r>
              <w:rPr>
                <w:rFonts w:hint="eastAsia"/>
                <w:sz w:val="24"/>
              </w:rPr>
              <w:t>物贮存</w:t>
            </w:r>
            <w:r>
              <w:rPr>
                <w:sz w:val="24"/>
              </w:rPr>
              <w:t>执行</w:t>
            </w:r>
            <w:r>
              <w:rPr>
                <w:rFonts w:hint="eastAsia"/>
                <w:sz w:val="24"/>
              </w:rPr>
              <w:t>《一般工业固体废物贮存和填埋污染控制标准》（GB 18599-2020）</w:t>
            </w:r>
            <w:r>
              <w:rPr>
                <w:sz w:val="24"/>
              </w:rPr>
              <w:t>；危险废物</w:t>
            </w:r>
            <w:r>
              <w:rPr>
                <w:rFonts w:hint="eastAsia"/>
                <w:sz w:val="24"/>
              </w:rPr>
              <w:t>（废矿物油</w:t>
            </w:r>
            <w:r>
              <w:rPr>
                <w:rFonts w:hint="eastAsia"/>
                <w:bCs/>
                <w:sz w:val="24"/>
              </w:rPr>
              <w:t>、废铅蓄电池等</w:t>
            </w:r>
            <w:r>
              <w:rPr>
                <w:rFonts w:hint="eastAsia"/>
                <w:sz w:val="24"/>
              </w:rPr>
              <w:t>）</w:t>
            </w:r>
            <w:r>
              <w:rPr>
                <w:sz w:val="24"/>
              </w:rPr>
              <w:t>贮存执行《危险废物贮存污染控制标准》（GB</w:t>
            </w:r>
            <w:r>
              <w:rPr>
                <w:rFonts w:hint="eastAsia"/>
                <w:sz w:val="24"/>
              </w:rPr>
              <w:t xml:space="preserve"> </w:t>
            </w:r>
            <w:r>
              <w:rPr>
                <w:sz w:val="24"/>
              </w:rPr>
              <w:t>18597-20</w:t>
            </w:r>
            <w:r>
              <w:rPr>
                <w:rFonts w:hint="eastAsia"/>
                <w:sz w:val="24"/>
              </w:rPr>
              <w:t>23</w:t>
            </w:r>
            <w:r>
              <w:rPr>
                <w:sz w:val="24"/>
              </w:rPr>
              <w:t>）相关规定</w:t>
            </w:r>
            <w:r>
              <w:rPr>
                <w:rFonts w:hint="eastAsia"/>
                <w:sz w:val="24"/>
              </w:rPr>
              <w:t>，危废经收集贮存后并交由有资质的单位处置</w:t>
            </w:r>
            <w:r>
              <w:rPr>
                <w:sz w:val="24"/>
              </w:rPr>
              <w:t>。</w:t>
            </w:r>
          </w:p>
          <w:p w14:paraId="2B8315F8">
            <w:pPr>
              <w:widowControl/>
              <w:spacing w:line="360" w:lineRule="auto"/>
              <w:ind w:firstLine="480" w:firstLineChars="200"/>
              <w:rPr>
                <w:sz w:val="24"/>
              </w:rPr>
            </w:pPr>
            <w:r>
              <w:rPr>
                <w:rFonts w:hint="eastAsia"/>
                <w:sz w:val="24"/>
              </w:rPr>
              <w:t>生活垃圾在升压站内收集后送附近村庄生活垃圾收集点由环卫部门清运；化粪池和地埋式一体化污水处理设施污泥定期</w:t>
            </w:r>
            <w:r>
              <w:rPr>
                <w:sz w:val="24"/>
              </w:rPr>
              <w:t>清掏。</w:t>
            </w:r>
            <w:bookmarkEnd w:id="119"/>
          </w:p>
        </w:tc>
      </w:tr>
      <w:tr w14:paraId="3B17ED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77" w:type="pct"/>
            <w:noWrap/>
            <w:vAlign w:val="center"/>
          </w:tcPr>
          <w:p w14:paraId="7622A293">
            <w:pPr>
              <w:adjustRightInd w:val="0"/>
              <w:snapToGrid w:val="0"/>
              <w:jc w:val="center"/>
              <w:rPr>
                <w:rFonts w:ascii="宋体" w:hAnsi="宋体" w:cs="宋体"/>
                <w:kern w:val="0"/>
                <w:sz w:val="24"/>
              </w:rPr>
            </w:pPr>
            <w:r>
              <w:rPr>
                <w:rFonts w:hint="eastAsia" w:ascii="宋体" w:hAnsi="宋体" w:cs="宋体"/>
                <w:kern w:val="0"/>
                <w:sz w:val="24"/>
              </w:rPr>
              <w:t>其他</w:t>
            </w:r>
          </w:p>
        </w:tc>
        <w:tc>
          <w:tcPr>
            <w:tcW w:w="4722" w:type="pct"/>
            <w:noWrap/>
            <w:vAlign w:val="center"/>
          </w:tcPr>
          <w:p w14:paraId="36709644">
            <w:pPr>
              <w:spacing w:before="120" w:beforeLines="50" w:line="360" w:lineRule="auto"/>
              <w:rPr>
                <w:b/>
                <w:bCs/>
                <w:sz w:val="24"/>
                <w:szCs w:val="24"/>
              </w:rPr>
            </w:pPr>
            <w:r>
              <w:rPr>
                <w:rFonts w:hint="eastAsia"/>
                <w:b/>
                <w:bCs/>
                <w:kern w:val="0"/>
                <w:sz w:val="24"/>
              </w:rPr>
              <w:t>3.7 其他</w:t>
            </w:r>
          </w:p>
          <w:p w14:paraId="036E965A">
            <w:pPr>
              <w:spacing w:before="120" w:beforeLines="50" w:line="360" w:lineRule="auto"/>
              <w:rPr>
                <w:b/>
                <w:bCs/>
                <w:sz w:val="24"/>
                <w:szCs w:val="24"/>
              </w:rPr>
            </w:pPr>
            <w:r>
              <w:rPr>
                <w:rFonts w:hint="eastAsia"/>
                <w:b/>
                <w:bCs/>
                <w:sz w:val="24"/>
                <w:szCs w:val="24"/>
              </w:rPr>
              <w:t>3.7.1 废气</w:t>
            </w:r>
          </w:p>
          <w:p w14:paraId="4527AD92">
            <w:pPr>
              <w:spacing w:line="360" w:lineRule="auto"/>
              <w:ind w:firstLine="480" w:firstLineChars="200"/>
              <w:rPr>
                <w:sz w:val="24"/>
                <w:szCs w:val="24"/>
              </w:rPr>
            </w:pPr>
            <w:r>
              <w:rPr>
                <w:rFonts w:hint="eastAsia"/>
                <w:sz w:val="24"/>
                <w:szCs w:val="24"/>
              </w:rPr>
              <w:t>本项目运营过程中无废气污染物产生，故不设废气总量控制指标。</w:t>
            </w:r>
          </w:p>
          <w:p w14:paraId="37118598">
            <w:pPr>
              <w:spacing w:line="360" w:lineRule="auto"/>
              <w:rPr>
                <w:rFonts w:hint="eastAsia"/>
                <w:b/>
                <w:bCs/>
                <w:sz w:val="24"/>
                <w:szCs w:val="24"/>
              </w:rPr>
            </w:pPr>
            <w:r>
              <w:rPr>
                <w:rFonts w:hint="eastAsia"/>
                <w:b/>
                <w:bCs/>
                <w:sz w:val="24"/>
                <w:szCs w:val="24"/>
              </w:rPr>
              <w:t>3.7.2 废水</w:t>
            </w:r>
          </w:p>
          <w:p w14:paraId="14B703A5">
            <w:pPr>
              <w:spacing w:line="360" w:lineRule="auto"/>
              <w:ind w:firstLine="480" w:firstLineChars="200"/>
              <w:rPr>
                <w:rFonts w:hint="eastAsia"/>
                <w:sz w:val="24"/>
                <w:szCs w:val="24"/>
              </w:rPr>
            </w:pPr>
            <w:r>
              <w:rPr>
                <w:rFonts w:hint="eastAsia"/>
                <w:sz w:val="24"/>
                <w:szCs w:val="24"/>
              </w:rPr>
              <w:t>本项目运营期产生的废水为光伏电池板清洗废水和生活污水。项目生产废水用于光伏板下植被的浇洒，升压站生活污水处理达《污水综合排放标准》（GB 8978-1996）后进入中水池，不外排；回用于绿化、降尘时，应满足《城市污水再生利用 城市杂用水水质》（GB/T</w:t>
            </w:r>
            <w:r>
              <w:rPr>
                <w:sz w:val="24"/>
                <w:szCs w:val="24"/>
              </w:rPr>
              <w:t xml:space="preserve"> </w:t>
            </w:r>
            <w:r>
              <w:rPr>
                <w:rFonts w:hint="eastAsia"/>
                <w:sz w:val="24"/>
                <w:szCs w:val="24"/>
              </w:rPr>
              <w:t>18920-2020）绿化标准，不设置废水总量控制指标。</w:t>
            </w:r>
          </w:p>
          <w:p w14:paraId="352E10E1">
            <w:pPr>
              <w:spacing w:line="360" w:lineRule="auto"/>
              <w:rPr>
                <w:rFonts w:hint="eastAsia"/>
                <w:b/>
                <w:bCs/>
                <w:sz w:val="24"/>
                <w:szCs w:val="24"/>
              </w:rPr>
            </w:pPr>
            <w:r>
              <w:rPr>
                <w:rFonts w:hint="eastAsia"/>
                <w:b/>
                <w:bCs/>
                <w:sz w:val="24"/>
                <w:szCs w:val="24"/>
              </w:rPr>
              <w:t>3.7.3 固体废弃物</w:t>
            </w:r>
          </w:p>
          <w:p w14:paraId="1C90B2F0">
            <w:pPr>
              <w:spacing w:line="360" w:lineRule="auto"/>
              <w:ind w:firstLine="480" w:firstLineChars="200"/>
              <w:rPr>
                <w:sz w:val="24"/>
                <w:szCs w:val="24"/>
              </w:rPr>
            </w:pPr>
            <w:r>
              <w:rPr>
                <w:rFonts w:hint="eastAsia"/>
                <w:sz w:val="24"/>
                <w:szCs w:val="24"/>
              </w:rPr>
              <w:t>本项目运营期产生的固体废弃物为废旧光伏电池板、生活垃圾及危险废物。废旧光伏电池板集中收集后，委托光伏电池板生产厂家回收处置；项目产生的生活垃圾主要为平时工作人员用的生活废品，包括食堂菜叶、废纸、包装袋，项目内的生活垃圾分类收集后回收利用，不能利用的部分袋装后放入项目办公生活区的垃圾桶内，由以礼河电厂定期运至就近村庄的垃圾收集点，由当地环卫部门处置；危险废物用专用收集器收集后，贴好标识暂存于危险废物贮存间内，委托有资质单位定期清运处置。项目运营期固体废物均得到妥善处置，处置率100%，故不设置固体废物总量控制指标。故本次环评不设总量指标。</w:t>
            </w:r>
          </w:p>
          <w:p w14:paraId="52015960">
            <w:pPr>
              <w:spacing w:line="360" w:lineRule="auto"/>
              <w:rPr>
                <w:rFonts w:hint="eastAsia"/>
                <w:b/>
                <w:bCs/>
                <w:sz w:val="24"/>
                <w:szCs w:val="24"/>
              </w:rPr>
            </w:pPr>
            <w:r>
              <w:rPr>
                <w:rFonts w:hint="eastAsia"/>
                <w:b/>
                <w:bCs/>
                <w:sz w:val="24"/>
                <w:szCs w:val="24"/>
              </w:rPr>
              <w:t>3.7.</w:t>
            </w:r>
            <w:r>
              <w:rPr>
                <w:b/>
                <w:bCs/>
                <w:sz w:val="24"/>
                <w:szCs w:val="24"/>
              </w:rPr>
              <w:t>4</w:t>
            </w:r>
            <w:r>
              <w:rPr>
                <w:rFonts w:hint="eastAsia"/>
                <w:b/>
                <w:bCs/>
                <w:sz w:val="24"/>
                <w:szCs w:val="24"/>
              </w:rPr>
              <w:t xml:space="preserve"> 公众参与</w:t>
            </w:r>
          </w:p>
          <w:p w14:paraId="7DDAB149">
            <w:pPr>
              <w:spacing w:line="360" w:lineRule="auto"/>
              <w:ind w:firstLine="480" w:firstLineChars="200"/>
              <w:rPr>
                <w:rFonts w:hint="eastAsia"/>
                <w:sz w:val="24"/>
                <w:szCs w:val="24"/>
              </w:rPr>
            </w:pPr>
            <w:r>
              <w:rPr>
                <w:rFonts w:hint="eastAsia"/>
                <w:sz w:val="24"/>
                <w:szCs w:val="24"/>
              </w:rPr>
              <w:t>本项目公众参与调查工作于2026年6月26日至27日进行，调查范围为项目用地边界外扩50m范围内的居民点。调查组采用发放公众参与调查文件的形式，向受项目施工影响较大的居民进行意见征询。本次调查共发放调查问卷21份。</w:t>
            </w:r>
          </w:p>
          <w:p w14:paraId="3CD83C68">
            <w:pPr>
              <w:spacing w:line="360" w:lineRule="auto"/>
              <w:ind w:firstLine="480" w:firstLineChars="200"/>
              <w:rPr>
                <w:rFonts w:hint="eastAsia"/>
                <w:sz w:val="24"/>
                <w:szCs w:val="24"/>
              </w:rPr>
            </w:pPr>
            <w:r>
              <w:rPr>
                <w:rFonts w:hint="eastAsia"/>
                <w:sz w:val="24"/>
                <w:szCs w:val="24"/>
              </w:rPr>
              <w:t>经统计汇总，公众反馈意见主要集中在以下四个方面：（1）施工期间应保障村内道路通畅，避免因运输车辆进出造成交通堵塞，影响居民日常出行；（2）施工场地内生活垃圾及建筑垃圾应及时清理，做到日产日清，保持周边环境卫生；（3）严格落实扬尘防治措施，减少土方作业及物料运输过程中产生的粉尘对居民生活及空气质量的影响；（4）施工过程中应注意保护村民种植的石榴树，不得侵占、损伤已有果树。</w:t>
            </w:r>
          </w:p>
          <w:p w14:paraId="5AB40F75">
            <w:pPr>
              <w:spacing w:line="360" w:lineRule="auto"/>
              <w:ind w:firstLine="480" w:firstLineChars="200"/>
              <w:rPr>
                <w:rFonts w:hint="eastAsia"/>
              </w:rPr>
            </w:pPr>
            <w:r>
              <w:rPr>
                <w:rFonts w:hint="eastAsia"/>
                <w:sz w:val="24"/>
                <w:szCs w:val="24"/>
              </w:rPr>
              <w:t>针对上述公众意见，将并在施工过程中全面落实，具体措施包括：设置封闭式垃圾收集及日产日清制度、安装围挡及洒水降尘设施、对影响范围内的石榴树实施围栏防护等。同时，将设立公众投诉反馈热线，接受沿线居民监督，确保各项措施执行到位。</w:t>
            </w:r>
          </w:p>
        </w:tc>
      </w:tr>
    </w:tbl>
    <w:p w14:paraId="1289CB4C">
      <w:pPr>
        <w:pStyle w:val="26"/>
        <w:adjustRightInd w:val="0"/>
        <w:snapToGrid w:val="0"/>
        <w:spacing w:before="0" w:beforeAutospacing="0" w:after="0" w:afterAutospacing="0" w:line="15" w:lineRule="auto"/>
        <w:jc w:val="center"/>
        <w:rPr>
          <w:rFonts w:ascii="黑体" w:hAnsi="黑体" w:eastAsia="黑体"/>
          <w:snapToGrid w:val="0"/>
          <w:kern w:val="2"/>
          <w:sz w:val="36"/>
          <w:szCs w:val="36"/>
        </w:rPr>
      </w:pPr>
    </w:p>
    <w:p w14:paraId="6452832C">
      <w:pPr>
        <w:pStyle w:val="26"/>
        <w:spacing w:before="0" w:beforeAutospacing="0" w:after="0" w:afterAutospacing="0" w:line="360" w:lineRule="auto"/>
        <w:jc w:val="center"/>
        <w:outlineLvl w:val="0"/>
        <w:rPr>
          <w:rFonts w:hint="eastAsia" w:ascii="黑体" w:hAnsi="黑体" w:eastAsia="黑体"/>
          <w:snapToGrid w:val="0"/>
          <w:sz w:val="30"/>
          <w:szCs w:val="30"/>
        </w:rPr>
      </w:pPr>
      <w:r>
        <w:rPr>
          <w:rFonts w:ascii="黑体" w:hAnsi="黑体" w:eastAsia="黑体"/>
          <w:snapToGrid w:val="0"/>
          <w:kern w:val="2"/>
          <w:sz w:val="36"/>
          <w:szCs w:val="36"/>
        </w:rPr>
        <w:br w:type="page"/>
      </w:r>
      <w:bookmarkStart w:id="123" w:name="_Toc13613"/>
      <w:bookmarkStart w:id="124" w:name="_Toc231571698"/>
      <w:bookmarkStart w:id="125" w:name="_Toc22639"/>
      <w:bookmarkStart w:id="126" w:name="_Toc122040714"/>
      <w:bookmarkStart w:id="127" w:name="_Toc116995616"/>
      <w:bookmarkStart w:id="128" w:name="_Toc4849"/>
      <w:bookmarkStart w:id="129" w:name="_Toc233036178"/>
      <w:r>
        <w:rPr>
          <w:rFonts w:hint="eastAsia" w:ascii="黑体" w:hAnsi="黑体" w:eastAsia="黑体"/>
          <w:snapToGrid w:val="0"/>
          <w:sz w:val="30"/>
          <w:szCs w:val="30"/>
        </w:rPr>
        <w:t>四、生态环境影响分析</w:t>
      </w:r>
      <w:bookmarkEnd w:id="123"/>
      <w:bookmarkEnd w:id="124"/>
      <w:bookmarkEnd w:id="125"/>
      <w:bookmarkEnd w:id="126"/>
      <w:bookmarkEnd w:id="127"/>
      <w:bookmarkEnd w:id="128"/>
      <w:bookmarkEnd w:id="129"/>
    </w:p>
    <w:tbl>
      <w:tblPr>
        <w:tblStyle w:val="30"/>
        <w:tblW w:w="504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1"/>
        <w:gridCol w:w="8865"/>
      </w:tblGrid>
      <w:tr w14:paraId="7BC2DF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118" w:hRule="atLeast"/>
          <w:jc w:val="center"/>
        </w:trPr>
        <w:tc>
          <w:tcPr>
            <w:tcW w:w="227" w:type="pct"/>
            <w:tcMar>
              <w:left w:w="28" w:type="dxa"/>
              <w:right w:w="28" w:type="dxa"/>
            </w:tcMar>
            <w:vAlign w:val="center"/>
          </w:tcPr>
          <w:p w14:paraId="3443F030">
            <w:pPr>
              <w:widowControl/>
              <w:adjustRightInd w:val="0"/>
              <w:snapToGrid w:val="0"/>
              <w:jc w:val="center"/>
              <w:rPr>
                <w:bCs/>
                <w:snapToGrid w:val="0"/>
                <w:kern w:val="0"/>
                <w:sz w:val="24"/>
              </w:rPr>
            </w:pPr>
            <w:r>
              <w:rPr>
                <w:bCs/>
                <w:snapToGrid w:val="0"/>
                <w:kern w:val="0"/>
                <w:sz w:val="24"/>
              </w:rPr>
              <w:t>施工期生态环境影响分析</w:t>
            </w:r>
          </w:p>
        </w:tc>
        <w:tc>
          <w:tcPr>
            <w:tcW w:w="4772" w:type="pct"/>
          </w:tcPr>
          <w:p w14:paraId="66A4DA20">
            <w:pPr>
              <w:pStyle w:val="3"/>
              <w:spacing w:before="0" w:after="0" w:line="360" w:lineRule="auto"/>
              <w:outlineLvl w:val="1"/>
              <w:rPr>
                <w:rFonts w:hint="eastAsia" w:ascii="Times New Roman" w:hAnsi="Times New Roman" w:eastAsia="宋体"/>
                <w:sz w:val="24"/>
                <w:szCs w:val="24"/>
              </w:rPr>
            </w:pPr>
            <w:bookmarkStart w:id="130" w:name="_Toc233036179"/>
            <w:bookmarkStart w:id="131" w:name="_Toc231571699"/>
            <w:r>
              <w:rPr>
                <w:rFonts w:hint="eastAsia" w:ascii="Times New Roman" w:hAnsi="Times New Roman" w:eastAsia="宋体"/>
                <w:sz w:val="24"/>
                <w:szCs w:val="24"/>
              </w:rPr>
              <w:t>4.1 施工期生态环境影响分析</w:t>
            </w:r>
            <w:bookmarkEnd w:id="130"/>
            <w:bookmarkEnd w:id="131"/>
          </w:p>
          <w:p w14:paraId="2F0980CD">
            <w:pPr>
              <w:pStyle w:val="3"/>
              <w:spacing w:before="0" w:after="0" w:line="360" w:lineRule="auto"/>
              <w:outlineLvl w:val="1"/>
              <w:rPr>
                <w:rFonts w:ascii="Times New Roman" w:hAnsi="Times New Roman" w:eastAsia="宋体"/>
                <w:sz w:val="24"/>
                <w:szCs w:val="24"/>
              </w:rPr>
            </w:pPr>
            <w:bookmarkStart w:id="132" w:name="_Toc233036180"/>
            <w:bookmarkStart w:id="133" w:name="_Toc231571700"/>
            <w:r>
              <w:rPr>
                <w:rFonts w:hint="eastAsia" w:ascii="Times New Roman" w:hAnsi="Times New Roman" w:eastAsia="宋体"/>
                <w:sz w:val="24"/>
                <w:szCs w:val="24"/>
              </w:rPr>
              <w:t>4.1.1 施工工艺流程简述及产污节点</w:t>
            </w:r>
            <w:bookmarkEnd w:id="132"/>
            <w:bookmarkEnd w:id="133"/>
          </w:p>
          <w:p w14:paraId="38D76F99">
            <w:pPr>
              <w:spacing w:line="360" w:lineRule="auto"/>
              <w:ind w:firstLine="480" w:firstLineChars="200"/>
              <w:rPr>
                <w:sz w:val="24"/>
              </w:rPr>
            </w:pPr>
            <w:r>
              <w:rPr>
                <w:rFonts w:hint="eastAsia"/>
                <w:sz w:val="24"/>
              </w:rPr>
              <w:t>本</w:t>
            </w:r>
            <w:r>
              <w:rPr>
                <w:sz w:val="24"/>
              </w:rPr>
              <w:t>项目的施工包括道路的施工、光伏阵列基础的开挖、</w:t>
            </w:r>
            <w:r>
              <w:rPr>
                <w:rFonts w:hint="eastAsia"/>
                <w:sz w:val="24"/>
              </w:rPr>
              <w:t>升压</w:t>
            </w:r>
            <w:r>
              <w:rPr>
                <w:sz w:val="24"/>
              </w:rPr>
              <w:t>站</w:t>
            </w:r>
            <w:r>
              <w:rPr>
                <w:rFonts w:hint="eastAsia"/>
                <w:sz w:val="24"/>
              </w:rPr>
              <w:t>现有构筑物的拆除</w:t>
            </w:r>
            <w:r>
              <w:rPr>
                <w:sz w:val="24"/>
              </w:rPr>
              <w:t>等</w:t>
            </w:r>
            <w:r>
              <w:rPr>
                <w:rFonts w:hint="eastAsia"/>
                <w:sz w:val="24"/>
              </w:rPr>
              <w:t>，以及后续光伏阵列区、升压站</w:t>
            </w:r>
            <w:r>
              <w:rPr>
                <w:sz w:val="24"/>
              </w:rPr>
              <w:t>构筑物的建设及设备的安装和调试。</w:t>
            </w:r>
          </w:p>
          <w:p w14:paraId="6E645313">
            <w:pPr>
              <w:spacing w:line="360" w:lineRule="auto"/>
              <w:ind w:firstLine="480" w:firstLineChars="200"/>
              <w:rPr>
                <w:rFonts w:hint="eastAsia"/>
                <w:sz w:val="24"/>
              </w:rPr>
            </w:pPr>
            <w:r>
              <w:rPr>
                <w:sz w:val="24"/>
              </w:rPr>
              <w:t>施工期主要污染源有：施工期机械噪声、扬尘、运输及动力设备运行产生的燃油废气、固体废物、施工作业对</w:t>
            </w:r>
            <w:r>
              <w:rPr>
                <w:rFonts w:hint="eastAsia"/>
                <w:sz w:val="24"/>
              </w:rPr>
              <w:t>区域</w:t>
            </w:r>
            <w:r>
              <w:rPr>
                <w:sz w:val="24"/>
              </w:rPr>
              <w:t>生态环境破坏可能导致的水土流失</w:t>
            </w:r>
            <w:r>
              <w:rPr>
                <w:rFonts w:hint="eastAsia"/>
                <w:sz w:val="24"/>
              </w:rPr>
              <w:t>和植被破坏</w:t>
            </w:r>
            <w:r>
              <w:rPr>
                <w:sz w:val="24"/>
              </w:rPr>
              <w:t>、施工人员</w:t>
            </w:r>
            <w:r>
              <w:rPr>
                <w:rFonts w:hint="eastAsia"/>
                <w:sz w:val="24"/>
              </w:rPr>
              <w:t>生活污水</w:t>
            </w:r>
            <w:r>
              <w:rPr>
                <w:sz w:val="24"/>
              </w:rPr>
              <w:t>、生活垃圾</w:t>
            </w:r>
            <w:r>
              <w:rPr>
                <w:rFonts w:hint="eastAsia"/>
                <w:sz w:val="24"/>
              </w:rPr>
              <w:t>等。</w:t>
            </w:r>
          </w:p>
          <w:p w14:paraId="7D22BEAF">
            <w:pPr>
              <w:spacing w:line="360" w:lineRule="auto"/>
              <w:ind w:firstLine="480" w:firstLineChars="200"/>
              <w:rPr>
                <w:sz w:val="24"/>
              </w:rPr>
            </w:pPr>
            <w:r>
              <w:rPr>
                <w:sz w:val="24"/>
              </w:rPr>
              <w:t>施工流程及各阶段产污环节见</w:t>
            </w:r>
            <w:r>
              <w:rPr>
                <w:rFonts w:hint="eastAsia"/>
                <w:sz w:val="24"/>
              </w:rPr>
              <w:t>下</w:t>
            </w:r>
            <w:r>
              <w:rPr>
                <w:sz w:val="24"/>
              </w:rPr>
              <w:t>图。</w:t>
            </w:r>
          </w:p>
          <w:p w14:paraId="7E3E322F">
            <w:pPr>
              <w:pStyle w:val="97"/>
              <w:snapToGrid w:val="0"/>
              <w:spacing w:line="360" w:lineRule="auto"/>
              <w:jc w:val="center"/>
              <w:rPr>
                <w:rFonts w:ascii="Times New Roman" w:cs="Times New Roman"/>
              </w:rPr>
            </w:pPr>
            <w:r>
              <w:rPr>
                <w:rFonts w:ascii="Times New Roman" w:cs="Times New Roman"/>
                <w:color w:val="auto"/>
                <w:lang w:val="en-US" w:eastAsia="zh-CN"/>
              </w:rPr>
              <w:drawing>
                <wp:inline distT="0" distB="0" distL="0" distR="0">
                  <wp:extent cx="4813300" cy="1483995"/>
                  <wp:effectExtent l="0" t="0" r="0" b="0"/>
                  <wp:docPr id="37" name="图片 1" descr="43d59c051e42c21db01d701fce1e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descr="43d59c051e42c21db01d701fce1e7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813300" cy="1483995"/>
                          </a:xfrm>
                          <a:prstGeom prst="rect">
                            <a:avLst/>
                          </a:prstGeom>
                          <a:noFill/>
                          <a:ln>
                            <a:noFill/>
                          </a:ln>
                        </pic:spPr>
                      </pic:pic>
                    </a:graphicData>
                  </a:graphic>
                </wp:inline>
              </w:drawing>
            </w:r>
          </w:p>
          <w:p w14:paraId="6B7A6216">
            <w:pPr>
              <w:adjustRightInd w:val="0"/>
              <w:snapToGrid w:val="0"/>
              <w:spacing w:line="360" w:lineRule="auto"/>
              <w:jc w:val="center"/>
              <w:rPr>
                <w:b/>
                <w:snapToGrid w:val="0"/>
                <w:kern w:val="0"/>
                <w:sz w:val="24"/>
                <w:szCs w:val="24"/>
              </w:rPr>
            </w:pPr>
            <w:r>
              <w:rPr>
                <w:b/>
                <w:snapToGrid w:val="0"/>
                <w:kern w:val="0"/>
                <w:sz w:val="24"/>
                <w:szCs w:val="24"/>
              </w:rPr>
              <w:t>图4.1.1</w:t>
            </w:r>
            <w:r>
              <w:rPr>
                <w:rFonts w:hint="eastAsia"/>
                <w:b/>
                <w:snapToGrid w:val="0"/>
                <w:kern w:val="0"/>
                <w:sz w:val="24"/>
                <w:szCs w:val="24"/>
              </w:rPr>
              <w:t>-</w:t>
            </w:r>
            <w:r>
              <w:rPr>
                <w:b/>
                <w:snapToGrid w:val="0"/>
                <w:kern w:val="0"/>
                <w:sz w:val="24"/>
                <w:szCs w:val="24"/>
              </w:rPr>
              <w:t>1  光伏发电系统施工工艺流程及产污环节图</w:t>
            </w:r>
          </w:p>
          <w:p w14:paraId="420750E4">
            <w:pPr>
              <w:pStyle w:val="97"/>
              <w:snapToGrid w:val="0"/>
              <w:spacing w:line="360" w:lineRule="auto"/>
              <w:jc w:val="center"/>
            </w:pPr>
            <w:r>
              <w:rPr>
                <w:lang w:val="en-US" w:eastAsia="zh-CN"/>
              </w:rPr>
              <w:drawing>
                <wp:inline distT="0" distB="0" distL="0" distR="0">
                  <wp:extent cx="4873625" cy="1578610"/>
                  <wp:effectExtent l="0" t="0" r="0" b="0"/>
                  <wp:docPr id="38" name="图片 6" descr="83023b0f50a03abcc36c73454df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 descr="83023b0f50a03abcc36c73454df14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873625" cy="1578610"/>
                          </a:xfrm>
                          <a:prstGeom prst="rect">
                            <a:avLst/>
                          </a:prstGeom>
                          <a:noFill/>
                          <a:ln>
                            <a:noFill/>
                          </a:ln>
                        </pic:spPr>
                      </pic:pic>
                    </a:graphicData>
                  </a:graphic>
                </wp:inline>
              </w:drawing>
            </w:r>
          </w:p>
          <w:p w14:paraId="02595901">
            <w:pPr>
              <w:adjustRightInd w:val="0"/>
              <w:snapToGrid w:val="0"/>
              <w:jc w:val="center"/>
              <w:rPr>
                <w:b/>
                <w:snapToGrid w:val="0"/>
                <w:kern w:val="0"/>
                <w:sz w:val="24"/>
                <w:szCs w:val="24"/>
              </w:rPr>
            </w:pPr>
            <w:r>
              <w:rPr>
                <w:b/>
                <w:snapToGrid w:val="0"/>
                <w:kern w:val="0"/>
                <w:sz w:val="24"/>
                <w:szCs w:val="24"/>
              </w:rPr>
              <w:t xml:space="preserve">图4.1.1-2  </w:t>
            </w:r>
            <w:r>
              <w:rPr>
                <w:rFonts w:hint="eastAsia"/>
                <w:b/>
                <w:snapToGrid w:val="0"/>
                <w:kern w:val="0"/>
                <w:sz w:val="24"/>
                <w:szCs w:val="24"/>
              </w:rPr>
              <w:t>道路</w:t>
            </w:r>
            <w:r>
              <w:rPr>
                <w:b/>
                <w:snapToGrid w:val="0"/>
                <w:kern w:val="0"/>
                <w:sz w:val="24"/>
                <w:szCs w:val="24"/>
              </w:rPr>
              <w:t>施工工艺流程及产污环节图</w:t>
            </w:r>
          </w:p>
          <w:p w14:paraId="0424D6F4">
            <w:pPr>
              <w:adjustRightInd w:val="0"/>
              <w:snapToGrid w:val="0"/>
              <w:spacing w:line="360" w:lineRule="auto"/>
              <w:jc w:val="center"/>
            </w:pPr>
            <w:r>
              <w:rPr>
                <w:lang w:val="en-US" w:eastAsia="zh-CN"/>
              </w:rPr>
              <w:drawing>
                <wp:inline distT="0" distB="0" distL="0" distR="0">
                  <wp:extent cx="4934585" cy="1397635"/>
                  <wp:effectExtent l="0" t="0" r="0" b="0"/>
                  <wp:docPr id="39" name="图片 3" descr="e872c88c1df090a5185474e0f895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e872c88c1df090a5185474e0f895ba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934585" cy="1397635"/>
                          </a:xfrm>
                          <a:prstGeom prst="rect">
                            <a:avLst/>
                          </a:prstGeom>
                          <a:noFill/>
                          <a:ln>
                            <a:noFill/>
                          </a:ln>
                        </pic:spPr>
                      </pic:pic>
                    </a:graphicData>
                  </a:graphic>
                </wp:inline>
              </w:drawing>
            </w:r>
          </w:p>
          <w:p w14:paraId="44FF99BD">
            <w:pPr>
              <w:adjustRightInd w:val="0"/>
              <w:snapToGrid w:val="0"/>
              <w:jc w:val="center"/>
              <w:rPr>
                <w:sz w:val="24"/>
              </w:rPr>
            </w:pPr>
            <w:r>
              <w:rPr>
                <w:b/>
                <w:snapToGrid w:val="0"/>
                <w:kern w:val="0"/>
                <w:sz w:val="24"/>
                <w:szCs w:val="24"/>
              </w:rPr>
              <w:t xml:space="preserve">图4.1.1-3  </w:t>
            </w:r>
            <w:r>
              <w:rPr>
                <w:rFonts w:hint="eastAsia"/>
                <w:b/>
                <w:snapToGrid w:val="0"/>
                <w:kern w:val="0"/>
                <w:sz w:val="24"/>
                <w:szCs w:val="24"/>
              </w:rPr>
              <w:t>升压站施工及升压站设备安装</w:t>
            </w:r>
            <w:r>
              <w:rPr>
                <w:b/>
                <w:snapToGrid w:val="0"/>
                <w:kern w:val="0"/>
                <w:sz w:val="24"/>
                <w:szCs w:val="24"/>
              </w:rPr>
              <w:t>流程及产污环节图</w:t>
            </w:r>
          </w:p>
          <w:p w14:paraId="43E7ED66">
            <w:pPr>
              <w:adjustRightInd w:val="0"/>
              <w:snapToGrid w:val="0"/>
              <w:spacing w:line="360" w:lineRule="auto"/>
              <w:jc w:val="center"/>
              <w:rPr>
                <w:rFonts w:hint="eastAsia"/>
                <w:b/>
                <w:snapToGrid w:val="0"/>
                <w:kern w:val="0"/>
              </w:rPr>
            </w:pPr>
          </w:p>
          <w:p w14:paraId="41D332DC">
            <w:pPr>
              <w:autoSpaceDE w:val="0"/>
              <w:autoSpaceDN w:val="0"/>
              <w:spacing w:line="360" w:lineRule="auto"/>
              <w:rPr>
                <w:rFonts w:hint="eastAsia"/>
                <w:b/>
                <w:bCs/>
                <w:snapToGrid w:val="0"/>
                <w:kern w:val="0"/>
                <w:sz w:val="24"/>
              </w:rPr>
            </w:pPr>
            <w:r>
              <w:rPr>
                <w:rFonts w:hint="eastAsia"/>
                <w:b/>
                <w:bCs/>
                <w:sz w:val="24"/>
                <w:szCs w:val="24"/>
              </w:rPr>
              <w:t xml:space="preserve">4.1.2 </w:t>
            </w:r>
            <w:r>
              <w:rPr>
                <w:rFonts w:hint="eastAsia"/>
                <w:b/>
                <w:bCs/>
                <w:snapToGrid w:val="0"/>
                <w:kern w:val="0"/>
                <w:sz w:val="24"/>
              </w:rPr>
              <w:t>施工期生态影响</w:t>
            </w:r>
          </w:p>
          <w:p w14:paraId="49C24270">
            <w:pPr>
              <w:autoSpaceDE w:val="0"/>
              <w:autoSpaceDN w:val="0"/>
              <w:spacing w:line="360" w:lineRule="auto"/>
              <w:ind w:firstLine="480" w:firstLineChars="200"/>
              <w:rPr>
                <w:snapToGrid w:val="0"/>
                <w:kern w:val="0"/>
                <w:sz w:val="24"/>
              </w:rPr>
            </w:pPr>
            <w:r>
              <w:rPr>
                <w:rFonts w:hint="eastAsia"/>
                <w:snapToGrid w:val="0"/>
                <w:kern w:val="0"/>
                <w:sz w:val="24"/>
              </w:rPr>
              <w:t>施工期生态环境影响主要来自工程占地导致占用区域土地利用类型发生改变，施工过程中场地平整、地表清理等对地表植被和植株造成破坏，施工机械作业及人为活动等对区域野生动物产生干扰，以及施工期间地表裸露、土石方开挖回填和临时堆存等导致的水土流失。</w:t>
            </w:r>
          </w:p>
          <w:p w14:paraId="2047A91D">
            <w:pPr>
              <w:autoSpaceDE w:val="0"/>
              <w:autoSpaceDN w:val="0"/>
              <w:spacing w:line="360" w:lineRule="auto"/>
              <w:ind w:firstLine="482" w:firstLineChars="200"/>
              <w:rPr>
                <w:b/>
                <w:bCs/>
                <w:snapToGrid w:val="0"/>
                <w:kern w:val="0"/>
                <w:sz w:val="24"/>
              </w:rPr>
            </w:pPr>
            <w:r>
              <w:rPr>
                <w:b/>
                <w:bCs/>
                <w:snapToGrid w:val="0"/>
                <w:kern w:val="0"/>
                <w:sz w:val="24"/>
              </w:rPr>
              <w:t>（1）对土地利用的影响分析</w:t>
            </w:r>
          </w:p>
          <w:p w14:paraId="68942EDA">
            <w:pPr>
              <w:pStyle w:val="112"/>
              <w:adjustRightInd/>
              <w:snapToGrid/>
              <w:spacing w:line="360" w:lineRule="auto"/>
              <w:ind w:firstLine="480" w:firstLineChars="200"/>
              <w:rPr>
                <w:rFonts w:hint="eastAsia" w:ascii="Times New Roman"/>
                <w:spacing w:val="0"/>
                <w:sz w:val="24"/>
              </w:rPr>
            </w:pPr>
            <w:r>
              <w:rPr>
                <w:rFonts w:hint="eastAsia" w:ascii="Times New Roman"/>
                <w:spacing w:val="0"/>
                <w:sz w:val="24"/>
              </w:rPr>
              <w:t>本项目</w:t>
            </w:r>
            <w:r>
              <w:rPr>
                <w:rFonts w:ascii="Times New Roman"/>
                <w:spacing w:val="0"/>
                <w:sz w:val="24"/>
              </w:rPr>
              <w:t>总</w:t>
            </w:r>
            <w:r>
              <w:rPr>
                <w:rFonts w:hint="eastAsia" w:ascii="Times New Roman"/>
                <w:sz w:val="24"/>
              </w:rPr>
              <w:t>占地面积</w:t>
            </w:r>
            <w:r>
              <w:rPr>
                <w:rFonts w:ascii="Times New Roman"/>
                <w:sz w:val="24"/>
              </w:rPr>
              <w:t>86.97hm</w:t>
            </w:r>
            <w:r>
              <w:rPr>
                <w:rFonts w:ascii="Times New Roman"/>
                <w:sz w:val="24"/>
                <w:vertAlign w:val="superscript"/>
              </w:rPr>
              <w:t>2</w:t>
            </w:r>
            <w:r>
              <w:rPr>
                <w:rFonts w:hint="eastAsia" w:ascii="Times New Roman"/>
                <w:sz w:val="24"/>
              </w:rPr>
              <w:t>，永久占地</w:t>
            </w:r>
            <w:r>
              <w:rPr>
                <w:rFonts w:ascii="Times New Roman"/>
                <w:sz w:val="24"/>
              </w:rPr>
              <w:t>0.92hm</w:t>
            </w:r>
            <w:r>
              <w:rPr>
                <w:rFonts w:ascii="Times New Roman"/>
                <w:sz w:val="24"/>
                <w:vertAlign w:val="superscript"/>
              </w:rPr>
              <w:t>2</w:t>
            </w:r>
            <w:r>
              <w:rPr>
                <w:rFonts w:hint="eastAsia" w:ascii="Times New Roman"/>
                <w:sz w:val="24"/>
              </w:rPr>
              <w:t>，长期租地</w:t>
            </w:r>
            <w:r>
              <w:rPr>
                <w:rFonts w:ascii="Times New Roman"/>
                <w:sz w:val="24"/>
              </w:rPr>
              <w:t>84.93hm</w:t>
            </w:r>
            <w:r>
              <w:rPr>
                <w:rFonts w:ascii="Times New Roman"/>
                <w:sz w:val="24"/>
                <w:vertAlign w:val="superscript"/>
              </w:rPr>
              <w:t>2</w:t>
            </w:r>
            <w:r>
              <w:rPr>
                <w:rFonts w:hint="eastAsia" w:ascii="Times New Roman"/>
                <w:sz w:val="24"/>
              </w:rPr>
              <w:t>，临时租地</w:t>
            </w:r>
            <w:r>
              <w:rPr>
                <w:rFonts w:ascii="Times New Roman"/>
                <w:sz w:val="24"/>
              </w:rPr>
              <w:t>1.13hm</w:t>
            </w:r>
            <w:r>
              <w:rPr>
                <w:rFonts w:ascii="Times New Roman"/>
                <w:sz w:val="24"/>
                <w:vertAlign w:val="superscript"/>
              </w:rPr>
              <w:t>2</w:t>
            </w:r>
            <w:r>
              <w:rPr>
                <w:rFonts w:hint="eastAsia" w:ascii="Times New Roman"/>
                <w:spacing w:val="0"/>
                <w:sz w:val="24"/>
              </w:rPr>
              <w:t>；</w:t>
            </w:r>
            <w:r>
              <w:rPr>
                <w:rFonts w:ascii="Times New Roman"/>
                <w:spacing w:val="0"/>
                <w:sz w:val="24"/>
              </w:rPr>
              <w:t>项目占地类型为</w:t>
            </w:r>
            <w:r>
              <w:rPr>
                <w:rFonts w:hint="eastAsia" w:ascii="Times New Roman"/>
                <w:spacing w:val="0"/>
                <w:sz w:val="24"/>
              </w:rPr>
              <w:t>草地和园地。各部门所出具选址意见未包含新建及改扩建道路、集电线路及塔基占地，经复核，该内容不涉及响应敏感因素。</w:t>
            </w:r>
          </w:p>
          <w:p w14:paraId="217588E0">
            <w:pPr>
              <w:pStyle w:val="222"/>
            </w:pPr>
            <w:r>
              <w:rPr>
                <w:rFonts w:hint="eastAsia"/>
              </w:rPr>
              <w:t>项目的永久占地将改变所占用土地的利用方式，但项目区域永久占地面积很小，只涉及升压站、进站道路、集电线路塔基区、光伏场区立桩、箱变基础的建设占地，所占比例较小，工程永久占地不会对项目区周边土地利用格局产生明显影响</w:t>
            </w:r>
            <w:r>
              <w:t>。</w:t>
            </w:r>
          </w:p>
          <w:p w14:paraId="4087D5F7">
            <w:pPr>
              <w:pStyle w:val="222"/>
            </w:pPr>
            <w:r>
              <w:rPr>
                <w:rFonts w:hint="eastAsia"/>
              </w:rPr>
              <w:t>项目的临时占地主要为光伏场区的建设和场内道路的建设，在施工期会对临时占用的园地和草地造成影响，除了场区内道路，其他地区不进行大规模开挖平整，仅对光伏板基础及箱变基础周边、地埋集电线路沿线进行清除施工，此部分占地上的草地、灌丛等将会被移除，表土将被剥离并分开堆存，并随着施工期的结束，将进行复绿等生态恢复措施，能够恢复到项目建设前其他草地的状况。且随着项目服务区满使用结束，场地恢复交还后，对土地利用的影响将进一步减小，此部分影响随着使用权流转结束而消失。</w:t>
            </w:r>
          </w:p>
          <w:p w14:paraId="6A9E3130">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（2）对植被和植物的影响分析</w:t>
            </w:r>
          </w:p>
          <w:p w14:paraId="1BDD6A6A">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1）对植被的影响</w:t>
            </w:r>
          </w:p>
          <w:p w14:paraId="2BB27E99">
            <w:pPr>
              <w:spacing w:line="360" w:lineRule="auto"/>
              <w:ind w:firstLine="480" w:firstLineChars="200"/>
              <w:rPr>
                <w:sz w:val="24"/>
              </w:rPr>
            </w:pPr>
            <w:r>
              <w:rPr>
                <w:rFonts w:hint="eastAsia"/>
                <w:snapToGrid w:val="0"/>
                <w:kern w:val="0"/>
                <w:sz w:val="24"/>
              </w:rPr>
              <w:t>项目对植被的影响主要是占地及施工造成的植被破坏。对于场区永久占地区域，影响到的植被将无法恢复，其所受的影响是不可逆的。对于临时占地区域，其中的场内保留区植被不受扰动。集电线路塔基、场内道路边坡、临时施工营场地区域在工程施工时将清除地表植被，但工程建设结束后通过复垦及植被恢复，上述区域的植被将得以逐渐恢复。光伏方阵板下及板间空地植被在施工时受到的扰动较小，</w:t>
            </w:r>
            <w:r>
              <w:rPr>
                <w:rFonts w:hint="eastAsia"/>
                <w:sz w:val="24"/>
              </w:rPr>
              <w:t>施工期结束，将对</w:t>
            </w:r>
            <w:r>
              <w:rPr>
                <w:rFonts w:hint="eastAsia"/>
                <w:snapToGrid w:val="0"/>
                <w:kern w:val="0"/>
                <w:sz w:val="24"/>
              </w:rPr>
              <w:t>光伏方阵板下及板间空地</w:t>
            </w:r>
            <w:r>
              <w:rPr>
                <w:rFonts w:hint="eastAsia"/>
                <w:sz w:val="24"/>
              </w:rPr>
              <w:t>进行绿化恢复，起到了植被恢复的作用，项目施工期对植被的影响较小。</w:t>
            </w:r>
          </w:p>
          <w:p w14:paraId="7BBCE0D0">
            <w:pPr>
              <w:autoSpaceDE w:val="0"/>
              <w:autoSpaceDN w:val="0"/>
              <w:spacing w:line="360" w:lineRule="auto"/>
              <w:ind w:firstLine="480" w:firstLineChars="200"/>
              <w:rPr>
                <w:bCs/>
                <w:kern w:val="0"/>
                <w:sz w:val="24"/>
                <w:szCs w:val="24"/>
                <w:lang w:bidi="ar"/>
              </w:rPr>
            </w:pPr>
            <w:r>
              <w:rPr>
                <w:rFonts w:hint="eastAsia"/>
                <w:bCs/>
                <w:kern w:val="0"/>
                <w:sz w:val="24"/>
                <w:szCs w:val="24"/>
                <w:lang w:bidi="ar"/>
              </w:rPr>
              <w:t>本项目占用的自然植被均为暖温性稀树灌木草丛，占用面积74.76hm</w:t>
            </w:r>
            <w:r>
              <w:rPr>
                <w:rFonts w:hint="eastAsia"/>
                <w:bCs/>
                <w:kern w:val="0"/>
                <w:sz w:val="24"/>
                <w:szCs w:val="24"/>
                <w:vertAlign w:val="superscript"/>
                <w:lang w:bidi="ar"/>
              </w:rPr>
              <w:t>2</w:t>
            </w:r>
            <w:r>
              <w:rPr>
                <w:rFonts w:hint="eastAsia"/>
                <w:bCs/>
                <w:kern w:val="0"/>
                <w:sz w:val="24"/>
                <w:szCs w:val="24"/>
                <w:lang w:bidi="ar"/>
              </w:rPr>
              <w:t>，占调查区该类型面积的11.96%，工程所占用的该植被类型为项目所处区域常见的植被类型，无国家级和云南省级重点保护野生植物分布。因此，工程建设不会导致任何一种植被类型在该区域消失，也不会对当地的植被生态系统的稳定状况产生明显的不利影响。总体上看，工程建设需要占用一定的植被面积。以自然植被而言，项目占地所涉及的植被类型在项目调查区广泛分布，占用植被类型的比例不大，工程建设对区域植被组成和景观生态结构不会产生明显影响。</w:t>
            </w:r>
          </w:p>
          <w:p w14:paraId="3303D9EC">
            <w:pPr>
              <w:widowControl/>
              <w:spacing w:line="360" w:lineRule="auto"/>
              <w:jc w:val="center"/>
              <w:rPr>
                <w:rFonts w:eastAsia="黑体"/>
                <w:sz w:val="24"/>
                <w:szCs w:val="24"/>
                <w:shd w:val="clear" w:color="auto" w:fill="FFFFFF"/>
              </w:rPr>
            </w:pPr>
            <w:r>
              <w:rPr>
                <w:rFonts w:eastAsia="黑体"/>
                <w:sz w:val="24"/>
                <w:szCs w:val="24"/>
                <w:shd w:val="clear" w:color="auto" w:fill="FFFFFF"/>
              </w:rPr>
              <w:t>表4</w:t>
            </w:r>
            <w:r>
              <w:rPr>
                <w:rFonts w:hint="eastAsia" w:eastAsia="黑体"/>
                <w:sz w:val="24"/>
                <w:szCs w:val="24"/>
                <w:shd w:val="clear" w:color="auto" w:fill="FFFFFF"/>
              </w:rPr>
              <w:t>.1.2-1</w:t>
            </w:r>
            <w:r>
              <w:rPr>
                <w:rFonts w:eastAsia="黑体"/>
                <w:sz w:val="24"/>
                <w:szCs w:val="24"/>
                <w:shd w:val="clear" w:color="auto" w:fill="FFFFFF"/>
              </w:rPr>
              <w:t xml:space="preserve"> </w:t>
            </w:r>
            <w:r>
              <w:rPr>
                <w:rFonts w:hint="eastAsia" w:eastAsia="黑体"/>
                <w:sz w:val="24"/>
                <w:szCs w:val="24"/>
                <w:shd w:val="clear" w:color="auto" w:fill="FFFFFF"/>
              </w:rPr>
              <w:t xml:space="preserve"> </w:t>
            </w:r>
            <w:r>
              <w:rPr>
                <w:rFonts w:eastAsia="黑体"/>
                <w:sz w:val="24"/>
                <w:szCs w:val="24"/>
                <w:shd w:val="clear" w:color="auto" w:fill="FFFFFF"/>
              </w:rPr>
              <w:t>工程占地对植被的影响</w:t>
            </w:r>
          </w:p>
          <w:tbl>
            <w:tblPr>
              <w:tblStyle w:val="30"/>
              <w:tblW w:w="498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9"/>
              <w:gridCol w:w="1138"/>
              <w:gridCol w:w="1223"/>
              <w:gridCol w:w="960"/>
              <w:gridCol w:w="1011"/>
              <w:gridCol w:w="796"/>
              <w:gridCol w:w="846"/>
              <w:gridCol w:w="738"/>
              <w:gridCol w:w="1061"/>
            </w:tblGrid>
            <w:tr w14:paraId="7658D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jc w:val="center"/>
              </w:trPr>
              <w:tc>
                <w:tcPr>
                  <w:tcW w:w="1142" w:type="pct"/>
                  <w:gridSpan w:val="2"/>
                  <w:vMerge w:val="restart"/>
                  <w:tcBorders>
                    <w:top w:val="single" w:color="000000" w:sz="10" w:space="0"/>
                    <w:left w:val="single" w:color="000000" w:sz="10" w:space="0"/>
                  </w:tcBorders>
                  <w:vAlign w:val="center"/>
                </w:tcPr>
                <w:p w14:paraId="6C1DF137">
                  <w:pPr>
                    <w:pStyle w:val="208"/>
                    <w:autoSpaceDE w:val="0"/>
                    <w:autoSpaceDN w:val="0"/>
                    <w:jc w:val="center"/>
                    <w:rPr>
                      <w:rFonts w:eastAsia="宋体"/>
                      <w:sz w:val="21"/>
                      <w:szCs w:val="21"/>
                    </w:rPr>
                  </w:pPr>
                  <w:r>
                    <w:rPr>
                      <w:rFonts w:eastAsia="宋体"/>
                      <w:spacing w:val="6"/>
                      <w:sz w:val="21"/>
                      <w:szCs w:val="21"/>
                      <w:lang w:eastAsia="zh-CN"/>
                    </w:rPr>
                    <w:t>植</w:t>
                  </w:r>
                  <w:r>
                    <w:rPr>
                      <w:rFonts w:eastAsia="宋体"/>
                      <w:spacing w:val="7"/>
                      <w:sz w:val="21"/>
                      <w:szCs w:val="21"/>
                    </w:rPr>
                    <w:t>被类型</w:t>
                  </w:r>
                </w:p>
              </w:tc>
              <w:tc>
                <w:tcPr>
                  <w:tcW w:w="711" w:type="pct"/>
                  <w:tcBorders>
                    <w:top w:val="single" w:color="000000" w:sz="10" w:space="0"/>
                  </w:tcBorders>
                  <w:vAlign w:val="center"/>
                </w:tcPr>
                <w:p w14:paraId="3191C9EC">
                  <w:pPr>
                    <w:pStyle w:val="208"/>
                    <w:autoSpaceDE w:val="0"/>
                    <w:autoSpaceDN w:val="0"/>
                    <w:jc w:val="center"/>
                    <w:rPr>
                      <w:rFonts w:eastAsia="宋体"/>
                      <w:sz w:val="21"/>
                      <w:szCs w:val="21"/>
                    </w:rPr>
                  </w:pPr>
                  <w:r>
                    <w:rPr>
                      <w:rFonts w:eastAsia="宋体"/>
                      <w:spacing w:val="3"/>
                      <w:sz w:val="21"/>
                      <w:szCs w:val="21"/>
                    </w:rPr>
                    <w:t>永久</w:t>
                  </w:r>
                  <w:r>
                    <w:rPr>
                      <w:rFonts w:eastAsia="宋体"/>
                      <w:spacing w:val="-13"/>
                      <w:sz w:val="21"/>
                      <w:szCs w:val="21"/>
                    </w:rPr>
                    <w:t>占地</w:t>
                  </w:r>
                </w:p>
              </w:tc>
              <w:tc>
                <w:tcPr>
                  <w:tcW w:w="558" w:type="pct"/>
                  <w:tcBorders>
                    <w:top w:val="single" w:color="000000" w:sz="10" w:space="0"/>
                  </w:tcBorders>
                  <w:vAlign w:val="center"/>
                </w:tcPr>
                <w:p w14:paraId="586DE829">
                  <w:pPr>
                    <w:pStyle w:val="208"/>
                    <w:autoSpaceDE w:val="0"/>
                    <w:autoSpaceDN w:val="0"/>
                    <w:jc w:val="center"/>
                    <w:rPr>
                      <w:rFonts w:eastAsia="宋体"/>
                      <w:sz w:val="21"/>
                      <w:szCs w:val="21"/>
                    </w:rPr>
                  </w:pPr>
                  <w:r>
                    <w:rPr>
                      <w:rFonts w:eastAsia="宋体"/>
                      <w:spacing w:val="-1"/>
                      <w:sz w:val="21"/>
                      <w:szCs w:val="21"/>
                    </w:rPr>
                    <w:t>临时</w:t>
                  </w:r>
                  <w:r>
                    <w:rPr>
                      <w:rFonts w:eastAsia="宋体"/>
                      <w:spacing w:val="-13"/>
                      <w:sz w:val="21"/>
                      <w:szCs w:val="21"/>
                    </w:rPr>
                    <w:t>占地</w:t>
                  </w:r>
                </w:p>
              </w:tc>
              <w:tc>
                <w:tcPr>
                  <w:tcW w:w="2589" w:type="pct"/>
                  <w:gridSpan w:val="5"/>
                  <w:tcBorders>
                    <w:top w:val="single" w:color="000000" w:sz="10" w:space="0"/>
                    <w:right w:val="single" w:color="000000" w:sz="10" w:space="0"/>
                  </w:tcBorders>
                  <w:vAlign w:val="center"/>
                </w:tcPr>
                <w:p w14:paraId="101F300C">
                  <w:pPr>
                    <w:pStyle w:val="208"/>
                    <w:autoSpaceDE w:val="0"/>
                    <w:autoSpaceDN w:val="0"/>
                    <w:jc w:val="center"/>
                    <w:rPr>
                      <w:rFonts w:eastAsia="宋体"/>
                      <w:sz w:val="21"/>
                      <w:szCs w:val="21"/>
                    </w:rPr>
                  </w:pPr>
                  <w:r>
                    <w:rPr>
                      <w:rFonts w:eastAsia="宋体"/>
                      <w:spacing w:val="4"/>
                      <w:sz w:val="21"/>
                      <w:szCs w:val="21"/>
                    </w:rPr>
                    <w:t>合计</w:t>
                  </w:r>
                </w:p>
              </w:tc>
            </w:tr>
            <w:tr w14:paraId="78F22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jc w:val="center"/>
              </w:trPr>
              <w:tc>
                <w:tcPr>
                  <w:tcW w:w="1142" w:type="pct"/>
                  <w:gridSpan w:val="2"/>
                  <w:vMerge w:val="continue"/>
                  <w:tcBorders>
                    <w:left w:val="single" w:color="000000" w:sz="10" w:space="0"/>
                  </w:tcBorders>
                  <w:vAlign w:val="center"/>
                </w:tcPr>
                <w:p w14:paraId="21AAA087">
                  <w:pPr>
                    <w:autoSpaceDE w:val="0"/>
                    <w:autoSpaceDN w:val="0"/>
                    <w:jc w:val="center"/>
                  </w:pPr>
                </w:p>
              </w:tc>
              <w:tc>
                <w:tcPr>
                  <w:tcW w:w="711" w:type="pct"/>
                  <w:vMerge w:val="restart"/>
                  <w:tcBorders>
                    <w:bottom w:val="nil"/>
                  </w:tcBorders>
                  <w:vAlign w:val="center"/>
                </w:tcPr>
                <w:p w14:paraId="79FF8FFB">
                  <w:pPr>
                    <w:pStyle w:val="208"/>
                    <w:autoSpaceDE w:val="0"/>
                    <w:autoSpaceDN w:val="0"/>
                    <w:jc w:val="center"/>
                    <w:rPr>
                      <w:rFonts w:eastAsia="宋体"/>
                      <w:sz w:val="21"/>
                      <w:szCs w:val="21"/>
                    </w:rPr>
                  </w:pPr>
                  <w:r>
                    <w:rPr>
                      <w:rFonts w:eastAsia="宋体"/>
                      <w:spacing w:val="4"/>
                      <w:sz w:val="21"/>
                      <w:szCs w:val="21"/>
                    </w:rPr>
                    <w:t>面积</w:t>
                  </w:r>
                  <w:r>
                    <w:rPr>
                      <w:rFonts w:eastAsia="宋体"/>
                      <w:spacing w:val="9"/>
                      <w:sz w:val="21"/>
                      <w:szCs w:val="21"/>
                    </w:rPr>
                    <w:t>/</w:t>
                  </w:r>
                  <w:r>
                    <w:rPr>
                      <w:rFonts w:eastAsia="宋体"/>
                      <w:sz w:val="21"/>
                      <w:szCs w:val="21"/>
                    </w:rPr>
                    <w:t>hm</w:t>
                  </w:r>
                  <w:r>
                    <w:rPr>
                      <w:rFonts w:eastAsia="宋体"/>
                      <w:sz w:val="21"/>
                      <w:szCs w:val="21"/>
                      <w:vertAlign w:val="superscript"/>
                      <w:lang w:eastAsia="zh-CN"/>
                    </w:rPr>
                    <w:t>2</w:t>
                  </w:r>
                </w:p>
              </w:tc>
              <w:tc>
                <w:tcPr>
                  <w:tcW w:w="558" w:type="pct"/>
                  <w:vMerge w:val="restart"/>
                  <w:tcBorders>
                    <w:bottom w:val="nil"/>
                  </w:tcBorders>
                  <w:vAlign w:val="center"/>
                </w:tcPr>
                <w:p w14:paraId="02D29772">
                  <w:pPr>
                    <w:pStyle w:val="208"/>
                    <w:autoSpaceDE w:val="0"/>
                    <w:autoSpaceDN w:val="0"/>
                    <w:jc w:val="center"/>
                    <w:rPr>
                      <w:rFonts w:eastAsia="宋体"/>
                      <w:sz w:val="21"/>
                      <w:szCs w:val="21"/>
                      <w:lang w:eastAsia="zh-CN"/>
                    </w:rPr>
                  </w:pPr>
                  <w:r>
                    <w:rPr>
                      <w:rFonts w:eastAsia="宋体"/>
                      <w:spacing w:val="4"/>
                      <w:sz w:val="21"/>
                      <w:szCs w:val="21"/>
                    </w:rPr>
                    <w:t>面积</w:t>
                  </w:r>
                  <w:r>
                    <w:rPr>
                      <w:rFonts w:eastAsia="宋体"/>
                      <w:spacing w:val="9"/>
                      <w:sz w:val="21"/>
                      <w:szCs w:val="21"/>
                    </w:rPr>
                    <w:t>/</w:t>
                  </w:r>
                  <w:r>
                    <w:rPr>
                      <w:rFonts w:eastAsia="宋体"/>
                      <w:sz w:val="21"/>
                      <w:szCs w:val="21"/>
                    </w:rPr>
                    <w:t>hm</w:t>
                  </w:r>
                  <w:r>
                    <w:rPr>
                      <w:rFonts w:eastAsia="宋体"/>
                      <w:spacing w:val="9"/>
                      <w:position w:val="5"/>
                      <w:sz w:val="21"/>
                      <w:szCs w:val="21"/>
                      <w:vertAlign w:val="superscript"/>
                      <w:lang w:eastAsia="zh-CN"/>
                    </w:rPr>
                    <w:t>2</w:t>
                  </w:r>
                </w:p>
              </w:tc>
              <w:tc>
                <w:tcPr>
                  <w:tcW w:w="588" w:type="pct"/>
                  <w:vMerge w:val="restart"/>
                  <w:tcBorders>
                    <w:bottom w:val="nil"/>
                  </w:tcBorders>
                  <w:vAlign w:val="center"/>
                </w:tcPr>
                <w:p w14:paraId="09471F4A">
                  <w:pPr>
                    <w:pStyle w:val="208"/>
                    <w:autoSpaceDE w:val="0"/>
                    <w:autoSpaceDN w:val="0"/>
                    <w:jc w:val="center"/>
                    <w:rPr>
                      <w:rFonts w:eastAsia="宋体"/>
                      <w:sz w:val="21"/>
                      <w:szCs w:val="21"/>
                      <w:lang w:eastAsia="zh-CN"/>
                    </w:rPr>
                  </w:pPr>
                  <w:r>
                    <w:rPr>
                      <w:rFonts w:eastAsia="宋体"/>
                      <w:spacing w:val="4"/>
                      <w:sz w:val="21"/>
                      <w:szCs w:val="21"/>
                    </w:rPr>
                    <w:t>合计</w:t>
                  </w:r>
                  <w:r>
                    <w:rPr>
                      <w:rFonts w:eastAsia="宋体"/>
                      <w:spacing w:val="9"/>
                      <w:sz w:val="21"/>
                      <w:szCs w:val="21"/>
                    </w:rPr>
                    <w:t>/</w:t>
                  </w:r>
                  <w:r>
                    <w:rPr>
                      <w:rFonts w:eastAsia="宋体"/>
                      <w:sz w:val="21"/>
                      <w:szCs w:val="21"/>
                    </w:rPr>
                    <w:t>hm</w:t>
                  </w:r>
                  <w:r>
                    <w:rPr>
                      <w:rFonts w:eastAsia="宋体"/>
                      <w:spacing w:val="9"/>
                      <w:position w:val="5"/>
                      <w:sz w:val="21"/>
                      <w:szCs w:val="21"/>
                      <w:vertAlign w:val="superscript"/>
                      <w:lang w:eastAsia="zh-CN"/>
                    </w:rPr>
                    <w:t>2</w:t>
                  </w:r>
                </w:p>
              </w:tc>
              <w:tc>
                <w:tcPr>
                  <w:tcW w:w="1384" w:type="pct"/>
                  <w:gridSpan w:val="3"/>
                  <w:vAlign w:val="center"/>
                </w:tcPr>
                <w:p w14:paraId="04A7CBD5">
                  <w:pPr>
                    <w:pStyle w:val="208"/>
                    <w:autoSpaceDE w:val="0"/>
                    <w:autoSpaceDN w:val="0"/>
                    <w:jc w:val="center"/>
                    <w:rPr>
                      <w:rFonts w:eastAsia="宋体"/>
                      <w:sz w:val="21"/>
                      <w:szCs w:val="21"/>
                      <w:lang w:eastAsia="zh-CN"/>
                    </w:rPr>
                  </w:pPr>
                  <w:r>
                    <w:rPr>
                      <w:rFonts w:eastAsia="宋体"/>
                      <w:spacing w:val="5"/>
                      <w:sz w:val="21"/>
                      <w:szCs w:val="21"/>
                      <w:lang w:eastAsia="zh-CN"/>
                    </w:rPr>
                    <w:t>占工程占地面积比例</w:t>
                  </w:r>
                  <w:r>
                    <w:rPr>
                      <w:rFonts w:eastAsia="宋体"/>
                      <w:spacing w:val="-1"/>
                      <w:sz w:val="21"/>
                      <w:szCs w:val="21"/>
                      <w:lang w:eastAsia="zh-CN"/>
                    </w:rPr>
                    <w:t>（%）</w:t>
                  </w:r>
                </w:p>
              </w:tc>
              <w:tc>
                <w:tcPr>
                  <w:tcW w:w="617" w:type="pct"/>
                  <w:vMerge w:val="restart"/>
                  <w:tcBorders>
                    <w:bottom w:val="nil"/>
                    <w:right w:val="single" w:color="000000" w:sz="10" w:space="0"/>
                  </w:tcBorders>
                  <w:vAlign w:val="center"/>
                </w:tcPr>
                <w:p w14:paraId="39DAF4FE">
                  <w:pPr>
                    <w:pStyle w:val="208"/>
                    <w:autoSpaceDE w:val="0"/>
                    <w:autoSpaceDN w:val="0"/>
                    <w:jc w:val="center"/>
                    <w:rPr>
                      <w:rFonts w:eastAsia="宋体"/>
                      <w:sz w:val="21"/>
                      <w:szCs w:val="21"/>
                      <w:lang w:eastAsia="zh-CN"/>
                    </w:rPr>
                  </w:pPr>
                  <w:r>
                    <w:rPr>
                      <w:rFonts w:eastAsia="宋体"/>
                      <w:spacing w:val="-2"/>
                      <w:sz w:val="21"/>
                      <w:szCs w:val="21"/>
                      <w:lang w:eastAsia="zh-CN"/>
                    </w:rPr>
                    <w:t>占</w:t>
                  </w:r>
                  <w:r>
                    <w:rPr>
                      <w:rFonts w:hint="eastAsia"/>
                      <w:spacing w:val="-2"/>
                      <w:sz w:val="21"/>
                      <w:szCs w:val="21"/>
                      <w:lang w:eastAsia="zh-CN"/>
                    </w:rPr>
                    <w:t>调查</w:t>
                  </w:r>
                  <w:r>
                    <w:rPr>
                      <w:rFonts w:eastAsia="宋体"/>
                      <w:spacing w:val="-2"/>
                      <w:sz w:val="21"/>
                      <w:szCs w:val="21"/>
                      <w:lang w:eastAsia="zh-CN"/>
                    </w:rPr>
                    <w:t>区</w:t>
                  </w:r>
                  <w:r>
                    <w:rPr>
                      <w:rFonts w:eastAsia="宋体"/>
                      <w:spacing w:val="2"/>
                      <w:sz w:val="21"/>
                      <w:szCs w:val="21"/>
                      <w:lang w:eastAsia="zh-CN"/>
                    </w:rPr>
                    <w:t>同类面积</w:t>
                  </w:r>
                  <w:r>
                    <w:rPr>
                      <w:rFonts w:eastAsia="宋体"/>
                      <w:spacing w:val="1"/>
                      <w:sz w:val="21"/>
                      <w:szCs w:val="21"/>
                      <w:lang w:eastAsia="zh-CN"/>
                    </w:rPr>
                    <w:t>的比例</w:t>
                  </w:r>
                  <w:r>
                    <w:rPr>
                      <w:rFonts w:eastAsia="宋体"/>
                      <w:spacing w:val="-1"/>
                      <w:sz w:val="21"/>
                      <w:szCs w:val="21"/>
                      <w:lang w:eastAsia="zh-CN"/>
                    </w:rPr>
                    <w:t>（%）</w:t>
                  </w:r>
                </w:p>
              </w:tc>
            </w:tr>
            <w:tr w14:paraId="52CAE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142" w:type="pct"/>
                  <w:gridSpan w:val="2"/>
                  <w:vMerge w:val="continue"/>
                  <w:tcBorders>
                    <w:left w:val="single" w:color="000000" w:sz="10" w:space="0"/>
                  </w:tcBorders>
                  <w:vAlign w:val="center"/>
                </w:tcPr>
                <w:p w14:paraId="0D5E2527">
                  <w:pPr>
                    <w:autoSpaceDE w:val="0"/>
                    <w:autoSpaceDN w:val="0"/>
                    <w:jc w:val="center"/>
                  </w:pPr>
                </w:p>
              </w:tc>
              <w:tc>
                <w:tcPr>
                  <w:tcW w:w="711" w:type="pct"/>
                  <w:vMerge w:val="continue"/>
                  <w:tcBorders>
                    <w:top w:val="nil"/>
                  </w:tcBorders>
                  <w:vAlign w:val="center"/>
                </w:tcPr>
                <w:p w14:paraId="2DF3DF8E">
                  <w:pPr>
                    <w:autoSpaceDE w:val="0"/>
                    <w:autoSpaceDN w:val="0"/>
                    <w:jc w:val="center"/>
                  </w:pPr>
                </w:p>
              </w:tc>
              <w:tc>
                <w:tcPr>
                  <w:tcW w:w="558" w:type="pct"/>
                  <w:vMerge w:val="continue"/>
                  <w:tcBorders>
                    <w:top w:val="nil"/>
                  </w:tcBorders>
                  <w:vAlign w:val="center"/>
                </w:tcPr>
                <w:p w14:paraId="2E2DE84C">
                  <w:pPr>
                    <w:autoSpaceDE w:val="0"/>
                    <w:autoSpaceDN w:val="0"/>
                    <w:jc w:val="center"/>
                  </w:pPr>
                </w:p>
              </w:tc>
              <w:tc>
                <w:tcPr>
                  <w:tcW w:w="588" w:type="pct"/>
                  <w:vMerge w:val="continue"/>
                  <w:tcBorders>
                    <w:top w:val="nil"/>
                  </w:tcBorders>
                  <w:vAlign w:val="center"/>
                </w:tcPr>
                <w:p w14:paraId="5F41F687">
                  <w:pPr>
                    <w:autoSpaceDE w:val="0"/>
                    <w:autoSpaceDN w:val="0"/>
                    <w:jc w:val="center"/>
                  </w:pPr>
                </w:p>
              </w:tc>
              <w:tc>
                <w:tcPr>
                  <w:tcW w:w="463" w:type="pct"/>
                  <w:vAlign w:val="center"/>
                </w:tcPr>
                <w:p w14:paraId="0F31DE4B">
                  <w:pPr>
                    <w:pStyle w:val="208"/>
                    <w:autoSpaceDE w:val="0"/>
                    <w:autoSpaceDN w:val="0"/>
                    <w:jc w:val="center"/>
                    <w:rPr>
                      <w:rFonts w:eastAsia="宋体"/>
                      <w:spacing w:val="3"/>
                      <w:sz w:val="21"/>
                      <w:szCs w:val="21"/>
                      <w:lang w:eastAsia="zh-CN"/>
                    </w:rPr>
                  </w:pPr>
                  <w:r>
                    <w:rPr>
                      <w:rFonts w:eastAsia="宋体"/>
                      <w:spacing w:val="3"/>
                      <w:sz w:val="21"/>
                      <w:szCs w:val="21"/>
                      <w:lang w:eastAsia="zh-CN"/>
                    </w:rPr>
                    <w:t>永久</w:t>
                  </w:r>
                </w:p>
                <w:p w14:paraId="47821517">
                  <w:pPr>
                    <w:pStyle w:val="208"/>
                    <w:autoSpaceDE w:val="0"/>
                    <w:autoSpaceDN w:val="0"/>
                    <w:jc w:val="center"/>
                    <w:rPr>
                      <w:rFonts w:eastAsia="宋体"/>
                      <w:sz w:val="21"/>
                      <w:szCs w:val="21"/>
                      <w:lang w:eastAsia="zh-CN"/>
                    </w:rPr>
                  </w:pPr>
                  <w:r>
                    <w:rPr>
                      <w:rFonts w:eastAsia="宋体"/>
                      <w:spacing w:val="-13"/>
                      <w:sz w:val="21"/>
                      <w:szCs w:val="21"/>
                      <w:lang w:eastAsia="zh-CN"/>
                    </w:rPr>
                    <w:t>占地</w:t>
                  </w:r>
                </w:p>
              </w:tc>
              <w:tc>
                <w:tcPr>
                  <w:tcW w:w="492" w:type="pct"/>
                  <w:vAlign w:val="center"/>
                </w:tcPr>
                <w:p w14:paraId="78B0F5E7">
                  <w:pPr>
                    <w:pStyle w:val="208"/>
                    <w:autoSpaceDE w:val="0"/>
                    <w:autoSpaceDN w:val="0"/>
                    <w:jc w:val="center"/>
                    <w:rPr>
                      <w:rFonts w:eastAsia="宋体"/>
                      <w:spacing w:val="-1"/>
                      <w:sz w:val="21"/>
                      <w:szCs w:val="21"/>
                      <w:lang w:eastAsia="zh-CN"/>
                    </w:rPr>
                  </w:pPr>
                  <w:r>
                    <w:rPr>
                      <w:rFonts w:eastAsia="宋体"/>
                      <w:spacing w:val="-1"/>
                      <w:sz w:val="21"/>
                      <w:szCs w:val="21"/>
                      <w:lang w:eastAsia="zh-CN"/>
                    </w:rPr>
                    <w:t>临时</w:t>
                  </w:r>
                </w:p>
                <w:p w14:paraId="168F34B8">
                  <w:pPr>
                    <w:pStyle w:val="208"/>
                    <w:autoSpaceDE w:val="0"/>
                    <w:autoSpaceDN w:val="0"/>
                    <w:jc w:val="center"/>
                    <w:rPr>
                      <w:rFonts w:eastAsia="宋体"/>
                      <w:sz w:val="21"/>
                      <w:szCs w:val="21"/>
                      <w:lang w:eastAsia="zh-CN"/>
                    </w:rPr>
                  </w:pPr>
                  <w:r>
                    <w:rPr>
                      <w:rFonts w:eastAsia="宋体"/>
                      <w:spacing w:val="-13"/>
                      <w:sz w:val="21"/>
                      <w:szCs w:val="21"/>
                      <w:lang w:eastAsia="zh-CN"/>
                    </w:rPr>
                    <w:t>占地</w:t>
                  </w:r>
                </w:p>
              </w:tc>
              <w:tc>
                <w:tcPr>
                  <w:tcW w:w="429" w:type="pct"/>
                  <w:vAlign w:val="center"/>
                </w:tcPr>
                <w:p w14:paraId="308D4749">
                  <w:pPr>
                    <w:pStyle w:val="208"/>
                    <w:autoSpaceDE w:val="0"/>
                    <w:autoSpaceDN w:val="0"/>
                    <w:jc w:val="center"/>
                    <w:rPr>
                      <w:rFonts w:eastAsia="宋体"/>
                      <w:sz w:val="21"/>
                      <w:szCs w:val="21"/>
                      <w:lang w:eastAsia="zh-CN"/>
                    </w:rPr>
                  </w:pPr>
                  <w:r>
                    <w:rPr>
                      <w:rFonts w:eastAsia="宋体"/>
                      <w:spacing w:val="4"/>
                      <w:sz w:val="21"/>
                      <w:szCs w:val="21"/>
                      <w:lang w:eastAsia="zh-CN"/>
                    </w:rPr>
                    <w:t>合计</w:t>
                  </w:r>
                </w:p>
              </w:tc>
              <w:tc>
                <w:tcPr>
                  <w:tcW w:w="617" w:type="pct"/>
                  <w:vMerge w:val="continue"/>
                  <w:tcBorders>
                    <w:top w:val="nil"/>
                    <w:right w:val="single" w:color="000000" w:sz="10" w:space="0"/>
                  </w:tcBorders>
                  <w:vAlign w:val="center"/>
                </w:tcPr>
                <w:p w14:paraId="7351307F">
                  <w:pPr>
                    <w:autoSpaceDE w:val="0"/>
                    <w:autoSpaceDN w:val="0"/>
                    <w:jc w:val="center"/>
                  </w:pPr>
                </w:p>
              </w:tc>
            </w:tr>
            <w:tr w14:paraId="2128B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481" w:type="pct"/>
                  <w:tcBorders>
                    <w:left w:val="single" w:color="000000" w:sz="10" w:space="0"/>
                  </w:tcBorders>
                  <w:vAlign w:val="center"/>
                </w:tcPr>
                <w:p w14:paraId="785BEF2B">
                  <w:pPr>
                    <w:pStyle w:val="208"/>
                    <w:autoSpaceDE w:val="0"/>
                    <w:autoSpaceDN w:val="0"/>
                    <w:jc w:val="center"/>
                    <w:rPr>
                      <w:rFonts w:hint="eastAsia" w:eastAsia="宋体"/>
                      <w:spacing w:val="-13"/>
                      <w:sz w:val="21"/>
                      <w:szCs w:val="21"/>
                      <w:lang w:eastAsia="zh-CN"/>
                    </w:rPr>
                  </w:pPr>
                  <w:r>
                    <w:rPr>
                      <w:rFonts w:hint="eastAsia" w:eastAsia="宋体"/>
                      <w:spacing w:val="-13"/>
                      <w:sz w:val="21"/>
                      <w:szCs w:val="21"/>
                      <w:lang w:eastAsia="zh-CN"/>
                    </w:rPr>
                    <w:t>自然植被</w:t>
                  </w:r>
                </w:p>
              </w:tc>
              <w:tc>
                <w:tcPr>
                  <w:tcW w:w="661" w:type="pct"/>
                  <w:vAlign w:val="center"/>
                </w:tcPr>
                <w:p w14:paraId="11CA2038">
                  <w:pPr>
                    <w:pStyle w:val="208"/>
                    <w:autoSpaceDE w:val="0"/>
                    <w:autoSpaceDN w:val="0"/>
                    <w:jc w:val="center"/>
                    <w:rPr>
                      <w:rFonts w:eastAsia="宋体"/>
                      <w:spacing w:val="6"/>
                      <w:sz w:val="21"/>
                      <w:szCs w:val="21"/>
                      <w:lang w:eastAsia="zh-CN"/>
                    </w:rPr>
                  </w:pPr>
                  <w:r>
                    <w:rPr>
                      <w:rFonts w:hint="eastAsia" w:eastAsia="宋体"/>
                      <w:spacing w:val="6"/>
                      <w:sz w:val="21"/>
                      <w:szCs w:val="21"/>
                      <w:lang w:eastAsia="zh-CN"/>
                    </w:rPr>
                    <w:t>暖温性稀树灌木草丛</w:t>
                  </w:r>
                </w:p>
              </w:tc>
              <w:tc>
                <w:tcPr>
                  <w:tcW w:w="711" w:type="pct"/>
                  <w:vAlign w:val="center"/>
                </w:tcPr>
                <w:p w14:paraId="70B6257D">
                  <w:pPr>
                    <w:widowControl/>
                    <w:autoSpaceDE w:val="0"/>
                    <w:autoSpaceDN w:val="0"/>
                    <w:jc w:val="center"/>
                    <w:textAlignment w:val="center"/>
                    <w:rPr>
                      <w:kern w:val="0"/>
                      <w:lang w:bidi="ar"/>
                    </w:rPr>
                  </w:pPr>
                  <w:r>
                    <w:rPr>
                      <w:color w:val="000000"/>
                      <w:kern w:val="0"/>
                      <w:lang w:bidi="ar"/>
                    </w:rPr>
                    <w:t>0.86</w:t>
                  </w:r>
                </w:p>
              </w:tc>
              <w:tc>
                <w:tcPr>
                  <w:tcW w:w="558" w:type="pct"/>
                  <w:vAlign w:val="center"/>
                </w:tcPr>
                <w:p w14:paraId="03ED67EB">
                  <w:pPr>
                    <w:widowControl/>
                    <w:autoSpaceDE w:val="0"/>
                    <w:autoSpaceDN w:val="0"/>
                    <w:jc w:val="center"/>
                    <w:textAlignment w:val="center"/>
                    <w:rPr>
                      <w:kern w:val="0"/>
                      <w:lang w:bidi="ar"/>
                    </w:rPr>
                  </w:pPr>
                  <w:r>
                    <w:rPr>
                      <w:color w:val="000000"/>
                      <w:kern w:val="0"/>
                      <w:lang w:bidi="ar"/>
                    </w:rPr>
                    <w:t>73.9</w:t>
                  </w:r>
                </w:p>
              </w:tc>
              <w:tc>
                <w:tcPr>
                  <w:tcW w:w="588" w:type="pct"/>
                  <w:vAlign w:val="center"/>
                </w:tcPr>
                <w:p w14:paraId="2FAD8727">
                  <w:pPr>
                    <w:widowControl/>
                    <w:autoSpaceDE w:val="0"/>
                    <w:autoSpaceDN w:val="0"/>
                    <w:jc w:val="center"/>
                    <w:textAlignment w:val="center"/>
                    <w:rPr>
                      <w:kern w:val="0"/>
                      <w:lang w:bidi="ar"/>
                    </w:rPr>
                  </w:pPr>
                  <w:r>
                    <w:rPr>
                      <w:color w:val="000000"/>
                      <w:kern w:val="0"/>
                      <w:lang w:bidi="ar"/>
                    </w:rPr>
                    <w:t>74.76</w:t>
                  </w:r>
                </w:p>
              </w:tc>
              <w:tc>
                <w:tcPr>
                  <w:tcW w:w="463" w:type="pct"/>
                  <w:vAlign w:val="center"/>
                </w:tcPr>
                <w:p w14:paraId="6828E284">
                  <w:pPr>
                    <w:widowControl/>
                    <w:autoSpaceDE w:val="0"/>
                    <w:autoSpaceDN w:val="0"/>
                    <w:jc w:val="center"/>
                    <w:textAlignment w:val="center"/>
                    <w:rPr>
                      <w:kern w:val="0"/>
                      <w:lang w:bidi="ar"/>
                    </w:rPr>
                  </w:pPr>
                  <w:r>
                    <w:rPr>
                      <w:color w:val="000000"/>
                      <w:kern w:val="0"/>
                      <w:lang w:bidi="ar"/>
                    </w:rPr>
                    <w:t xml:space="preserve">0.99 </w:t>
                  </w:r>
                </w:p>
              </w:tc>
              <w:tc>
                <w:tcPr>
                  <w:tcW w:w="492" w:type="pct"/>
                  <w:vAlign w:val="center"/>
                </w:tcPr>
                <w:p w14:paraId="20EF9440">
                  <w:pPr>
                    <w:widowControl/>
                    <w:autoSpaceDE w:val="0"/>
                    <w:autoSpaceDN w:val="0"/>
                    <w:jc w:val="center"/>
                    <w:textAlignment w:val="center"/>
                    <w:rPr>
                      <w:kern w:val="0"/>
                      <w:lang w:bidi="ar"/>
                    </w:rPr>
                  </w:pPr>
                  <w:r>
                    <w:rPr>
                      <w:color w:val="000000"/>
                      <w:kern w:val="0"/>
                      <w:lang w:bidi="ar"/>
                    </w:rPr>
                    <w:t xml:space="preserve">84.97 </w:t>
                  </w:r>
                </w:p>
              </w:tc>
              <w:tc>
                <w:tcPr>
                  <w:tcW w:w="429" w:type="pct"/>
                  <w:vAlign w:val="center"/>
                </w:tcPr>
                <w:p w14:paraId="5F00A391">
                  <w:pPr>
                    <w:widowControl/>
                    <w:autoSpaceDE w:val="0"/>
                    <w:autoSpaceDN w:val="0"/>
                    <w:jc w:val="center"/>
                    <w:textAlignment w:val="center"/>
                    <w:rPr>
                      <w:kern w:val="0"/>
                      <w:lang w:bidi="ar"/>
                    </w:rPr>
                  </w:pPr>
                  <w:r>
                    <w:rPr>
                      <w:color w:val="000000"/>
                      <w:kern w:val="0"/>
                      <w:lang w:bidi="ar"/>
                    </w:rPr>
                    <w:t xml:space="preserve">85.96 </w:t>
                  </w:r>
                </w:p>
              </w:tc>
              <w:tc>
                <w:tcPr>
                  <w:tcW w:w="617" w:type="pct"/>
                  <w:tcBorders>
                    <w:right w:val="single" w:color="000000" w:sz="10" w:space="0"/>
                  </w:tcBorders>
                  <w:vAlign w:val="center"/>
                </w:tcPr>
                <w:p w14:paraId="7A68A6B9">
                  <w:pPr>
                    <w:widowControl/>
                    <w:autoSpaceDE w:val="0"/>
                    <w:autoSpaceDN w:val="0"/>
                    <w:jc w:val="center"/>
                    <w:textAlignment w:val="center"/>
                    <w:rPr>
                      <w:kern w:val="0"/>
                      <w:lang w:bidi="ar"/>
                    </w:rPr>
                  </w:pPr>
                  <w:r>
                    <w:rPr>
                      <w:color w:val="000000"/>
                      <w:kern w:val="0"/>
                      <w:lang w:bidi="ar"/>
                    </w:rPr>
                    <w:t>11.96</w:t>
                  </w:r>
                </w:p>
              </w:tc>
            </w:tr>
            <w:tr w14:paraId="46A1E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jc w:val="center"/>
              </w:trPr>
              <w:tc>
                <w:tcPr>
                  <w:tcW w:w="1142" w:type="pct"/>
                  <w:gridSpan w:val="2"/>
                  <w:tcBorders>
                    <w:top w:val="single" w:color="auto" w:sz="4" w:space="0"/>
                    <w:left w:val="single" w:color="000000" w:sz="10" w:space="0"/>
                  </w:tcBorders>
                  <w:vAlign w:val="center"/>
                </w:tcPr>
                <w:p w14:paraId="646B0277">
                  <w:pPr>
                    <w:pStyle w:val="208"/>
                    <w:autoSpaceDE w:val="0"/>
                    <w:autoSpaceDN w:val="0"/>
                    <w:jc w:val="center"/>
                    <w:rPr>
                      <w:rFonts w:eastAsia="宋体"/>
                      <w:spacing w:val="7"/>
                      <w:sz w:val="21"/>
                      <w:szCs w:val="21"/>
                      <w:lang w:eastAsia="zh-CN"/>
                    </w:rPr>
                  </w:pPr>
                  <w:r>
                    <w:rPr>
                      <w:rFonts w:hint="eastAsia"/>
                      <w:sz w:val="21"/>
                      <w:szCs w:val="21"/>
                      <w:lang w:eastAsia="zh-CN"/>
                    </w:rPr>
                    <w:t>人工植被</w:t>
                  </w:r>
                </w:p>
              </w:tc>
              <w:tc>
                <w:tcPr>
                  <w:tcW w:w="711" w:type="pct"/>
                  <w:vAlign w:val="center"/>
                </w:tcPr>
                <w:p w14:paraId="2F00DA9D">
                  <w:pPr>
                    <w:widowControl/>
                    <w:autoSpaceDE w:val="0"/>
                    <w:autoSpaceDN w:val="0"/>
                    <w:jc w:val="center"/>
                    <w:textAlignment w:val="center"/>
                    <w:rPr>
                      <w:kern w:val="0"/>
                      <w:lang w:bidi="ar"/>
                    </w:rPr>
                  </w:pPr>
                  <w:r>
                    <w:rPr>
                      <w:color w:val="000000"/>
                      <w:kern w:val="0"/>
                      <w:lang w:bidi="ar"/>
                    </w:rPr>
                    <w:t>0.06</w:t>
                  </w:r>
                </w:p>
              </w:tc>
              <w:tc>
                <w:tcPr>
                  <w:tcW w:w="558" w:type="pct"/>
                  <w:vAlign w:val="center"/>
                </w:tcPr>
                <w:p w14:paraId="5EEE5089">
                  <w:pPr>
                    <w:widowControl/>
                    <w:autoSpaceDE w:val="0"/>
                    <w:autoSpaceDN w:val="0"/>
                    <w:jc w:val="center"/>
                    <w:textAlignment w:val="center"/>
                    <w:rPr>
                      <w:kern w:val="0"/>
                      <w:lang w:bidi="ar"/>
                    </w:rPr>
                  </w:pPr>
                  <w:r>
                    <w:rPr>
                      <w:color w:val="000000"/>
                      <w:kern w:val="0"/>
                      <w:lang w:bidi="ar"/>
                    </w:rPr>
                    <w:t>12.15</w:t>
                  </w:r>
                </w:p>
              </w:tc>
              <w:tc>
                <w:tcPr>
                  <w:tcW w:w="588" w:type="pct"/>
                  <w:vAlign w:val="center"/>
                </w:tcPr>
                <w:p w14:paraId="40E1908E">
                  <w:pPr>
                    <w:widowControl/>
                    <w:autoSpaceDE w:val="0"/>
                    <w:autoSpaceDN w:val="0"/>
                    <w:jc w:val="center"/>
                    <w:textAlignment w:val="center"/>
                    <w:rPr>
                      <w:kern w:val="0"/>
                      <w:lang w:bidi="ar"/>
                    </w:rPr>
                  </w:pPr>
                  <w:r>
                    <w:rPr>
                      <w:color w:val="000000"/>
                      <w:kern w:val="0"/>
                      <w:lang w:bidi="ar"/>
                    </w:rPr>
                    <w:t>12.21</w:t>
                  </w:r>
                </w:p>
              </w:tc>
              <w:tc>
                <w:tcPr>
                  <w:tcW w:w="463" w:type="pct"/>
                  <w:vAlign w:val="center"/>
                </w:tcPr>
                <w:p w14:paraId="545E9AF8">
                  <w:pPr>
                    <w:widowControl/>
                    <w:autoSpaceDE w:val="0"/>
                    <w:autoSpaceDN w:val="0"/>
                    <w:jc w:val="center"/>
                    <w:textAlignment w:val="center"/>
                    <w:rPr>
                      <w:kern w:val="0"/>
                      <w:lang w:bidi="ar"/>
                    </w:rPr>
                  </w:pPr>
                  <w:r>
                    <w:rPr>
                      <w:color w:val="000000"/>
                      <w:kern w:val="0"/>
                      <w:lang w:bidi="ar"/>
                    </w:rPr>
                    <w:t xml:space="preserve">0.07 </w:t>
                  </w:r>
                </w:p>
              </w:tc>
              <w:tc>
                <w:tcPr>
                  <w:tcW w:w="492" w:type="pct"/>
                  <w:vAlign w:val="center"/>
                </w:tcPr>
                <w:p w14:paraId="15C9E373">
                  <w:pPr>
                    <w:widowControl/>
                    <w:autoSpaceDE w:val="0"/>
                    <w:autoSpaceDN w:val="0"/>
                    <w:jc w:val="center"/>
                    <w:textAlignment w:val="center"/>
                    <w:rPr>
                      <w:kern w:val="0"/>
                      <w:lang w:bidi="ar"/>
                    </w:rPr>
                  </w:pPr>
                  <w:r>
                    <w:rPr>
                      <w:color w:val="000000"/>
                      <w:kern w:val="0"/>
                      <w:lang w:bidi="ar"/>
                    </w:rPr>
                    <w:t xml:space="preserve">13.97 </w:t>
                  </w:r>
                </w:p>
              </w:tc>
              <w:tc>
                <w:tcPr>
                  <w:tcW w:w="429" w:type="pct"/>
                  <w:vAlign w:val="center"/>
                </w:tcPr>
                <w:p w14:paraId="4DEF89E6">
                  <w:pPr>
                    <w:widowControl/>
                    <w:autoSpaceDE w:val="0"/>
                    <w:autoSpaceDN w:val="0"/>
                    <w:jc w:val="center"/>
                    <w:textAlignment w:val="center"/>
                    <w:rPr>
                      <w:kern w:val="0"/>
                      <w:lang w:bidi="ar"/>
                    </w:rPr>
                  </w:pPr>
                  <w:r>
                    <w:rPr>
                      <w:color w:val="000000"/>
                      <w:kern w:val="0"/>
                      <w:lang w:bidi="ar"/>
                    </w:rPr>
                    <w:t xml:space="preserve">14.04 </w:t>
                  </w:r>
                </w:p>
              </w:tc>
              <w:tc>
                <w:tcPr>
                  <w:tcW w:w="617" w:type="pct"/>
                  <w:tcBorders>
                    <w:right w:val="single" w:color="000000" w:sz="10" w:space="0"/>
                  </w:tcBorders>
                  <w:vAlign w:val="center"/>
                </w:tcPr>
                <w:p w14:paraId="2A7A35AD">
                  <w:pPr>
                    <w:widowControl/>
                    <w:autoSpaceDE w:val="0"/>
                    <w:autoSpaceDN w:val="0"/>
                    <w:jc w:val="center"/>
                    <w:textAlignment w:val="center"/>
                    <w:rPr>
                      <w:kern w:val="0"/>
                      <w:lang w:bidi="ar"/>
                    </w:rPr>
                  </w:pPr>
                  <w:r>
                    <w:rPr>
                      <w:rFonts w:hint="eastAsia"/>
                      <w:color w:val="000000"/>
                      <w:kern w:val="0"/>
                      <w:lang w:bidi="ar"/>
                    </w:rPr>
                    <w:t>0.94</w:t>
                  </w:r>
                </w:p>
              </w:tc>
            </w:tr>
            <w:tr w14:paraId="52FD9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jc w:val="center"/>
              </w:trPr>
              <w:tc>
                <w:tcPr>
                  <w:tcW w:w="1142" w:type="pct"/>
                  <w:gridSpan w:val="2"/>
                  <w:tcBorders>
                    <w:left w:val="single" w:color="000000" w:sz="10" w:space="0"/>
                    <w:bottom w:val="single" w:color="000000" w:sz="10" w:space="0"/>
                  </w:tcBorders>
                  <w:vAlign w:val="center"/>
                </w:tcPr>
                <w:p w14:paraId="2B16BCB0">
                  <w:pPr>
                    <w:pStyle w:val="208"/>
                    <w:autoSpaceDE w:val="0"/>
                    <w:autoSpaceDN w:val="0"/>
                    <w:jc w:val="center"/>
                    <w:rPr>
                      <w:rFonts w:eastAsia="宋体"/>
                      <w:sz w:val="21"/>
                      <w:szCs w:val="21"/>
                      <w:lang w:eastAsia="zh-CN"/>
                    </w:rPr>
                  </w:pPr>
                  <w:r>
                    <w:rPr>
                      <w:rFonts w:eastAsia="宋体"/>
                      <w:spacing w:val="2"/>
                      <w:sz w:val="21"/>
                      <w:szCs w:val="21"/>
                      <w:lang w:eastAsia="zh-CN"/>
                    </w:rPr>
                    <w:t>总计</w:t>
                  </w:r>
                </w:p>
              </w:tc>
              <w:tc>
                <w:tcPr>
                  <w:tcW w:w="711" w:type="pct"/>
                  <w:tcBorders>
                    <w:bottom w:val="single" w:color="000000" w:sz="10" w:space="0"/>
                  </w:tcBorders>
                  <w:vAlign w:val="center"/>
                </w:tcPr>
                <w:p w14:paraId="646F6979">
                  <w:pPr>
                    <w:widowControl/>
                    <w:autoSpaceDE w:val="0"/>
                    <w:autoSpaceDN w:val="0"/>
                    <w:jc w:val="center"/>
                    <w:textAlignment w:val="center"/>
                    <w:rPr>
                      <w:kern w:val="0"/>
                      <w:lang w:bidi="ar"/>
                    </w:rPr>
                  </w:pPr>
                  <w:r>
                    <w:rPr>
                      <w:color w:val="000000"/>
                      <w:kern w:val="0"/>
                      <w:lang w:bidi="ar"/>
                    </w:rPr>
                    <w:t>0.92</w:t>
                  </w:r>
                </w:p>
              </w:tc>
              <w:tc>
                <w:tcPr>
                  <w:tcW w:w="558" w:type="pct"/>
                  <w:tcBorders>
                    <w:bottom w:val="single" w:color="000000" w:sz="10" w:space="0"/>
                  </w:tcBorders>
                  <w:vAlign w:val="center"/>
                </w:tcPr>
                <w:p w14:paraId="1937F518">
                  <w:pPr>
                    <w:widowControl/>
                    <w:autoSpaceDE w:val="0"/>
                    <w:autoSpaceDN w:val="0"/>
                    <w:jc w:val="center"/>
                    <w:textAlignment w:val="center"/>
                    <w:rPr>
                      <w:kern w:val="0"/>
                      <w:lang w:bidi="ar"/>
                    </w:rPr>
                  </w:pPr>
                  <w:r>
                    <w:rPr>
                      <w:color w:val="000000"/>
                      <w:kern w:val="0"/>
                      <w:lang w:bidi="ar"/>
                    </w:rPr>
                    <w:t>86.05</w:t>
                  </w:r>
                </w:p>
              </w:tc>
              <w:tc>
                <w:tcPr>
                  <w:tcW w:w="588" w:type="pct"/>
                  <w:tcBorders>
                    <w:bottom w:val="single" w:color="000000" w:sz="10" w:space="0"/>
                  </w:tcBorders>
                  <w:vAlign w:val="center"/>
                </w:tcPr>
                <w:p w14:paraId="6FDC3BCB">
                  <w:pPr>
                    <w:widowControl/>
                    <w:autoSpaceDE w:val="0"/>
                    <w:autoSpaceDN w:val="0"/>
                    <w:jc w:val="center"/>
                    <w:textAlignment w:val="center"/>
                    <w:rPr>
                      <w:kern w:val="0"/>
                      <w:lang w:bidi="ar"/>
                    </w:rPr>
                  </w:pPr>
                  <w:r>
                    <w:rPr>
                      <w:color w:val="000000"/>
                      <w:kern w:val="0"/>
                      <w:lang w:bidi="ar"/>
                    </w:rPr>
                    <w:t>86.97</w:t>
                  </w:r>
                </w:p>
              </w:tc>
              <w:tc>
                <w:tcPr>
                  <w:tcW w:w="463" w:type="pct"/>
                  <w:tcBorders>
                    <w:bottom w:val="single" w:color="000000" w:sz="10" w:space="0"/>
                  </w:tcBorders>
                  <w:vAlign w:val="center"/>
                </w:tcPr>
                <w:p w14:paraId="1EC69776">
                  <w:pPr>
                    <w:widowControl/>
                    <w:autoSpaceDE w:val="0"/>
                    <w:autoSpaceDN w:val="0"/>
                    <w:jc w:val="center"/>
                    <w:textAlignment w:val="center"/>
                    <w:rPr>
                      <w:kern w:val="0"/>
                      <w:lang w:bidi="ar"/>
                    </w:rPr>
                  </w:pPr>
                  <w:r>
                    <w:rPr>
                      <w:color w:val="000000"/>
                      <w:kern w:val="0"/>
                      <w:lang w:bidi="ar"/>
                    </w:rPr>
                    <w:t xml:space="preserve">1.06 </w:t>
                  </w:r>
                </w:p>
              </w:tc>
              <w:tc>
                <w:tcPr>
                  <w:tcW w:w="492" w:type="pct"/>
                  <w:tcBorders>
                    <w:bottom w:val="single" w:color="000000" w:sz="10" w:space="0"/>
                  </w:tcBorders>
                  <w:vAlign w:val="center"/>
                </w:tcPr>
                <w:p w14:paraId="2C210DD6">
                  <w:pPr>
                    <w:widowControl/>
                    <w:autoSpaceDE w:val="0"/>
                    <w:autoSpaceDN w:val="0"/>
                    <w:jc w:val="center"/>
                    <w:textAlignment w:val="center"/>
                    <w:rPr>
                      <w:kern w:val="0"/>
                      <w:lang w:bidi="ar"/>
                    </w:rPr>
                  </w:pPr>
                  <w:r>
                    <w:rPr>
                      <w:color w:val="000000"/>
                      <w:kern w:val="0"/>
                      <w:lang w:bidi="ar"/>
                    </w:rPr>
                    <w:t xml:space="preserve">98.94 </w:t>
                  </w:r>
                </w:p>
              </w:tc>
              <w:tc>
                <w:tcPr>
                  <w:tcW w:w="429" w:type="pct"/>
                  <w:tcBorders>
                    <w:bottom w:val="single" w:color="000000" w:sz="10" w:space="0"/>
                  </w:tcBorders>
                  <w:vAlign w:val="center"/>
                </w:tcPr>
                <w:p w14:paraId="0A6EA1ED">
                  <w:pPr>
                    <w:widowControl/>
                    <w:autoSpaceDE w:val="0"/>
                    <w:autoSpaceDN w:val="0"/>
                    <w:jc w:val="center"/>
                    <w:textAlignment w:val="center"/>
                    <w:rPr>
                      <w:kern w:val="0"/>
                      <w:lang w:bidi="ar"/>
                    </w:rPr>
                  </w:pPr>
                  <w:r>
                    <w:rPr>
                      <w:color w:val="000000"/>
                      <w:kern w:val="0"/>
                      <w:lang w:bidi="ar"/>
                    </w:rPr>
                    <w:t xml:space="preserve">100.00 </w:t>
                  </w:r>
                </w:p>
              </w:tc>
              <w:tc>
                <w:tcPr>
                  <w:tcW w:w="617" w:type="pct"/>
                  <w:tcBorders>
                    <w:bottom w:val="single" w:color="000000" w:sz="10" w:space="0"/>
                    <w:right w:val="single" w:color="000000" w:sz="10" w:space="0"/>
                  </w:tcBorders>
                  <w:vAlign w:val="center"/>
                </w:tcPr>
                <w:p w14:paraId="56886A89">
                  <w:pPr>
                    <w:widowControl/>
                    <w:autoSpaceDE w:val="0"/>
                    <w:autoSpaceDN w:val="0"/>
                    <w:jc w:val="center"/>
                    <w:textAlignment w:val="center"/>
                    <w:rPr>
                      <w:kern w:val="0"/>
                      <w:lang w:bidi="ar"/>
                    </w:rPr>
                  </w:pPr>
                  <w:r>
                    <w:rPr>
                      <w:rFonts w:hint="eastAsia"/>
                      <w:kern w:val="0"/>
                      <w:lang w:bidi="ar"/>
                    </w:rPr>
                    <w:t>/</w:t>
                  </w:r>
                </w:p>
              </w:tc>
            </w:tr>
          </w:tbl>
          <w:p w14:paraId="48FF5F0E">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2）对植物资源的影响</w:t>
            </w:r>
          </w:p>
          <w:p w14:paraId="2AD3A2F4">
            <w:pPr>
              <w:spacing w:line="360" w:lineRule="auto"/>
              <w:ind w:firstLine="480" w:firstLineChars="200"/>
              <w:rPr>
                <w:sz w:val="24"/>
              </w:rPr>
            </w:pPr>
            <w:r>
              <w:rPr>
                <w:rFonts w:hint="eastAsia"/>
                <w:snapToGrid w:val="0"/>
                <w:kern w:val="0"/>
                <w:sz w:val="24"/>
              </w:rPr>
              <w:t>项目建设永久占用、临时占用的植被类型群落结构相对简单，物种组成数量不多，均为云南省常见种，无珍稀濒危保护植物、狭域特有物种或名木古树。项目建设占用土地、扰动地表，将</w:t>
            </w:r>
            <w:r>
              <w:rPr>
                <w:bCs/>
                <w:snapToGrid w:val="0"/>
                <w:kern w:val="0"/>
                <w:sz w:val="24"/>
                <w:szCs w:val="24"/>
                <w:lang w:bidi="ar"/>
              </w:rPr>
              <w:t>导致</w:t>
            </w:r>
            <w:r>
              <w:rPr>
                <w:rFonts w:hint="eastAsia"/>
                <w:snapToGrid w:val="0"/>
                <w:kern w:val="0"/>
                <w:sz w:val="24"/>
              </w:rPr>
              <w:t>扰动区域内</w:t>
            </w:r>
            <w:r>
              <w:rPr>
                <w:bCs/>
                <w:snapToGrid w:val="0"/>
                <w:kern w:val="0"/>
                <w:sz w:val="24"/>
                <w:szCs w:val="24"/>
                <w:lang w:bidi="ar"/>
              </w:rPr>
              <w:t>部分常见植物个体数量的减少或是生长不良</w:t>
            </w:r>
            <w:r>
              <w:rPr>
                <w:rFonts w:hint="eastAsia"/>
                <w:bCs/>
                <w:snapToGrid w:val="0"/>
                <w:kern w:val="0"/>
                <w:sz w:val="24"/>
                <w:szCs w:val="24"/>
                <w:lang w:bidi="ar"/>
              </w:rPr>
              <w:t>。</w:t>
            </w:r>
            <w:r>
              <w:rPr>
                <w:bCs/>
                <w:snapToGrid w:val="0"/>
                <w:kern w:val="0"/>
                <w:sz w:val="24"/>
                <w:szCs w:val="24"/>
                <w:lang w:bidi="ar"/>
              </w:rPr>
              <w:t>根据项目设计，光伏板高度按要</w:t>
            </w:r>
            <w:r>
              <w:rPr>
                <w:rFonts w:hint="eastAsia"/>
                <w:bCs/>
                <w:snapToGrid w:val="0"/>
                <w:kern w:val="0"/>
                <w:sz w:val="24"/>
                <w:szCs w:val="24"/>
                <w:lang w:bidi="ar"/>
              </w:rPr>
              <w:t>求分</w:t>
            </w:r>
            <w:r>
              <w:rPr>
                <w:bCs/>
                <w:snapToGrid w:val="0"/>
                <w:kern w:val="0"/>
                <w:sz w:val="24"/>
                <w:szCs w:val="24"/>
                <w:lang w:bidi="ar"/>
              </w:rPr>
              <w:t>布，设高度不低于2.5m，桩基列间距不小于4m，行间距不小于6.5m</w:t>
            </w:r>
            <w:r>
              <w:rPr>
                <w:rFonts w:hint="eastAsia"/>
                <w:bCs/>
                <w:snapToGrid w:val="0"/>
                <w:kern w:val="0"/>
                <w:sz w:val="24"/>
                <w:szCs w:val="24"/>
                <w:lang w:bidi="ar"/>
              </w:rPr>
              <w:t>，</w:t>
            </w:r>
            <w:r>
              <w:rPr>
                <w:bCs/>
                <w:snapToGrid w:val="0"/>
                <w:kern w:val="0"/>
                <w:sz w:val="24"/>
                <w:szCs w:val="24"/>
                <w:lang w:bidi="ar"/>
              </w:rPr>
              <w:t>对光伏板下部植被生长影响很小</w:t>
            </w:r>
            <w:r>
              <w:rPr>
                <w:rFonts w:hint="eastAsia"/>
                <w:bCs/>
                <w:snapToGrid w:val="0"/>
                <w:kern w:val="0"/>
                <w:sz w:val="24"/>
                <w:szCs w:val="24"/>
                <w:lang w:bidi="ar"/>
              </w:rPr>
              <w:t>，</w:t>
            </w:r>
            <w:r>
              <w:rPr>
                <w:bCs/>
                <w:snapToGrid w:val="0"/>
                <w:kern w:val="0"/>
                <w:sz w:val="24"/>
                <w:szCs w:val="24"/>
                <w:lang w:bidi="ar"/>
              </w:rPr>
              <w:t>且耐阴植物受影响不明显，喜阴植物由于适宜生境增加，个体数量将有一定程度的增多。</w:t>
            </w:r>
          </w:p>
          <w:p w14:paraId="44EB1F46">
            <w:pPr>
              <w:spacing w:line="360" w:lineRule="auto"/>
              <w:ind w:firstLine="480" w:firstLineChars="200"/>
              <w:rPr>
                <w:snapToGrid w:val="0"/>
                <w:kern w:val="0"/>
                <w:sz w:val="24"/>
              </w:rPr>
            </w:pPr>
            <w:r>
              <w:rPr>
                <w:rFonts w:hint="eastAsia"/>
                <w:bCs/>
                <w:snapToGrid w:val="0"/>
                <w:kern w:val="0"/>
                <w:sz w:val="24"/>
                <w:szCs w:val="24"/>
                <w:lang w:bidi="ar"/>
              </w:rPr>
              <w:t>因此，</w:t>
            </w:r>
            <w:r>
              <w:rPr>
                <w:rFonts w:hint="eastAsia"/>
                <w:snapToGrid w:val="0"/>
                <w:kern w:val="0"/>
                <w:sz w:val="24"/>
              </w:rPr>
              <w:t>工程占用的物种在工程区周边以及整个云南省均广泛分布，项目建设不会造成物种数量的急剧减少，也不会导致调查区内任何植物物种的消失，不会对调查区域内的植物资源和物种多样性产生明显的不良影响。</w:t>
            </w:r>
          </w:p>
          <w:p w14:paraId="53CA2324">
            <w:pPr>
              <w:autoSpaceDE w:val="0"/>
              <w:autoSpaceDN w:val="0"/>
              <w:spacing w:line="360" w:lineRule="auto"/>
              <w:ind w:firstLine="482" w:firstLineChars="200"/>
              <w:rPr>
                <w:b/>
                <w:bCs/>
                <w:snapToGrid w:val="0"/>
                <w:kern w:val="0"/>
                <w:sz w:val="24"/>
              </w:rPr>
            </w:pPr>
            <w:r>
              <w:rPr>
                <w:rFonts w:hint="eastAsia"/>
                <w:b/>
                <w:bCs/>
                <w:snapToGrid w:val="0"/>
                <w:kern w:val="0"/>
                <w:sz w:val="24"/>
              </w:rPr>
              <w:t>3）外来入侵物种的影响</w:t>
            </w:r>
          </w:p>
          <w:p w14:paraId="63962F5C">
            <w:pPr>
              <w:spacing w:line="360" w:lineRule="auto"/>
              <w:ind w:firstLine="476" w:firstLineChars="200"/>
              <w:rPr>
                <w:bCs/>
                <w:snapToGrid w:val="0"/>
                <w:kern w:val="0"/>
                <w:sz w:val="24"/>
                <w:szCs w:val="24"/>
                <w:lang w:bidi="ar"/>
              </w:rPr>
            </w:pPr>
            <w:r>
              <w:rPr>
                <w:rFonts w:hint="eastAsia" w:ascii="宋体" w:hAnsi="宋体" w:cs="宋体"/>
                <w:spacing w:val="-1"/>
                <w:sz w:val="24"/>
                <w:szCs w:val="24"/>
              </w:rPr>
              <w:t>调查区域内自然</w:t>
            </w:r>
            <w:r>
              <w:rPr>
                <w:rFonts w:ascii="宋体" w:hAnsi="宋体" w:cs="宋体"/>
                <w:spacing w:val="-1"/>
                <w:sz w:val="24"/>
                <w:szCs w:val="24"/>
              </w:rPr>
              <w:t>植被</w:t>
            </w:r>
            <w:r>
              <w:rPr>
                <w:rFonts w:hint="eastAsia" w:ascii="宋体" w:hAnsi="宋体" w:cs="宋体"/>
                <w:spacing w:val="-1"/>
                <w:sz w:val="24"/>
                <w:szCs w:val="24"/>
              </w:rPr>
              <w:t>主要</w:t>
            </w:r>
            <w:r>
              <w:rPr>
                <w:rFonts w:ascii="宋体" w:hAnsi="宋体" w:cs="宋体"/>
                <w:spacing w:val="-1"/>
                <w:sz w:val="24"/>
                <w:szCs w:val="24"/>
              </w:rPr>
              <w:t>为暖温性</w:t>
            </w:r>
            <w:r>
              <w:rPr>
                <w:rFonts w:hint="eastAsia" w:ascii="宋体" w:hAnsi="宋体" w:cs="宋体"/>
                <w:spacing w:val="-1"/>
                <w:sz w:val="24"/>
                <w:szCs w:val="24"/>
              </w:rPr>
              <w:t>针叶林、暖性石灰岩灌丛及暖温性稀树灌木草丛</w:t>
            </w:r>
            <w:r>
              <w:rPr>
                <w:rFonts w:ascii="宋体" w:hAnsi="宋体" w:cs="宋体"/>
                <w:spacing w:val="-1"/>
                <w:sz w:val="24"/>
                <w:szCs w:val="24"/>
              </w:rPr>
              <w:t>。</w:t>
            </w:r>
            <w:r>
              <w:rPr>
                <w:rFonts w:hint="eastAsia"/>
                <w:spacing w:val="-8"/>
                <w:sz w:val="24"/>
                <w:szCs w:val="24"/>
              </w:rPr>
              <w:t>根据</w:t>
            </w:r>
            <w:r>
              <w:rPr>
                <w:spacing w:val="-8"/>
                <w:sz w:val="24"/>
                <w:szCs w:val="24"/>
              </w:rPr>
              <w:t>《中国外来入侵物种名单</w:t>
            </w:r>
            <w:r>
              <w:rPr>
                <w:spacing w:val="-9"/>
                <w:sz w:val="24"/>
                <w:szCs w:val="24"/>
              </w:rPr>
              <w:t>》</w:t>
            </w:r>
            <w:r>
              <w:rPr>
                <w:rFonts w:hint="eastAsia"/>
                <w:spacing w:val="-9"/>
                <w:sz w:val="24"/>
                <w:szCs w:val="24"/>
              </w:rPr>
              <w:t>（</w:t>
            </w:r>
            <w:r>
              <w:rPr>
                <w:spacing w:val="-9"/>
                <w:sz w:val="24"/>
                <w:szCs w:val="24"/>
              </w:rPr>
              <w:t>第一至第四批</w:t>
            </w:r>
            <w:r>
              <w:rPr>
                <w:rFonts w:hint="eastAsia"/>
                <w:spacing w:val="-9"/>
                <w:sz w:val="24"/>
                <w:szCs w:val="24"/>
              </w:rPr>
              <w:t>）</w:t>
            </w:r>
            <w:r>
              <w:rPr>
                <w:spacing w:val="-9"/>
                <w:sz w:val="24"/>
                <w:szCs w:val="24"/>
              </w:rPr>
              <w:t>，</w:t>
            </w:r>
            <w:r>
              <w:rPr>
                <w:rFonts w:hint="eastAsia"/>
                <w:spacing w:val="-1"/>
                <w:sz w:val="24"/>
                <w:szCs w:val="24"/>
              </w:rPr>
              <w:t>调查</w:t>
            </w:r>
            <w:r>
              <w:rPr>
                <w:spacing w:val="-1"/>
                <w:sz w:val="24"/>
                <w:szCs w:val="24"/>
              </w:rPr>
              <w:t>区</w:t>
            </w:r>
            <w:r>
              <w:rPr>
                <w:rFonts w:hint="eastAsia"/>
                <w:spacing w:val="-1"/>
                <w:sz w:val="24"/>
                <w:szCs w:val="24"/>
              </w:rPr>
              <w:t>内有</w:t>
            </w:r>
            <w:r>
              <w:rPr>
                <w:rFonts w:eastAsia="Times New Roman"/>
                <w:spacing w:val="-1"/>
                <w:sz w:val="24"/>
                <w:szCs w:val="24"/>
              </w:rPr>
              <w:t>5</w:t>
            </w:r>
            <w:r>
              <w:rPr>
                <w:spacing w:val="-1"/>
                <w:sz w:val="24"/>
                <w:szCs w:val="24"/>
              </w:rPr>
              <w:t>种外来植物</w:t>
            </w:r>
            <w:r>
              <w:rPr>
                <w:rFonts w:hint="eastAsia"/>
                <w:spacing w:val="-1"/>
                <w:sz w:val="24"/>
                <w:szCs w:val="24"/>
              </w:rPr>
              <w:t>，分别为</w:t>
            </w:r>
            <w:r>
              <w:rPr>
                <w:position w:val="2"/>
                <w:sz w:val="24"/>
                <w:szCs w:val="24"/>
              </w:rPr>
              <w:t>紫茎泽兰</w:t>
            </w:r>
            <w:r>
              <w:rPr>
                <w:rFonts w:hint="eastAsia"/>
                <w:i/>
                <w:iCs/>
                <w:position w:val="2"/>
                <w:sz w:val="24"/>
              </w:rPr>
              <w:t>Ageratina adenophora</w:t>
            </w:r>
            <w:r>
              <w:rPr>
                <w:rFonts w:hint="eastAsia"/>
                <w:position w:val="2"/>
                <w:sz w:val="24"/>
                <w:szCs w:val="24"/>
              </w:rPr>
              <w:t>、</w:t>
            </w:r>
            <w:r>
              <w:rPr>
                <w:spacing w:val="-1"/>
                <w:position w:val="2"/>
                <w:sz w:val="24"/>
                <w:szCs w:val="24"/>
              </w:rPr>
              <w:t>小蓬</w:t>
            </w:r>
            <w:r>
              <w:rPr>
                <w:rFonts w:hint="eastAsia"/>
                <w:i/>
                <w:iCs/>
                <w:spacing w:val="-1"/>
                <w:position w:val="2"/>
                <w:sz w:val="24"/>
              </w:rPr>
              <w:t>Nanophyton erinaceum</w:t>
            </w:r>
            <w:r>
              <w:rPr>
                <w:rFonts w:hint="eastAsia"/>
                <w:spacing w:val="-1"/>
                <w:position w:val="2"/>
                <w:sz w:val="24"/>
                <w:szCs w:val="24"/>
              </w:rPr>
              <w:t>、</w:t>
            </w:r>
            <w:r>
              <w:rPr>
                <w:spacing w:val="-1"/>
                <w:position w:val="2"/>
                <w:sz w:val="24"/>
                <w:szCs w:val="24"/>
              </w:rPr>
              <w:t>土荆芥</w:t>
            </w:r>
            <w:r>
              <w:rPr>
                <w:rFonts w:hint="eastAsia"/>
                <w:i/>
                <w:iCs/>
                <w:spacing w:val="-1"/>
                <w:position w:val="2"/>
                <w:sz w:val="24"/>
              </w:rPr>
              <w:t>Dysphania ambrosioides</w:t>
            </w:r>
            <w:r>
              <w:rPr>
                <w:rFonts w:hint="eastAsia"/>
                <w:spacing w:val="-1"/>
                <w:position w:val="2"/>
                <w:sz w:val="24"/>
                <w:szCs w:val="24"/>
              </w:rPr>
              <w:t>、</w:t>
            </w:r>
            <w:r>
              <w:rPr>
                <w:spacing w:val="2"/>
                <w:position w:val="2"/>
                <w:sz w:val="24"/>
                <w:szCs w:val="24"/>
              </w:rPr>
              <w:t>野燕麦</w:t>
            </w:r>
            <w:r>
              <w:rPr>
                <w:rFonts w:hint="eastAsia"/>
                <w:i/>
                <w:iCs/>
                <w:spacing w:val="2"/>
                <w:position w:val="2"/>
                <w:sz w:val="24"/>
              </w:rPr>
              <w:t>Avena fatua</w:t>
            </w:r>
            <w:r>
              <w:rPr>
                <w:rFonts w:hint="eastAsia"/>
                <w:spacing w:val="2"/>
                <w:position w:val="2"/>
                <w:sz w:val="24"/>
                <w:szCs w:val="24"/>
              </w:rPr>
              <w:t>和</w:t>
            </w:r>
            <w:r>
              <w:rPr>
                <w:spacing w:val="-1"/>
                <w:position w:val="1"/>
                <w:sz w:val="24"/>
                <w:szCs w:val="24"/>
              </w:rPr>
              <w:t>喀西茄</w:t>
            </w:r>
            <w:r>
              <w:rPr>
                <w:rFonts w:hint="eastAsia"/>
                <w:i/>
                <w:iCs/>
                <w:spacing w:val="-1"/>
                <w:position w:val="1"/>
                <w:sz w:val="24"/>
              </w:rPr>
              <w:t>Solanum aculeatissimum</w:t>
            </w:r>
            <w:r>
              <w:rPr>
                <w:rFonts w:hint="eastAsia"/>
                <w:spacing w:val="-1"/>
                <w:position w:val="1"/>
                <w:sz w:val="24"/>
                <w:szCs w:val="24"/>
              </w:rPr>
              <w:t>。</w:t>
            </w:r>
            <w:r>
              <w:rPr>
                <w:rFonts w:hint="eastAsia"/>
                <w:spacing w:val="-3"/>
                <w:sz w:val="24"/>
              </w:rPr>
              <w:t>该类入侵植物喜生于开阔空旷、森林郁闭度低的区域，尤其易在人畜干扰频繁、地表受扰动破坏的生境中定殖扩散，是云南各地的常见物种。</w:t>
            </w:r>
            <w:r>
              <w:rPr>
                <w:snapToGrid w:val="0"/>
                <w:kern w:val="0"/>
                <w:sz w:val="24"/>
              </w:rPr>
              <w:t>项目施工中需严格控制输入性入侵，如人、畜、货物</w:t>
            </w:r>
            <w:r>
              <w:rPr>
                <w:bCs/>
                <w:snapToGrid w:val="0"/>
                <w:kern w:val="0"/>
                <w:sz w:val="24"/>
                <w:szCs w:val="24"/>
                <w:lang w:bidi="ar"/>
              </w:rPr>
              <w:t>等主动或被动携带引入，以及植被恢复时引入的种子、植株幼苗等，另外需严格管理扰动的地表，尽量减少入侵物种进入调查区和扩散的条件。</w:t>
            </w:r>
          </w:p>
          <w:p w14:paraId="1470B4BB">
            <w:pPr>
              <w:spacing w:line="360" w:lineRule="auto"/>
              <w:ind w:firstLine="480" w:firstLineChars="200"/>
              <w:jc w:val="left"/>
              <w:rPr>
                <w:rFonts w:ascii="宋体" w:hAnsi="宋体" w:cs="宋体"/>
                <w:sz w:val="24"/>
                <w:szCs w:val="24"/>
              </w:rPr>
            </w:pPr>
            <w:r>
              <w:rPr>
                <w:bCs/>
                <w:snapToGrid w:val="0"/>
                <w:kern w:val="0"/>
                <w:sz w:val="24"/>
                <w:szCs w:val="24"/>
                <w:lang w:bidi="ar"/>
              </w:rPr>
              <w:t>工程在施工中，从业人员及施工对植被有一定的影响。云南松林容易受到病虫害的侵袭，但据访谈社区群众，该片区没有发生过大面积的外来物种入侵和病虫害（如松毛虫、小蠹虫等）的侵袭。本次工程实施过程中</w:t>
            </w:r>
            <w:r>
              <w:rPr>
                <w:rFonts w:ascii="宋体" w:hAnsi="宋体" w:cs="宋体"/>
                <w:spacing w:val="-3"/>
                <w:sz w:val="24"/>
                <w:szCs w:val="24"/>
              </w:rPr>
              <w:t>做好相关检疫工作，就可将导致云南松</w:t>
            </w:r>
            <w:r>
              <w:rPr>
                <w:rFonts w:ascii="宋体" w:hAnsi="宋体" w:cs="宋体"/>
                <w:spacing w:val="4"/>
                <w:sz w:val="24"/>
                <w:szCs w:val="24"/>
              </w:rPr>
              <w:t>林发生病虫害的几率降至最低，因项目实施与运行导致病虫害爆发的可能性较</w:t>
            </w:r>
            <w:r>
              <w:rPr>
                <w:rFonts w:ascii="宋体" w:hAnsi="宋体" w:cs="宋体"/>
                <w:spacing w:val="-5"/>
                <w:sz w:val="24"/>
                <w:szCs w:val="24"/>
              </w:rPr>
              <w:t>小。</w:t>
            </w:r>
          </w:p>
          <w:p w14:paraId="49595A2A">
            <w:pPr>
              <w:spacing w:before="9" w:line="359" w:lineRule="auto"/>
              <w:ind w:left="21" w:right="45" w:firstLine="481"/>
              <w:rPr>
                <w:rFonts w:ascii="宋体" w:hAnsi="宋体" w:cs="宋体"/>
                <w:sz w:val="24"/>
                <w:szCs w:val="24"/>
              </w:rPr>
            </w:pPr>
            <w:r>
              <w:rPr>
                <w:rFonts w:ascii="宋体" w:hAnsi="宋体" w:cs="宋体"/>
                <w:spacing w:val="-3"/>
                <w:sz w:val="24"/>
                <w:szCs w:val="24"/>
              </w:rPr>
              <w:t>运营期车辆进出评价区时，易将外来物种带进该区域。运营期对</w:t>
            </w:r>
            <w:r>
              <w:rPr>
                <w:rFonts w:ascii="宋体" w:hAnsi="宋体" w:cs="宋体"/>
                <w:spacing w:val="-4"/>
                <w:sz w:val="24"/>
                <w:szCs w:val="24"/>
              </w:rPr>
              <w:t>植物资源的</w:t>
            </w:r>
            <w:r>
              <w:rPr>
                <w:rFonts w:ascii="宋体" w:hAnsi="宋体" w:cs="宋体"/>
                <w:spacing w:val="-3"/>
                <w:sz w:val="24"/>
                <w:szCs w:val="24"/>
              </w:rPr>
              <w:t>影响主要来自于外来物种对当地生态系统及生物多样性的影响。入侵植物是一种生命力强、分布广、易繁殖、对本土物种危害较大的一种有害植物。外来物种入侵定植后，将形成单优种群落，抑制本地物种生长，最终破坏区域的生物多样性</w:t>
            </w:r>
            <w:r>
              <w:rPr>
                <w:rFonts w:ascii="宋体" w:hAnsi="宋体" w:cs="宋体"/>
                <w:spacing w:val="-2"/>
                <w:sz w:val="24"/>
                <w:szCs w:val="24"/>
              </w:rPr>
              <w:t>和生态环境。研究表明影响入侵植物传播的主要途径之一就是交通运输。因此，</w:t>
            </w:r>
            <w:r>
              <w:rPr>
                <w:rFonts w:ascii="宋体" w:hAnsi="宋体" w:cs="宋体"/>
                <w:spacing w:val="-3"/>
                <w:sz w:val="24"/>
                <w:szCs w:val="24"/>
              </w:rPr>
              <w:t>工程建设的交通工具进出为入侵植物的传播提供了条件，应加强对入侵植物的宣</w:t>
            </w:r>
            <w:r>
              <w:rPr>
                <w:rFonts w:ascii="宋体" w:hAnsi="宋体" w:cs="宋体"/>
                <w:spacing w:val="-1"/>
                <w:sz w:val="24"/>
                <w:szCs w:val="24"/>
              </w:rPr>
              <w:t>传和监管，定期组织清理入侵植物。</w:t>
            </w:r>
          </w:p>
          <w:p w14:paraId="0934DE9E">
            <w:pPr>
              <w:spacing w:line="360" w:lineRule="auto"/>
              <w:ind w:left="25" w:right="80" w:firstLine="481"/>
              <w:rPr>
                <w:rFonts w:ascii="宋体" w:hAnsi="宋体" w:cs="宋体"/>
                <w:sz w:val="24"/>
                <w:szCs w:val="24"/>
              </w:rPr>
            </w:pPr>
            <w:r>
              <w:rPr>
                <w:rFonts w:ascii="宋体" w:hAnsi="宋体" w:cs="宋体"/>
                <w:spacing w:val="-3"/>
                <w:sz w:val="24"/>
                <w:szCs w:val="24"/>
              </w:rPr>
              <w:t>项目建设与运行中，影响评价区内目前外来入侵植物的</w:t>
            </w:r>
            <w:r>
              <w:rPr>
                <w:rFonts w:ascii="宋体" w:hAnsi="宋体" w:cs="宋体"/>
                <w:spacing w:val="-4"/>
                <w:sz w:val="24"/>
                <w:szCs w:val="24"/>
              </w:rPr>
              <w:t>种类和数量有限，入</w:t>
            </w:r>
            <w:r>
              <w:rPr>
                <w:rFonts w:ascii="宋体" w:hAnsi="宋体" w:cs="宋体"/>
                <w:spacing w:val="-3"/>
                <w:sz w:val="24"/>
                <w:szCs w:val="24"/>
              </w:rPr>
              <w:t>侵程度轻微，而且只是有限的影响到次生环境。只要加强对从业人员、施工人员的管理，限定运行路线，就可将外来植物入侵的机率降至最低。项目不可能因此改变此区域的自然生态环境，增加外来物种入侵或有害生物入侵的风险的可能性</w:t>
            </w:r>
            <w:r>
              <w:rPr>
                <w:rFonts w:ascii="宋体" w:hAnsi="宋体" w:cs="宋体"/>
                <w:spacing w:val="-1"/>
                <w:sz w:val="24"/>
                <w:szCs w:val="24"/>
              </w:rPr>
              <w:t>不大，影响响度为</w:t>
            </w:r>
            <w:r>
              <w:rPr>
                <w:rFonts w:hint="eastAsia" w:ascii="宋体" w:hAnsi="宋体" w:cs="宋体"/>
                <w:spacing w:val="-1"/>
                <w:sz w:val="24"/>
                <w:szCs w:val="24"/>
              </w:rPr>
              <w:t>“</w:t>
            </w:r>
            <w:r>
              <w:rPr>
                <w:rFonts w:ascii="宋体" w:hAnsi="宋体" w:cs="宋体"/>
                <w:spacing w:val="-1"/>
                <w:sz w:val="24"/>
                <w:szCs w:val="24"/>
              </w:rPr>
              <w:t>中低度</w:t>
            </w:r>
            <w:r>
              <w:rPr>
                <w:rFonts w:hint="eastAsia" w:ascii="宋体" w:hAnsi="宋体" w:cs="宋体"/>
                <w:spacing w:val="-1"/>
                <w:sz w:val="24"/>
                <w:szCs w:val="24"/>
              </w:rPr>
              <w:t>”</w:t>
            </w:r>
            <w:r>
              <w:rPr>
                <w:rFonts w:ascii="宋体" w:hAnsi="宋体" w:cs="宋体"/>
                <w:spacing w:val="-1"/>
                <w:sz w:val="24"/>
                <w:szCs w:val="24"/>
              </w:rPr>
              <w:t>。</w:t>
            </w:r>
          </w:p>
          <w:p w14:paraId="02CA3907">
            <w:pPr>
              <w:spacing w:line="360" w:lineRule="auto"/>
              <w:ind w:firstLine="476" w:firstLineChars="200"/>
              <w:rPr>
                <w:rFonts w:hint="eastAsia"/>
                <w:snapToGrid w:val="0"/>
                <w:kern w:val="0"/>
                <w:sz w:val="24"/>
              </w:rPr>
            </w:pPr>
            <w:r>
              <w:rPr>
                <w:rFonts w:ascii="宋体" w:hAnsi="宋体" w:cs="宋体"/>
                <w:spacing w:val="-1"/>
                <w:sz w:val="24"/>
                <w:szCs w:val="24"/>
              </w:rPr>
              <w:t>项目绿化美化时，若在选择乔、灌、草物种时，不</w:t>
            </w:r>
            <w:r>
              <w:rPr>
                <w:rFonts w:ascii="宋体" w:hAnsi="宋体" w:cs="宋体"/>
                <w:spacing w:val="-2"/>
                <w:sz w:val="24"/>
                <w:szCs w:val="24"/>
              </w:rPr>
              <w:t>是以当地乡土树种为主，</w:t>
            </w:r>
            <w:r>
              <w:rPr>
                <w:rFonts w:ascii="宋体" w:hAnsi="宋体" w:cs="宋体"/>
                <w:spacing w:val="-3"/>
                <w:sz w:val="24"/>
                <w:szCs w:val="24"/>
              </w:rPr>
              <w:t>引入了外地物种，特别是外来入侵物种的带入，将对区域的生态系统的稳定性造</w:t>
            </w:r>
            <w:r>
              <w:rPr>
                <w:rFonts w:ascii="宋体" w:hAnsi="宋体" w:cs="宋体"/>
                <w:spacing w:val="-8"/>
                <w:sz w:val="24"/>
                <w:szCs w:val="24"/>
              </w:rPr>
              <w:t>成不可预计的重大影响。因此，原则上要杜绝引入外来绿化物种。环评分析认为，</w:t>
            </w:r>
            <w:r>
              <w:rPr>
                <w:rFonts w:ascii="宋体" w:hAnsi="宋体" w:cs="宋体"/>
                <w:spacing w:val="-3"/>
                <w:sz w:val="24"/>
                <w:szCs w:val="24"/>
              </w:rPr>
              <w:t>建设项目在选择乔、灌、草物种时，要以地方乡土树种为主，所引入的绿化物种均为当地常见的绿化树种，以避免外来绿化物种入侵造成对区域生态系统的稳定性的影响。景观绿化过程中，也不完全排除良性物种的引入，但引入时，必须进</w:t>
            </w:r>
            <w:r>
              <w:rPr>
                <w:rFonts w:ascii="宋体" w:hAnsi="宋体" w:cs="宋体"/>
                <w:spacing w:val="-1"/>
                <w:sz w:val="24"/>
                <w:szCs w:val="24"/>
              </w:rPr>
              <w:t>行植物检疫，避免外来不良物种和病虫害的影响。</w:t>
            </w:r>
          </w:p>
          <w:p w14:paraId="5C77A7B3">
            <w:pPr>
              <w:autoSpaceDE w:val="0"/>
              <w:autoSpaceDN w:val="0"/>
              <w:spacing w:line="360" w:lineRule="auto"/>
              <w:ind w:firstLine="482" w:firstLineChars="200"/>
              <w:rPr>
                <w:rFonts w:hint="eastAsia"/>
                <w:b/>
                <w:bCs/>
                <w:snapToGrid w:val="0"/>
                <w:kern w:val="0"/>
                <w:sz w:val="24"/>
              </w:rPr>
            </w:pPr>
            <w:r>
              <w:rPr>
                <w:b/>
                <w:bCs/>
                <w:snapToGrid w:val="0"/>
                <w:kern w:val="0"/>
                <w:sz w:val="24"/>
              </w:rPr>
              <w:t>4</w:t>
            </w:r>
            <w:r>
              <w:rPr>
                <w:rFonts w:hint="eastAsia"/>
                <w:b/>
                <w:bCs/>
                <w:snapToGrid w:val="0"/>
                <w:kern w:val="0"/>
                <w:sz w:val="24"/>
              </w:rPr>
              <w:t>）其他影响</w:t>
            </w:r>
          </w:p>
          <w:p w14:paraId="20E7FE56">
            <w:pPr>
              <w:spacing w:line="360" w:lineRule="auto"/>
              <w:ind w:firstLine="480" w:firstLineChars="200"/>
              <w:rPr>
                <w:snapToGrid w:val="0"/>
                <w:kern w:val="0"/>
                <w:sz w:val="24"/>
              </w:rPr>
            </w:pPr>
            <w:r>
              <w:rPr>
                <w:rFonts w:hint="eastAsia"/>
                <w:snapToGrid w:val="0"/>
                <w:kern w:val="0"/>
                <w:sz w:val="24"/>
              </w:rPr>
              <w:t>因工程建设期施工人员的活动可能导致项目周边的林草火灾的发生，一旦发生，将给周边自然生态系统带来严重的破坏性影响。需采取严格的施工管理措施，严禁野外用火，防范因工程建设带来的山林火灾，总体上其风险是可控的。</w:t>
            </w:r>
          </w:p>
          <w:p w14:paraId="068E8DC8">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（3）对动物的影响分析</w:t>
            </w:r>
          </w:p>
          <w:p w14:paraId="4A4E966F">
            <w:pPr>
              <w:spacing w:line="360" w:lineRule="auto"/>
              <w:ind w:firstLine="480" w:firstLineChars="200"/>
              <w:rPr>
                <w:snapToGrid w:val="0"/>
                <w:kern w:val="0"/>
                <w:sz w:val="24"/>
              </w:rPr>
            </w:pPr>
            <w:r>
              <w:rPr>
                <w:rFonts w:hint="eastAsia"/>
                <w:snapToGrid w:val="0"/>
                <w:kern w:val="0"/>
                <w:sz w:val="24"/>
              </w:rPr>
              <w:t>工程建设过程对动物的影响表现在对动物栖息环境的影响和对动物本身的影响工程施工过程中植被砍伐占用、地表开挖等可能对动物栖息地造成破坏；施工粉尘、废气和水污染等可能影响动物原有的栖息环境；施工人员活动及施工产生的噪声可能对动物产生惊吓和干扰。</w:t>
            </w:r>
          </w:p>
          <w:p w14:paraId="4675F702">
            <w:pPr>
              <w:spacing w:line="360" w:lineRule="auto"/>
              <w:ind w:firstLine="480" w:firstLineChars="200"/>
              <w:rPr>
                <w:snapToGrid w:val="0"/>
                <w:kern w:val="0"/>
                <w:sz w:val="24"/>
              </w:rPr>
            </w:pPr>
            <w:r>
              <w:rPr>
                <w:rFonts w:hint="eastAsia"/>
                <w:snapToGrid w:val="0"/>
                <w:kern w:val="0"/>
                <w:sz w:val="24"/>
              </w:rPr>
              <w:t>总体而言，工程建设将对区域陆生脊椎动物的栖息、觅食、活动等产生一定的影响，但大多数陆生脊椎动物具有趋避的本能，施工影响的结果主要是使部分动物迁移他处，远离施工影响的范围。</w:t>
            </w:r>
          </w:p>
          <w:p w14:paraId="610CE42D">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1）对两栖爬行类的影响</w:t>
            </w:r>
          </w:p>
          <w:p w14:paraId="7200D479">
            <w:pPr>
              <w:spacing w:line="360" w:lineRule="auto"/>
              <w:ind w:firstLine="480" w:firstLineChars="200"/>
              <w:rPr>
                <w:snapToGrid w:val="0"/>
                <w:kern w:val="0"/>
                <w:sz w:val="24"/>
              </w:rPr>
            </w:pPr>
            <w:r>
              <w:rPr>
                <w:rFonts w:hint="eastAsia"/>
                <w:snapToGrid w:val="0"/>
                <w:kern w:val="0"/>
                <w:sz w:val="24"/>
              </w:rPr>
              <w:t>工程建设对两栖动物的影响主要是施工期间由于基础设施的建设可能导致水质的变化等几个方面：由于施工材料的堆放，随雨水冲刷进入水域，造成水质的污染；施工人员产生的生活垃圾、废水直接排入河道也会造成水域的污染，由于施工会导致水域附近的生境发生变化：施工过程会使该区域的人口密度增加，人为活动频繁，如不加强管理施工人员可能捕食一些蛙类，这样就会导致该种群数量暂时减少。另外，如果夜间施工，施工照明也会对两栖类的觅食活动产生影响。由于施工便道的建设、施工人员的进入，爬行动物必然受到惊扰。从调查的结果来看，调查区分布的爬行动物无论种类和数量都十分有限，对种群数量的影响也较小。由于光伏建设影响的范围有限，只要采取相应的环保措施，工程对爬行动物的影响轻微。</w:t>
            </w:r>
          </w:p>
          <w:p w14:paraId="6D0FB428">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2）对鸟类的影响</w:t>
            </w:r>
          </w:p>
          <w:p w14:paraId="43B8AB1C">
            <w:pPr>
              <w:autoSpaceDE w:val="0"/>
              <w:autoSpaceDN w:val="0"/>
              <w:adjustRightInd w:val="0"/>
              <w:spacing w:line="360" w:lineRule="auto"/>
              <w:ind w:firstLine="480" w:firstLineChars="200"/>
              <w:rPr>
                <w:bCs/>
                <w:snapToGrid w:val="0"/>
                <w:kern w:val="0"/>
                <w:sz w:val="24"/>
                <w:szCs w:val="24"/>
                <w:lang w:bidi="ar"/>
              </w:rPr>
            </w:pPr>
            <w:r>
              <w:rPr>
                <w:rFonts w:hint="eastAsia" w:ascii="宋体" w:cs="宋体"/>
                <w:bCs/>
                <w:snapToGrid w:val="0"/>
                <w:kern w:val="0"/>
                <w:sz w:val="24"/>
                <w:szCs w:val="24"/>
              </w:rPr>
              <w:t>项目施工期间对鸟类栖息地的破坏、噪声、人为干扰等对项目区域内的鸟类会产生一定影响，</w:t>
            </w:r>
            <w:r>
              <w:rPr>
                <w:bCs/>
                <w:snapToGrid w:val="0"/>
                <w:kern w:val="0"/>
                <w:sz w:val="24"/>
                <w:szCs w:val="24"/>
                <w:lang w:bidi="ar"/>
              </w:rPr>
              <w:t>将使得大部分</w:t>
            </w:r>
            <w:r>
              <w:rPr>
                <w:rFonts w:hint="eastAsia"/>
                <w:bCs/>
                <w:snapToGrid w:val="0"/>
                <w:kern w:val="0"/>
                <w:sz w:val="24"/>
                <w:szCs w:val="24"/>
                <w:lang w:bidi="ar"/>
              </w:rPr>
              <w:t>鸟类</w:t>
            </w:r>
            <w:r>
              <w:rPr>
                <w:rFonts w:hint="eastAsia" w:ascii="宋体" w:cs="宋体"/>
                <w:bCs/>
                <w:snapToGrid w:val="0"/>
                <w:kern w:val="0"/>
                <w:sz w:val="24"/>
                <w:szCs w:val="24"/>
              </w:rPr>
              <w:t>通过飞翔短距离的迁移来避免项目施工对其造成伤害</w:t>
            </w:r>
            <w:r>
              <w:rPr>
                <w:bCs/>
                <w:snapToGrid w:val="0"/>
                <w:kern w:val="0"/>
                <w:sz w:val="24"/>
                <w:szCs w:val="24"/>
                <w:lang w:bidi="ar"/>
              </w:rPr>
              <w:t>，远离施工影响范围</w:t>
            </w:r>
            <w:r>
              <w:rPr>
                <w:rFonts w:hint="eastAsia"/>
                <w:bCs/>
                <w:snapToGrid w:val="0"/>
                <w:kern w:val="0"/>
                <w:sz w:val="24"/>
                <w:szCs w:val="24"/>
                <w:lang w:bidi="ar"/>
              </w:rPr>
              <w:t>；其次鸟类</w:t>
            </w:r>
            <w:r>
              <w:rPr>
                <w:bCs/>
                <w:snapToGrid w:val="0"/>
                <w:kern w:val="0"/>
                <w:sz w:val="24"/>
                <w:szCs w:val="24"/>
                <w:lang w:bidi="ar"/>
              </w:rPr>
              <w:t>偶尔会进入项目区，鸟类动物迁徙能力强，活动区域大，其性机警，在环境受到干扰时，会迅速迁移至其他相同或相似生境中，会通过迁移来避免工程建设对</w:t>
            </w:r>
            <w:r>
              <w:rPr>
                <w:rFonts w:hint="eastAsia"/>
                <w:bCs/>
                <w:snapToGrid w:val="0"/>
                <w:kern w:val="0"/>
                <w:sz w:val="24"/>
                <w:szCs w:val="24"/>
                <w:lang w:bidi="ar"/>
              </w:rPr>
              <w:t>其影响。</w:t>
            </w:r>
            <w:r>
              <w:rPr>
                <w:rFonts w:hint="eastAsia" w:ascii="宋体" w:cs="宋体"/>
                <w:bCs/>
                <w:snapToGrid w:val="0"/>
                <w:kern w:val="0"/>
                <w:sz w:val="24"/>
                <w:szCs w:val="24"/>
              </w:rPr>
              <w:t>施工期是短暂的，施工期结束，待做好相应植被恢复工作后，同时又会给鸟类创造新的栖息地，此类影响也将随之结束，</w:t>
            </w:r>
            <w:r>
              <w:rPr>
                <w:bCs/>
                <w:snapToGrid w:val="0"/>
                <w:kern w:val="0"/>
                <w:sz w:val="24"/>
                <w:szCs w:val="24"/>
                <w:lang w:bidi="ar"/>
              </w:rPr>
              <w:t>因此，只要加强施工管理，项目建设对鸟类的影响不大。</w:t>
            </w:r>
          </w:p>
          <w:p w14:paraId="787075D3">
            <w:pPr>
              <w:autoSpaceDE w:val="0"/>
              <w:autoSpaceDN w:val="0"/>
              <w:adjustRightInd w:val="0"/>
              <w:spacing w:line="360" w:lineRule="auto"/>
              <w:ind w:firstLine="480" w:firstLineChars="200"/>
              <w:rPr>
                <w:rFonts w:hint="eastAsia"/>
                <w:snapToGrid w:val="0"/>
                <w:kern w:val="0"/>
                <w:sz w:val="24"/>
              </w:rPr>
            </w:pPr>
            <w:r>
              <w:rPr>
                <w:rFonts w:hint="eastAsia"/>
                <w:snapToGrid w:val="0"/>
                <w:kern w:val="0"/>
                <w:sz w:val="24"/>
              </w:rPr>
              <w:t>调查区内共有国家二级重点保护野生动物3种，分别为松雀鹰、普通鵟、红隼，工程建设对动物的影响主要表现在对其栖息地破坏和侵占，但本项目调查区内分布的保护动物均具有较广的生境适应范围，可栖息于多种生境类型中，单一生境的破坏和减少对其影响有限。在项目建设过程中，在场区活动的啮齿目动物会吸引松雀鹰、普通鵟、红隼等猛禽前来捕食，啮齿类动物主要分布于平地或半山区的农田或灌草丛生境下，保护鸟类的觅食主要集中于较低的谷地或半山区，其与光伏板相撞的危险较小，因此，项目建设对其产生的影响不大。</w:t>
            </w:r>
          </w:p>
          <w:p w14:paraId="157DD2E1">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3）对哺乳类影响</w:t>
            </w:r>
          </w:p>
          <w:p w14:paraId="2A800003">
            <w:pPr>
              <w:spacing w:line="360" w:lineRule="auto"/>
              <w:ind w:firstLine="480" w:firstLineChars="200"/>
              <w:rPr>
                <w:snapToGrid w:val="0"/>
                <w:kern w:val="0"/>
                <w:sz w:val="24"/>
              </w:rPr>
            </w:pPr>
            <w:r>
              <w:rPr>
                <w:rFonts w:hint="eastAsia"/>
                <w:snapToGrid w:val="0"/>
                <w:kern w:val="0"/>
                <w:sz w:val="24"/>
              </w:rPr>
              <w:t>施工期对哺乳类的影响主要体现在对动物栖息觅食地所在生态环境的破坏，各种施工人员以及施工机械的干扰等，使评价区及其周边环境发生改变，受影响的主要是适生于灌草丛的小型兽类，如兔类和松鼠等，将迁移至附近受干扰小的区域，在施工区附近，上述兽类栖息适宜度降低，种类和数量将相应减少，而伴随人类生活的一些啮齿目、食虫目其种群数量会有所增加，与此对应，主要以鼠类为食的黄鼬等种群数量将会有所增加。</w:t>
            </w:r>
          </w:p>
          <w:p w14:paraId="7CC5AF88">
            <w:pPr>
              <w:spacing w:line="360" w:lineRule="auto"/>
              <w:ind w:firstLine="480" w:firstLineChars="200"/>
              <w:rPr>
                <w:bCs/>
                <w:snapToGrid w:val="0"/>
                <w:kern w:val="0"/>
                <w:sz w:val="24"/>
              </w:rPr>
            </w:pPr>
            <w:r>
              <w:rPr>
                <w:rFonts w:hint="eastAsia"/>
                <w:snapToGrid w:val="0"/>
                <w:kern w:val="0"/>
                <w:sz w:val="24"/>
              </w:rPr>
              <w:t>工程建成后，随着植被的逐渐恢复，生态环境的好转，人为干扰减少，许多外迁的兽类会陆续回到原来的栖息地。同时，项目施工时间短，施工结束后光伏场区内集中式的人为活动停止，在其后的运行期内大部分时间人为活动大大减少，动物仍可迁回该区域活动，不会造成区域动物数量与种群的改变</w:t>
            </w:r>
            <w:r>
              <w:rPr>
                <w:rFonts w:hint="eastAsia"/>
                <w:bCs/>
                <w:snapToGrid w:val="0"/>
                <w:kern w:val="0"/>
                <w:sz w:val="24"/>
              </w:rPr>
              <w:t>。</w:t>
            </w:r>
          </w:p>
          <w:p w14:paraId="4AF40F8C">
            <w:pPr>
              <w:autoSpaceDE w:val="0"/>
              <w:autoSpaceDN w:val="0"/>
              <w:spacing w:line="360" w:lineRule="auto"/>
              <w:ind w:firstLine="482" w:firstLineChars="200"/>
              <w:rPr>
                <w:b/>
                <w:bCs/>
                <w:snapToGrid w:val="0"/>
                <w:kern w:val="0"/>
                <w:sz w:val="24"/>
              </w:rPr>
            </w:pPr>
            <w:r>
              <w:rPr>
                <w:rFonts w:hint="eastAsia"/>
                <w:b/>
                <w:bCs/>
                <w:snapToGrid w:val="0"/>
                <w:kern w:val="0"/>
                <w:sz w:val="24"/>
              </w:rPr>
              <w:t>（4）对候鸟迁徙通道的影响</w:t>
            </w:r>
          </w:p>
          <w:p w14:paraId="2FEE7D59">
            <w:pPr>
              <w:spacing w:line="360" w:lineRule="auto"/>
              <w:ind w:firstLine="478"/>
              <w:rPr>
                <w:spacing w:val="-4"/>
                <w:sz w:val="24"/>
              </w:rPr>
            </w:pPr>
            <w:r>
              <w:rPr>
                <w:rFonts w:hint="eastAsia"/>
                <w:spacing w:val="-4"/>
                <w:sz w:val="24"/>
              </w:rPr>
              <w:t>1）云南省候鸟迁徙通道重点区域</w:t>
            </w:r>
          </w:p>
          <w:p w14:paraId="2335313A">
            <w:pPr>
              <w:spacing w:line="360" w:lineRule="auto"/>
              <w:ind w:firstLine="478"/>
              <w:rPr>
                <w:spacing w:val="-4"/>
                <w:sz w:val="24"/>
              </w:rPr>
            </w:pPr>
            <w:r>
              <w:rPr>
                <w:rFonts w:hint="eastAsia"/>
                <w:spacing w:val="-4"/>
                <w:sz w:val="24"/>
              </w:rPr>
              <w:t>为加强云南省候鸟及候鸟迁徙通道保护，坚决制止和打击鸟类盗猎及破坏栖息地、迁徙通道的违法行为，保障过境候鸟安全，2023年12月云南省林业和草原局发布《云南省候鸟迁徙通道重点区域范围（第一批）》（2023年）。候鸟迁徙通道涉及昭通市永善县、玉溪市新平县、楚雄州南华县、大理州洱源县、南涧县、巍山县、弥渡县、普洱市镇沅县、红河州绿春县、开远市、文山州富宁县、砚山县等共10处候鸟迁徙通道重要地点，候鸟迁徙通道重点区域见下表。在公布的候鸟迁徙通道重点区域范围内禁止猎捕野生动物。风机、高压输电线路等可能妨碍鸟类迁徙的建设项目选址选线，应当避让候鸟迁徙通道；确实无法避让的，应当采取避让候鸟夜间迁徙高峰时段、避免灯光干扰等措施，消除或减少对候鸟的不利影响。在候鸟迁徙期间，严格限制夜间篝火、高强度照明、喷洒农药等妨碍候鸟迁飞和栖息的活动。</w:t>
            </w:r>
          </w:p>
          <w:p w14:paraId="224FE04E">
            <w:pPr>
              <w:widowControl/>
              <w:jc w:val="center"/>
              <w:rPr>
                <w:rFonts w:ascii="宋体" w:hAnsi="宋体" w:cs="宋体"/>
                <w:kern w:val="0"/>
                <w:sz w:val="24"/>
                <w:szCs w:val="24"/>
              </w:rPr>
            </w:pPr>
            <w:r>
              <w:rPr>
                <w:rFonts w:ascii="宋体" w:hAnsi="宋体" w:cs="宋体"/>
                <w:kern w:val="0"/>
                <w:sz w:val="24"/>
                <w:szCs w:val="24"/>
              </w:rPr>
              <w:drawing>
                <wp:inline distT="0" distB="0" distL="0" distR="0">
                  <wp:extent cx="5279390" cy="703897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24" cstate="print">
                            <a:extLst>
                              <a:ext uri="{28A0092B-C50C-407E-A947-70E740481C1C}">
                                <a14:useLocalDpi xmlns:a14="http://schemas.microsoft.com/office/drawing/2010/main" val="0"/>
                              </a:ext>
                            </a:extLst>
                          </a:blip>
                          <a:srcRect t="5563"/>
                          <a:stretch>
                            <a:fillRect/>
                          </a:stretch>
                        </pic:blipFill>
                        <pic:spPr>
                          <a:xfrm>
                            <a:off x="0" y="0"/>
                            <a:ext cx="5279390" cy="7038975"/>
                          </a:xfrm>
                          <a:prstGeom prst="rect">
                            <a:avLst/>
                          </a:prstGeom>
                          <a:noFill/>
                          <a:ln>
                            <a:noFill/>
                          </a:ln>
                        </pic:spPr>
                      </pic:pic>
                    </a:graphicData>
                  </a:graphic>
                </wp:inline>
              </w:drawing>
            </w:r>
          </w:p>
          <w:p w14:paraId="33EE9AC3">
            <w:pPr>
              <w:adjustRightInd w:val="0"/>
              <w:snapToGrid w:val="0"/>
              <w:spacing w:line="360" w:lineRule="auto"/>
              <w:jc w:val="center"/>
              <w:rPr>
                <w:rFonts w:hint="eastAsia"/>
                <w:b/>
                <w:bCs/>
                <w:sz w:val="24"/>
                <w:szCs w:val="24"/>
              </w:rPr>
            </w:pPr>
            <w:r>
              <w:rPr>
                <w:rFonts w:hint="eastAsia"/>
                <w:b/>
                <w:bCs/>
                <w:sz w:val="24"/>
                <w:szCs w:val="24"/>
              </w:rPr>
              <w:t>图4.</w:t>
            </w:r>
            <w:r>
              <w:rPr>
                <w:b/>
                <w:bCs/>
                <w:sz w:val="24"/>
                <w:szCs w:val="24"/>
              </w:rPr>
              <w:t>1</w:t>
            </w:r>
            <w:r>
              <w:rPr>
                <w:rFonts w:hint="eastAsia"/>
                <w:b/>
                <w:bCs/>
                <w:sz w:val="24"/>
                <w:szCs w:val="24"/>
              </w:rPr>
              <w:t>.</w:t>
            </w:r>
            <w:r>
              <w:rPr>
                <w:b/>
                <w:bCs/>
                <w:sz w:val="24"/>
                <w:szCs w:val="24"/>
              </w:rPr>
              <w:t>2</w:t>
            </w:r>
            <w:r>
              <w:rPr>
                <w:rFonts w:hint="eastAsia"/>
                <w:b/>
                <w:bCs/>
                <w:sz w:val="24"/>
                <w:szCs w:val="24"/>
              </w:rPr>
              <w:t>-1  项目与云南省候鸟迁徙通道位置关系</w:t>
            </w:r>
          </w:p>
          <w:p w14:paraId="5D0251C4">
            <w:pPr>
              <w:adjustRightInd w:val="0"/>
              <w:snapToGrid w:val="0"/>
              <w:jc w:val="center"/>
              <w:rPr>
                <w:b/>
                <w:snapToGrid w:val="0"/>
                <w:kern w:val="0"/>
                <w:sz w:val="24"/>
                <w:szCs w:val="24"/>
              </w:rPr>
            </w:pPr>
            <w:r>
              <w:rPr>
                <w:b/>
                <w:snapToGrid w:val="0"/>
                <w:kern w:val="0"/>
                <w:sz w:val="24"/>
                <w:szCs w:val="24"/>
              </w:rPr>
              <w:t>表</w:t>
            </w:r>
            <w:r>
              <w:rPr>
                <w:rFonts w:hint="eastAsia"/>
                <w:b/>
                <w:snapToGrid w:val="0"/>
                <w:kern w:val="0"/>
                <w:sz w:val="24"/>
                <w:szCs w:val="24"/>
              </w:rPr>
              <w:t>4.1.2-2</w:t>
            </w:r>
            <w:r>
              <w:rPr>
                <w:b/>
                <w:snapToGrid w:val="0"/>
                <w:kern w:val="0"/>
                <w:sz w:val="24"/>
                <w:szCs w:val="24"/>
              </w:rPr>
              <w:t xml:space="preserve"> </w:t>
            </w:r>
            <w:r>
              <w:rPr>
                <w:rFonts w:hint="eastAsia"/>
                <w:b/>
                <w:snapToGrid w:val="0"/>
                <w:kern w:val="0"/>
                <w:sz w:val="24"/>
                <w:szCs w:val="24"/>
              </w:rPr>
              <w:t xml:space="preserve"> </w:t>
            </w:r>
            <w:r>
              <w:rPr>
                <w:b/>
                <w:snapToGrid w:val="0"/>
                <w:kern w:val="0"/>
                <w:sz w:val="24"/>
                <w:szCs w:val="24"/>
              </w:rPr>
              <w:t>云南省候鸟迁徙通道重点区域范围</w:t>
            </w:r>
            <w:r>
              <w:rPr>
                <w:rFonts w:hint="eastAsia"/>
                <w:b/>
                <w:snapToGrid w:val="0"/>
                <w:kern w:val="0"/>
                <w:sz w:val="24"/>
                <w:szCs w:val="24"/>
              </w:rPr>
              <w:t>（</w:t>
            </w:r>
            <w:r>
              <w:rPr>
                <w:b/>
                <w:snapToGrid w:val="0"/>
                <w:kern w:val="0"/>
                <w:sz w:val="24"/>
                <w:szCs w:val="24"/>
              </w:rPr>
              <w:t>第一批）</w:t>
            </w:r>
          </w:p>
          <w:tbl>
            <w:tblPr>
              <w:tblStyle w:val="30"/>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97"/>
              <w:gridCol w:w="1722"/>
              <w:gridCol w:w="1733"/>
              <w:gridCol w:w="2645"/>
              <w:gridCol w:w="1569"/>
            </w:tblGrid>
            <w:tr w14:paraId="4E03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Mar>
                    <w:top w:w="60" w:type="dxa"/>
                    <w:left w:w="120" w:type="dxa"/>
                    <w:bottom w:w="30" w:type="dxa"/>
                    <w:right w:w="120" w:type="dxa"/>
                  </w:tcMar>
                  <w:vAlign w:val="center"/>
                </w:tcPr>
                <w:p w14:paraId="318AE30C">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序号</w:t>
                  </w:r>
                </w:p>
              </w:tc>
              <w:tc>
                <w:tcPr>
                  <w:tcW w:w="1738" w:type="dxa"/>
                  <w:tcMar>
                    <w:top w:w="60" w:type="dxa"/>
                    <w:left w:w="120" w:type="dxa"/>
                    <w:bottom w:w="30" w:type="dxa"/>
                    <w:right w:w="120" w:type="dxa"/>
                  </w:tcMar>
                  <w:vAlign w:val="center"/>
                </w:tcPr>
                <w:p w14:paraId="5CE2E701">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州（市）</w:t>
                  </w:r>
                </w:p>
              </w:tc>
              <w:tc>
                <w:tcPr>
                  <w:tcW w:w="1750" w:type="dxa"/>
                  <w:tcMar>
                    <w:top w:w="60" w:type="dxa"/>
                    <w:left w:w="120" w:type="dxa"/>
                    <w:bottom w:w="30" w:type="dxa"/>
                    <w:right w:w="120" w:type="dxa"/>
                  </w:tcMar>
                  <w:vAlign w:val="center"/>
                </w:tcPr>
                <w:p w14:paraId="156D081C">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县（市）</w:t>
                  </w:r>
                </w:p>
              </w:tc>
              <w:tc>
                <w:tcPr>
                  <w:tcW w:w="2675" w:type="dxa"/>
                  <w:tcMar>
                    <w:top w:w="60" w:type="dxa"/>
                    <w:left w:w="120" w:type="dxa"/>
                    <w:bottom w:w="30" w:type="dxa"/>
                    <w:right w:w="120" w:type="dxa"/>
                  </w:tcMar>
                  <w:vAlign w:val="center"/>
                </w:tcPr>
                <w:p w14:paraId="154906E4">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候鸟迁徙通道重点区域</w:t>
                  </w:r>
                </w:p>
              </w:tc>
              <w:tc>
                <w:tcPr>
                  <w:tcW w:w="1583" w:type="dxa"/>
                  <w:tcMar>
                    <w:top w:w="60" w:type="dxa"/>
                    <w:left w:w="120" w:type="dxa"/>
                    <w:bottom w:w="30" w:type="dxa"/>
                    <w:right w:w="120" w:type="dxa"/>
                  </w:tcMar>
                  <w:vAlign w:val="center"/>
                </w:tcPr>
                <w:p w14:paraId="5714CE5E">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面积</w:t>
                  </w:r>
                </w:p>
                <w:p w14:paraId="3569C1DA">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w:t>
                  </w:r>
                  <w:r>
                    <w:rPr>
                      <w:rFonts w:hint="eastAsia" w:ascii="Times New Roman" w:hAnsi="Times New Roman" w:eastAsia="宋体" w:cs="Times New Roman"/>
                      <w:sz w:val="21"/>
                      <w:szCs w:val="21"/>
                    </w:rPr>
                    <w:t>km</w:t>
                  </w:r>
                  <w:r>
                    <w:rPr>
                      <w:rFonts w:hint="eastAsia" w:ascii="Times New Roman" w:hAnsi="Times New Roman" w:eastAsia="宋体" w:cs="Times New Roman"/>
                      <w:sz w:val="21"/>
                      <w:szCs w:val="21"/>
                      <w:vertAlign w:val="superscript"/>
                    </w:rPr>
                    <w:t>2</w:t>
                  </w:r>
                  <w:r>
                    <w:rPr>
                      <w:rFonts w:ascii="Times New Roman" w:hAnsi="Times New Roman" w:eastAsia="宋体" w:cs="Times New Roman"/>
                      <w:sz w:val="21"/>
                      <w:szCs w:val="21"/>
                    </w:rPr>
                    <w:t>）</w:t>
                  </w:r>
                </w:p>
              </w:tc>
            </w:tr>
            <w:tr w14:paraId="5316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Mar>
                    <w:top w:w="60" w:type="dxa"/>
                    <w:left w:w="120" w:type="dxa"/>
                    <w:bottom w:w="30" w:type="dxa"/>
                    <w:right w:w="120" w:type="dxa"/>
                  </w:tcMar>
                  <w:vAlign w:val="center"/>
                </w:tcPr>
                <w:p w14:paraId="2F367CF3">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1738" w:type="dxa"/>
                  <w:tcMar>
                    <w:top w:w="60" w:type="dxa"/>
                    <w:left w:w="120" w:type="dxa"/>
                    <w:bottom w:w="30" w:type="dxa"/>
                    <w:right w:w="120" w:type="dxa"/>
                  </w:tcMar>
                  <w:vAlign w:val="center"/>
                </w:tcPr>
                <w:p w14:paraId="75BB181E">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楚雄</w:t>
                  </w:r>
                </w:p>
              </w:tc>
              <w:tc>
                <w:tcPr>
                  <w:tcW w:w="1750" w:type="dxa"/>
                  <w:tcMar>
                    <w:top w:w="60" w:type="dxa"/>
                    <w:left w:w="120" w:type="dxa"/>
                    <w:bottom w:w="30" w:type="dxa"/>
                    <w:right w:w="120" w:type="dxa"/>
                  </w:tcMar>
                  <w:vAlign w:val="center"/>
                </w:tcPr>
                <w:p w14:paraId="0AF2DB6A">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南华</w:t>
                  </w:r>
                </w:p>
              </w:tc>
              <w:tc>
                <w:tcPr>
                  <w:tcW w:w="2675" w:type="dxa"/>
                  <w:tcMar>
                    <w:top w:w="60" w:type="dxa"/>
                    <w:left w:w="120" w:type="dxa"/>
                    <w:bottom w:w="30" w:type="dxa"/>
                    <w:right w:w="120" w:type="dxa"/>
                  </w:tcMar>
                  <w:vAlign w:val="center"/>
                </w:tcPr>
                <w:p w14:paraId="73974264">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大中山</w:t>
                  </w:r>
                </w:p>
              </w:tc>
              <w:tc>
                <w:tcPr>
                  <w:tcW w:w="1583" w:type="dxa"/>
                  <w:tcMar>
                    <w:top w:w="60" w:type="dxa"/>
                    <w:left w:w="120" w:type="dxa"/>
                    <w:bottom w:w="30" w:type="dxa"/>
                    <w:right w:w="120" w:type="dxa"/>
                  </w:tcMar>
                  <w:vAlign w:val="center"/>
                </w:tcPr>
                <w:p w14:paraId="25275AA7">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11.44</w:t>
                  </w:r>
                </w:p>
              </w:tc>
            </w:tr>
            <w:tr w14:paraId="71C2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Mar>
                    <w:top w:w="60" w:type="dxa"/>
                    <w:left w:w="120" w:type="dxa"/>
                    <w:bottom w:w="30" w:type="dxa"/>
                    <w:right w:w="120" w:type="dxa"/>
                  </w:tcMar>
                  <w:vAlign w:val="center"/>
                </w:tcPr>
                <w:p w14:paraId="231F7D3D">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w:t>
                  </w:r>
                </w:p>
              </w:tc>
              <w:tc>
                <w:tcPr>
                  <w:tcW w:w="1738" w:type="dxa"/>
                  <w:tcMar>
                    <w:top w:w="60" w:type="dxa"/>
                    <w:left w:w="120" w:type="dxa"/>
                    <w:bottom w:w="30" w:type="dxa"/>
                    <w:right w:w="120" w:type="dxa"/>
                  </w:tcMar>
                  <w:vAlign w:val="center"/>
                </w:tcPr>
                <w:p w14:paraId="5BD10C11">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大理</w:t>
                  </w:r>
                </w:p>
              </w:tc>
              <w:tc>
                <w:tcPr>
                  <w:tcW w:w="1750" w:type="dxa"/>
                  <w:tcMar>
                    <w:top w:w="60" w:type="dxa"/>
                    <w:left w:w="120" w:type="dxa"/>
                    <w:bottom w:w="30" w:type="dxa"/>
                    <w:right w:w="120" w:type="dxa"/>
                  </w:tcMar>
                  <w:vAlign w:val="center"/>
                </w:tcPr>
                <w:p w14:paraId="458F8877">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洱源</w:t>
                  </w:r>
                </w:p>
              </w:tc>
              <w:tc>
                <w:tcPr>
                  <w:tcW w:w="2675" w:type="dxa"/>
                  <w:tcMar>
                    <w:top w:w="60" w:type="dxa"/>
                    <w:left w:w="120" w:type="dxa"/>
                    <w:bottom w:w="30" w:type="dxa"/>
                    <w:right w:w="120" w:type="dxa"/>
                  </w:tcMar>
                  <w:vAlign w:val="center"/>
                </w:tcPr>
                <w:p w14:paraId="4421A504">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鸟吊山</w:t>
                  </w:r>
                </w:p>
              </w:tc>
              <w:tc>
                <w:tcPr>
                  <w:tcW w:w="1583" w:type="dxa"/>
                  <w:tcMar>
                    <w:top w:w="60" w:type="dxa"/>
                    <w:left w:w="120" w:type="dxa"/>
                    <w:bottom w:w="30" w:type="dxa"/>
                    <w:right w:w="120" w:type="dxa"/>
                  </w:tcMar>
                  <w:vAlign w:val="center"/>
                </w:tcPr>
                <w:p w14:paraId="52E63363">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14.99</w:t>
                  </w:r>
                </w:p>
              </w:tc>
            </w:tr>
            <w:tr w14:paraId="74F7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Mar>
                    <w:top w:w="60" w:type="dxa"/>
                    <w:left w:w="120" w:type="dxa"/>
                    <w:bottom w:w="30" w:type="dxa"/>
                    <w:right w:w="120" w:type="dxa"/>
                  </w:tcMar>
                  <w:vAlign w:val="center"/>
                </w:tcPr>
                <w:p w14:paraId="39CAC06C">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3</w:t>
                  </w:r>
                </w:p>
              </w:tc>
              <w:tc>
                <w:tcPr>
                  <w:tcW w:w="1738" w:type="dxa"/>
                  <w:tcMar>
                    <w:top w:w="60" w:type="dxa"/>
                    <w:left w:w="120" w:type="dxa"/>
                    <w:bottom w:w="30" w:type="dxa"/>
                    <w:right w:w="120" w:type="dxa"/>
                  </w:tcMar>
                  <w:vAlign w:val="center"/>
                </w:tcPr>
                <w:p w14:paraId="321753E8">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大理</w:t>
                  </w:r>
                </w:p>
              </w:tc>
              <w:tc>
                <w:tcPr>
                  <w:tcW w:w="1750" w:type="dxa"/>
                  <w:tcMar>
                    <w:top w:w="60" w:type="dxa"/>
                    <w:left w:w="120" w:type="dxa"/>
                    <w:bottom w:w="30" w:type="dxa"/>
                    <w:right w:w="120" w:type="dxa"/>
                  </w:tcMar>
                  <w:vAlign w:val="center"/>
                </w:tcPr>
                <w:p w14:paraId="4D5CEB4C">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南涧</w:t>
                  </w:r>
                </w:p>
              </w:tc>
              <w:tc>
                <w:tcPr>
                  <w:tcW w:w="2675" w:type="dxa"/>
                  <w:tcMar>
                    <w:top w:w="60" w:type="dxa"/>
                    <w:left w:w="120" w:type="dxa"/>
                    <w:bottom w:w="30" w:type="dxa"/>
                    <w:right w:w="120" w:type="dxa"/>
                  </w:tcMar>
                  <w:vAlign w:val="center"/>
                </w:tcPr>
                <w:p w14:paraId="64566EE2">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凤凰山</w:t>
                  </w:r>
                </w:p>
              </w:tc>
              <w:tc>
                <w:tcPr>
                  <w:tcW w:w="1583" w:type="dxa"/>
                  <w:tcMar>
                    <w:top w:w="60" w:type="dxa"/>
                    <w:left w:w="120" w:type="dxa"/>
                    <w:bottom w:w="30" w:type="dxa"/>
                    <w:right w:w="120" w:type="dxa"/>
                  </w:tcMar>
                  <w:vAlign w:val="center"/>
                </w:tcPr>
                <w:p w14:paraId="0C46EE82">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2.45</w:t>
                  </w:r>
                </w:p>
              </w:tc>
            </w:tr>
            <w:tr w14:paraId="6CA0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Mar>
                    <w:top w:w="60" w:type="dxa"/>
                    <w:left w:w="120" w:type="dxa"/>
                    <w:bottom w:w="30" w:type="dxa"/>
                    <w:right w:w="120" w:type="dxa"/>
                  </w:tcMar>
                  <w:vAlign w:val="center"/>
                </w:tcPr>
                <w:p w14:paraId="0F65EFF9">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4</w:t>
                  </w:r>
                </w:p>
              </w:tc>
              <w:tc>
                <w:tcPr>
                  <w:tcW w:w="1738" w:type="dxa"/>
                  <w:tcMar>
                    <w:top w:w="60" w:type="dxa"/>
                    <w:left w:w="120" w:type="dxa"/>
                    <w:bottom w:w="30" w:type="dxa"/>
                    <w:right w:w="120" w:type="dxa"/>
                  </w:tcMar>
                  <w:vAlign w:val="center"/>
                </w:tcPr>
                <w:p w14:paraId="5A3507B0">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大理</w:t>
                  </w:r>
                </w:p>
              </w:tc>
              <w:tc>
                <w:tcPr>
                  <w:tcW w:w="1750" w:type="dxa"/>
                  <w:tcMar>
                    <w:top w:w="60" w:type="dxa"/>
                    <w:left w:w="120" w:type="dxa"/>
                    <w:bottom w:w="30" w:type="dxa"/>
                    <w:right w:w="120" w:type="dxa"/>
                  </w:tcMar>
                  <w:vAlign w:val="center"/>
                </w:tcPr>
                <w:p w14:paraId="36D45F77">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巍山</w:t>
                  </w:r>
                  <w:r>
                    <w:rPr>
                      <w:rFonts w:hint="eastAsia" w:ascii="Times New Roman" w:hAnsi="Times New Roman" w:eastAsia="宋体" w:cs="Times New Roman"/>
                      <w:sz w:val="21"/>
                      <w:szCs w:val="21"/>
                    </w:rPr>
                    <w:t>—</w:t>
                  </w:r>
                  <w:r>
                    <w:rPr>
                      <w:rFonts w:ascii="Times New Roman" w:hAnsi="Times New Roman" w:eastAsia="宋体" w:cs="Times New Roman"/>
                      <w:sz w:val="21"/>
                      <w:szCs w:val="21"/>
                    </w:rPr>
                    <w:t>弥渡</w:t>
                  </w:r>
                </w:p>
              </w:tc>
              <w:tc>
                <w:tcPr>
                  <w:tcW w:w="2675" w:type="dxa"/>
                  <w:tcMar>
                    <w:top w:w="60" w:type="dxa"/>
                    <w:left w:w="120" w:type="dxa"/>
                    <w:bottom w:w="30" w:type="dxa"/>
                    <w:right w:w="120" w:type="dxa"/>
                  </w:tcMar>
                  <w:vAlign w:val="center"/>
                </w:tcPr>
                <w:p w14:paraId="2608C468">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隆庆关、大黑山</w:t>
                  </w:r>
                </w:p>
              </w:tc>
              <w:tc>
                <w:tcPr>
                  <w:tcW w:w="1583" w:type="dxa"/>
                  <w:tcMar>
                    <w:top w:w="60" w:type="dxa"/>
                    <w:left w:w="120" w:type="dxa"/>
                    <w:bottom w:w="30" w:type="dxa"/>
                    <w:right w:w="120" w:type="dxa"/>
                  </w:tcMar>
                  <w:vAlign w:val="center"/>
                </w:tcPr>
                <w:p w14:paraId="68352DB7">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8.97</w:t>
                  </w:r>
                </w:p>
              </w:tc>
            </w:tr>
            <w:tr w14:paraId="4C32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Mar>
                    <w:top w:w="60" w:type="dxa"/>
                    <w:left w:w="120" w:type="dxa"/>
                    <w:bottom w:w="30" w:type="dxa"/>
                    <w:right w:w="120" w:type="dxa"/>
                  </w:tcMar>
                  <w:vAlign w:val="center"/>
                </w:tcPr>
                <w:p w14:paraId="0517A4FA">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5</w:t>
                  </w:r>
                </w:p>
              </w:tc>
              <w:tc>
                <w:tcPr>
                  <w:tcW w:w="1738" w:type="dxa"/>
                  <w:tcMar>
                    <w:top w:w="60" w:type="dxa"/>
                    <w:left w:w="120" w:type="dxa"/>
                    <w:bottom w:w="30" w:type="dxa"/>
                    <w:right w:w="120" w:type="dxa"/>
                  </w:tcMar>
                  <w:vAlign w:val="center"/>
                </w:tcPr>
                <w:p w14:paraId="55439771">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红河</w:t>
                  </w:r>
                </w:p>
              </w:tc>
              <w:tc>
                <w:tcPr>
                  <w:tcW w:w="1750" w:type="dxa"/>
                  <w:tcMar>
                    <w:top w:w="60" w:type="dxa"/>
                    <w:left w:w="120" w:type="dxa"/>
                    <w:bottom w:w="30" w:type="dxa"/>
                    <w:right w:w="120" w:type="dxa"/>
                  </w:tcMar>
                  <w:vAlign w:val="center"/>
                </w:tcPr>
                <w:p w14:paraId="3DBD9BDC">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绿春</w:t>
                  </w:r>
                </w:p>
              </w:tc>
              <w:tc>
                <w:tcPr>
                  <w:tcW w:w="2675" w:type="dxa"/>
                  <w:tcMar>
                    <w:top w:w="60" w:type="dxa"/>
                    <w:left w:w="120" w:type="dxa"/>
                    <w:bottom w:w="30" w:type="dxa"/>
                    <w:right w:w="120" w:type="dxa"/>
                  </w:tcMar>
                  <w:vAlign w:val="center"/>
                </w:tcPr>
                <w:p w14:paraId="2E26023D">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阿倮欧滨森林公园</w:t>
                  </w:r>
                </w:p>
              </w:tc>
              <w:tc>
                <w:tcPr>
                  <w:tcW w:w="1583" w:type="dxa"/>
                  <w:tcMar>
                    <w:top w:w="60" w:type="dxa"/>
                    <w:left w:w="120" w:type="dxa"/>
                    <w:bottom w:w="30" w:type="dxa"/>
                    <w:right w:w="120" w:type="dxa"/>
                  </w:tcMar>
                  <w:vAlign w:val="center"/>
                </w:tcPr>
                <w:p w14:paraId="56423AC7">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2.25</w:t>
                  </w:r>
                </w:p>
              </w:tc>
            </w:tr>
            <w:tr w14:paraId="24A7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Mar>
                    <w:top w:w="60" w:type="dxa"/>
                    <w:left w:w="120" w:type="dxa"/>
                    <w:bottom w:w="30" w:type="dxa"/>
                    <w:right w:w="120" w:type="dxa"/>
                  </w:tcMar>
                  <w:vAlign w:val="center"/>
                </w:tcPr>
                <w:p w14:paraId="0D38AF0C">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6</w:t>
                  </w:r>
                </w:p>
              </w:tc>
              <w:tc>
                <w:tcPr>
                  <w:tcW w:w="1738" w:type="dxa"/>
                  <w:tcMar>
                    <w:top w:w="60" w:type="dxa"/>
                    <w:left w:w="120" w:type="dxa"/>
                    <w:bottom w:w="30" w:type="dxa"/>
                    <w:right w:w="120" w:type="dxa"/>
                  </w:tcMar>
                  <w:vAlign w:val="center"/>
                </w:tcPr>
                <w:p w14:paraId="214643B8">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红河</w:t>
                  </w:r>
                </w:p>
              </w:tc>
              <w:tc>
                <w:tcPr>
                  <w:tcW w:w="1750" w:type="dxa"/>
                  <w:tcMar>
                    <w:top w:w="60" w:type="dxa"/>
                    <w:left w:w="120" w:type="dxa"/>
                    <w:bottom w:w="30" w:type="dxa"/>
                    <w:right w:w="120" w:type="dxa"/>
                  </w:tcMar>
                  <w:vAlign w:val="center"/>
                </w:tcPr>
                <w:p w14:paraId="44A754C5">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开远</w:t>
                  </w:r>
                </w:p>
              </w:tc>
              <w:tc>
                <w:tcPr>
                  <w:tcW w:w="2675" w:type="dxa"/>
                  <w:tcMar>
                    <w:top w:w="60" w:type="dxa"/>
                    <w:left w:w="120" w:type="dxa"/>
                    <w:bottom w:w="30" w:type="dxa"/>
                    <w:right w:w="120" w:type="dxa"/>
                  </w:tcMar>
                  <w:vAlign w:val="center"/>
                </w:tcPr>
                <w:p w14:paraId="4E3F4F62">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大黑山</w:t>
                  </w:r>
                </w:p>
              </w:tc>
              <w:tc>
                <w:tcPr>
                  <w:tcW w:w="1583" w:type="dxa"/>
                  <w:tcMar>
                    <w:top w:w="60" w:type="dxa"/>
                    <w:left w:w="120" w:type="dxa"/>
                    <w:bottom w:w="30" w:type="dxa"/>
                    <w:right w:w="120" w:type="dxa"/>
                  </w:tcMar>
                  <w:vAlign w:val="center"/>
                </w:tcPr>
                <w:p w14:paraId="4654C7A9">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4.98</w:t>
                  </w:r>
                </w:p>
              </w:tc>
            </w:tr>
            <w:tr w14:paraId="7974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Mar>
                    <w:top w:w="60" w:type="dxa"/>
                    <w:left w:w="120" w:type="dxa"/>
                    <w:bottom w:w="30" w:type="dxa"/>
                    <w:right w:w="120" w:type="dxa"/>
                  </w:tcMar>
                  <w:vAlign w:val="center"/>
                </w:tcPr>
                <w:p w14:paraId="5CC7DCA5">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7</w:t>
                  </w:r>
                </w:p>
              </w:tc>
              <w:tc>
                <w:tcPr>
                  <w:tcW w:w="1738" w:type="dxa"/>
                  <w:tcMar>
                    <w:top w:w="60" w:type="dxa"/>
                    <w:left w:w="120" w:type="dxa"/>
                    <w:bottom w:w="30" w:type="dxa"/>
                    <w:right w:w="120" w:type="dxa"/>
                  </w:tcMar>
                  <w:vAlign w:val="center"/>
                </w:tcPr>
                <w:p w14:paraId="43C04C27">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文山</w:t>
                  </w:r>
                </w:p>
              </w:tc>
              <w:tc>
                <w:tcPr>
                  <w:tcW w:w="1750" w:type="dxa"/>
                  <w:tcMar>
                    <w:top w:w="60" w:type="dxa"/>
                    <w:left w:w="120" w:type="dxa"/>
                    <w:bottom w:w="30" w:type="dxa"/>
                    <w:right w:w="120" w:type="dxa"/>
                  </w:tcMar>
                  <w:vAlign w:val="center"/>
                </w:tcPr>
                <w:p w14:paraId="6182226A">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富宁</w:t>
                  </w:r>
                </w:p>
              </w:tc>
              <w:tc>
                <w:tcPr>
                  <w:tcW w:w="2675" w:type="dxa"/>
                  <w:tcMar>
                    <w:top w:w="60" w:type="dxa"/>
                    <w:left w:w="120" w:type="dxa"/>
                    <w:bottom w:w="30" w:type="dxa"/>
                    <w:right w:w="120" w:type="dxa"/>
                  </w:tcMar>
                  <w:vAlign w:val="center"/>
                </w:tcPr>
                <w:p w14:paraId="1AAF91E2">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鸟王山</w:t>
                  </w:r>
                </w:p>
              </w:tc>
              <w:tc>
                <w:tcPr>
                  <w:tcW w:w="1583" w:type="dxa"/>
                  <w:tcMar>
                    <w:top w:w="60" w:type="dxa"/>
                    <w:left w:w="120" w:type="dxa"/>
                    <w:bottom w:w="30" w:type="dxa"/>
                    <w:right w:w="120" w:type="dxa"/>
                  </w:tcMar>
                  <w:vAlign w:val="center"/>
                </w:tcPr>
                <w:p w14:paraId="3180FEFB">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2.13</w:t>
                  </w:r>
                </w:p>
              </w:tc>
            </w:tr>
            <w:tr w14:paraId="6750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Mar>
                    <w:top w:w="60" w:type="dxa"/>
                    <w:left w:w="120" w:type="dxa"/>
                    <w:bottom w:w="30" w:type="dxa"/>
                    <w:right w:w="120" w:type="dxa"/>
                  </w:tcMar>
                  <w:vAlign w:val="center"/>
                </w:tcPr>
                <w:p w14:paraId="69C5AEEB">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8</w:t>
                  </w:r>
                </w:p>
              </w:tc>
              <w:tc>
                <w:tcPr>
                  <w:tcW w:w="1738" w:type="dxa"/>
                  <w:tcMar>
                    <w:top w:w="60" w:type="dxa"/>
                    <w:left w:w="120" w:type="dxa"/>
                    <w:bottom w:w="30" w:type="dxa"/>
                    <w:right w:w="120" w:type="dxa"/>
                  </w:tcMar>
                  <w:vAlign w:val="center"/>
                </w:tcPr>
                <w:p w14:paraId="7A76A46F">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文山</w:t>
                  </w:r>
                  <w:r>
                    <w:rPr>
                      <w:rFonts w:hint="eastAsia" w:ascii="Times New Roman" w:hAnsi="Times New Roman" w:eastAsia="宋体" w:cs="Times New Roman"/>
                      <w:sz w:val="21"/>
                      <w:szCs w:val="21"/>
                    </w:rPr>
                    <w:t>—</w:t>
                  </w:r>
                  <w:r>
                    <w:rPr>
                      <w:rFonts w:ascii="Times New Roman" w:hAnsi="Times New Roman" w:eastAsia="宋体" w:cs="Times New Roman"/>
                      <w:sz w:val="21"/>
                      <w:szCs w:val="21"/>
                    </w:rPr>
                    <w:t>红河</w:t>
                  </w:r>
                </w:p>
              </w:tc>
              <w:tc>
                <w:tcPr>
                  <w:tcW w:w="1750" w:type="dxa"/>
                  <w:tcMar>
                    <w:top w:w="60" w:type="dxa"/>
                    <w:left w:w="120" w:type="dxa"/>
                    <w:bottom w:w="30" w:type="dxa"/>
                    <w:right w:w="120" w:type="dxa"/>
                  </w:tcMar>
                  <w:vAlign w:val="center"/>
                </w:tcPr>
                <w:p w14:paraId="7CE3011C">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砚山</w:t>
                  </w:r>
                  <w:r>
                    <w:rPr>
                      <w:rFonts w:hint="eastAsia" w:ascii="Times New Roman" w:hAnsi="Times New Roman" w:eastAsia="宋体" w:cs="Times New Roman"/>
                      <w:sz w:val="21"/>
                      <w:szCs w:val="21"/>
                    </w:rPr>
                    <w:t>—</w:t>
                  </w:r>
                  <w:r>
                    <w:rPr>
                      <w:rFonts w:ascii="Times New Roman" w:hAnsi="Times New Roman" w:eastAsia="宋体" w:cs="Times New Roman"/>
                      <w:sz w:val="21"/>
                      <w:szCs w:val="21"/>
                    </w:rPr>
                    <w:t>开远</w:t>
                  </w:r>
                </w:p>
              </w:tc>
              <w:tc>
                <w:tcPr>
                  <w:tcW w:w="2675" w:type="dxa"/>
                  <w:tcMar>
                    <w:top w:w="60" w:type="dxa"/>
                    <w:left w:w="120" w:type="dxa"/>
                    <w:bottom w:w="30" w:type="dxa"/>
                    <w:right w:w="120" w:type="dxa"/>
                  </w:tcMar>
                  <w:vAlign w:val="center"/>
                </w:tcPr>
                <w:p w14:paraId="451C6091">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黑巴、期不底、下米者</w:t>
                  </w:r>
                </w:p>
              </w:tc>
              <w:tc>
                <w:tcPr>
                  <w:tcW w:w="1583" w:type="dxa"/>
                  <w:tcMar>
                    <w:top w:w="60" w:type="dxa"/>
                    <w:left w:w="120" w:type="dxa"/>
                    <w:bottom w:w="30" w:type="dxa"/>
                    <w:right w:w="120" w:type="dxa"/>
                  </w:tcMar>
                  <w:vAlign w:val="center"/>
                </w:tcPr>
                <w:p w14:paraId="1DEF4129">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2.81</w:t>
                  </w:r>
                </w:p>
              </w:tc>
            </w:tr>
            <w:tr w14:paraId="69EC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Mar>
                    <w:top w:w="60" w:type="dxa"/>
                    <w:left w:w="120" w:type="dxa"/>
                    <w:bottom w:w="30" w:type="dxa"/>
                    <w:right w:w="120" w:type="dxa"/>
                  </w:tcMar>
                  <w:vAlign w:val="center"/>
                </w:tcPr>
                <w:p w14:paraId="42DEE7C1">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9</w:t>
                  </w:r>
                </w:p>
              </w:tc>
              <w:tc>
                <w:tcPr>
                  <w:tcW w:w="1738" w:type="dxa"/>
                  <w:tcMar>
                    <w:top w:w="60" w:type="dxa"/>
                    <w:left w:w="120" w:type="dxa"/>
                    <w:bottom w:w="30" w:type="dxa"/>
                    <w:right w:w="120" w:type="dxa"/>
                  </w:tcMar>
                  <w:vAlign w:val="center"/>
                </w:tcPr>
                <w:p w14:paraId="63CE7D7F">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玉溪</w:t>
                  </w:r>
                  <w:r>
                    <w:rPr>
                      <w:rFonts w:hint="eastAsia" w:ascii="Times New Roman" w:hAnsi="Times New Roman" w:eastAsia="宋体" w:cs="Times New Roman"/>
                      <w:sz w:val="21"/>
                      <w:szCs w:val="21"/>
                    </w:rPr>
                    <w:t>—</w:t>
                  </w:r>
                  <w:r>
                    <w:rPr>
                      <w:rFonts w:ascii="Times New Roman" w:hAnsi="Times New Roman" w:eastAsia="宋体" w:cs="Times New Roman"/>
                      <w:sz w:val="21"/>
                      <w:szCs w:val="21"/>
                    </w:rPr>
                    <w:t>普洱</w:t>
                  </w:r>
                </w:p>
              </w:tc>
              <w:tc>
                <w:tcPr>
                  <w:tcW w:w="1750" w:type="dxa"/>
                  <w:tcMar>
                    <w:top w:w="60" w:type="dxa"/>
                    <w:left w:w="120" w:type="dxa"/>
                    <w:bottom w:w="30" w:type="dxa"/>
                    <w:right w:w="120" w:type="dxa"/>
                  </w:tcMar>
                  <w:vAlign w:val="center"/>
                </w:tcPr>
                <w:p w14:paraId="2F556833">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新平</w:t>
                  </w:r>
                  <w:r>
                    <w:rPr>
                      <w:rFonts w:hint="eastAsia" w:ascii="Times New Roman" w:hAnsi="Times New Roman" w:eastAsia="宋体" w:cs="Times New Roman"/>
                      <w:sz w:val="21"/>
                      <w:szCs w:val="21"/>
                    </w:rPr>
                    <w:t>—</w:t>
                  </w:r>
                  <w:r>
                    <w:rPr>
                      <w:rFonts w:ascii="Times New Roman" w:hAnsi="Times New Roman" w:eastAsia="宋体" w:cs="Times New Roman"/>
                      <w:sz w:val="21"/>
                      <w:szCs w:val="21"/>
                    </w:rPr>
                    <w:t>镇沅</w:t>
                  </w:r>
                </w:p>
              </w:tc>
              <w:tc>
                <w:tcPr>
                  <w:tcW w:w="2675" w:type="dxa"/>
                  <w:tcMar>
                    <w:top w:w="60" w:type="dxa"/>
                    <w:left w:w="120" w:type="dxa"/>
                    <w:bottom w:w="30" w:type="dxa"/>
                    <w:right w:w="120" w:type="dxa"/>
                  </w:tcMar>
                  <w:vAlign w:val="center"/>
                </w:tcPr>
                <w:p w14:paraId="135B3E4F">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金山垭口</w:t>
                  </w:r>
                </w:p>
              </w:tc>
              <w:tc>
                <w:tcPr>
                  <w:tcW w:w="1583" w:type="dxa"/>
                  <w:tcMar>
                    <w:top w:w="60" w:type="dxa"/>
                    <w:left w:w="120" w:type="dxa"/>
                    <w:bottom w:w="30" w:type="dxa"/>
                    <w:right w:w="120" w:type="dxa"/>
                  </w:tcMar>
                  <w:vAlign w:val="center"/>
                </w:tcPr>
                <w:p w14:paraId="7667374C">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0.73</w:t>
                  </w:r>
                </w:p>
              </w:tc>
            </w:tr>
            <w:tr w14:paraId="7593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Mar>
                    <w:top w:w="60" w:type="dxa"/>
                    <w:left w:w="120" w:type="dxa"/>
                    <w:bottom w:w="30" w:type="dxa"/>
                    <w:right w:w="120" w:type="dxa"/>
                  </w:tcMar>
                  <w:vAlign w:val="center"/>
                </w:tcPr>
                <w:p w14:paraId="3CC3E505">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10</w:t>
                  </w:r>
                </w:p>
              </w:tc>
              <w:tc>
                <w:tcPr>
                  <w:tcW w:w="1738" w:type="dxa"/>
                  <w:tcMar>
                    <w:top w:w="60" w:type="dxa"/>
                    <w:left w:w="120" w:type="dxa"/>
                    <w:bottom w:w="30" w:type="dxa"/>
                    <w:right w:w="120" w:type="dxa"/>
                  </w:tcMar>
                  <w:vAlign w:val="center"/>
                </w:tcPr>
                <w:p w14:paraId="50D0169A">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昭通</w:t>
                  </w:r>
                </w:p>
              </w:tc>
              <w:tc>
                <w:tcPr>
                  <w:tcW w:w="1750" w:type="dxa"/>
                  <w:tcMar>
                    <w:top w:w="60" w:type="dxa"/>
                    <w:left w:w="120" w:type="dxa"/>
                    <w:bottom w:w="30" w:type="dxa"/>
                    <w:right w:w="120" w:type="dxa"/>
                  </w:tcMar>
                  <w:vAlign w:val="center"/>
                </w:tcPr>
                <w:p w14:paraId="33ECA8BC">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永善</w:t>
                  </w:r>
                </w:p>
              </w:tc>
              <w:tc>
                <w:tcPr>
                  <w:tcW w:w="2675" w:type="dxa"/>
                  <w:tcMar>
                    <w:top w:w="60" w:type="dxa"/>
                    <w:left w:w="120" w:type="dxa"/>
                    <w:bottom w:w="30" w:type="dxa"/>
                    <w:right w:w="120" w:type="dxa"/>
                  </w:tcMar>
                  <w:vAlign w:val="center"/>
                </w:tcPr>
                <w:p w14:paraId="3124A713">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马楠</w:t>
                  </w:r>
                  <w:r>
                    <w:rPr>
                      <w:rFonts w:hint="eastAsia" w:ascii="Times New Roman" w:hAnsi="Times New Roman" w:eastAsia="宋体" w:cs="Times New Roman"/>
                      <w:sz w:val="21"/>
                      <w:szCs w:val="21"/>
                    </w:rPr>
                    <w:t>—</w:t>
                  </w:r>
                  <w:r>
                    <w:rPr>
                      <w:rFonts w:ascii="Times New Roman" w:hAnsi="Times New Roman" w:eastAsia="宋体" w:cs="Times New Roman"/>
                      <w:sz w:val="21"/>
                      <w:szCs w:val="21"/>
                    </w:rPr>
                    <w:t>石门坎</w:t>
                  </w:r>
                </w:p>
              </w:tc>
              <w:tc>
                <w:tcPr>
                  <w:tcW w:w="1583" w:type="dxa"/>
                  <w:tcMar>
                    <w:top w:w="60" w:type="dxa"/>
                    <w:left w:w="120" w:type="dxa"/>
                    <w:bottom w:w="30" w:type="dxa"/>
                    <w:right w:w="120" w:type="dxa"/>
                  </w:tcMar>
                  <w:vAlign w:val="center"/>
                </w:tcPr>
                <w:p w14:paraId="09EC3497">
                  <w:pPr>
                    <w:pStyle w:val="232"/>
                    <w:spacing w:before="0" w:after="0" w:line="24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6.43</w:t>
                  </w:r>
                </w:p>
              </w:tc>
            </w:tr>
          </w:tbl>
          <w:p w14:paraId="635D1BDA">
            <w:pPr>
              <w:pStyle w:val="14"/>
              <w:rPr>
                <w:rFonts w:hint="eastAsia"/>
                <w:color w:val="auto"/>
              </w:rPr>
            </w:pPr>
          </w:p>
          <w:p w14:paraId="3CD65507">
            <w:pPr>
              <w:spacing w:line="360" w:lineRule="auto"/>
              <w:ind w:firstLine="478"/>
              <w:rPr>
                <w:spacing w:val="-4"/>
                <w:sz w:val="24"/>
                <w:szCs w:val="24"/>
              </w:rPr>
            </w:pPr>
            <w:r>
              <w:rPr>
                <w:rFonts w:hint="eastAsia"/>
                <w:spacing w:val="-4"/>
                <w:sz w:val="24"/>
                <w:szCs w:val="24"/>
              </w:rPr>
              <w:t>对照《云南省候鸟迁徙通道重点区域范围（第一批）》中云南已知候鸟迁徙主要通道的分布情况，项目选址区域不涉及其中的候鸟主要迁徙路线，距本项目最近的候鸟迁徙通道重点区域为马楠—石门坎，最近直线距离约210km，本项目建设对该区域无影响。通过对项目区周边村民进行访问得知项目区域秋季没有候鸟集中趋光现象，当地也没有群众夜间捕鸟。根据现场调查的情况来看，项目区未发现夜间候鸟迁徙聚集点存在。</w:t>
            </w:r>
          </w:p>
          <w:p w14:paraId="185264C6">
            <w:pPr>
              <w:spacing w:line="360" w:lineRule="auto"/>
              <w:ind w:firstLine="478"/>
              <w:rPr>
                <w:rFonts w:hint="eastAsia"/>
                <w:spacing w:val="-4"/>
                <w:sz w:val="24"/>
                <w:szCs w:val="24"/>
              </w:rPr>
            </w:pPr>
            <w:r>
              <w:rPr>
                <w:rFonts w:hint="eastAsia"/>
                <w:spacing w:val="-4"/>
                <w:sz w:val="24"/>
                <w:szCs w:val="24"/>
              </w:rPr>
              <w:t>2）鸟类“打雀点”</w:t>
            </w:r>
          </w:p>
          <w:p w14:paraId="56DF27E2">
            <w:pPr>
              <w:spacing w:line="360" w:lineRule="auto"/>
              <w:ind w:firstLine="478"/>
              <w:rPr>
                <w:rFonts w:hint="eastAsia"/>
                <w:spacing w:val="-4"/>
                <w:sz w:val="24"/>
                <w:szCs w:val="24"/>
              </w:rPr>
            </w:pPr>
            <w:r>
              <w:rPr>
                <w:rFonts w:hint="eastAsia"/>
                <w:spacing w:val="-4"/>
                <w:sz w:val="24"/>
                <w:szCs w:val="24"/>
              </w:rPr>
              <w:t>2020年，云南省能源局委托中国电建集团昆明勘测设计研究院有限公司、云南省生态环境工程评估中心编制完成了《云南省在适宜地区适度开发利用新能源规划环境影响篇章》。其中包括云南候鸟迁徙路线研究相关内容（2.6.5.3节）：据统计，目前在云南省境内共发现“打雀点”24处45个点，主要有洱源鸟吊山，巍山—弥渡的隆庆关、老厂等，南涧凤凰山，新平—镇沅的金山垭口，南华大中山，富宁—鸟王山，泸水市的风雪垭口，大理市的瓦房哨，绿春县的大风垭口，永善县的马楠、石门坎，昭通的五堆石，东川区的滥泥坪，蒙自市的冷泉，西畴县的弯刀寨，砚山县的黑巴村等地。</w:t>
            </w:r>
          </w:p>
          <w:p w14:paraId="500503CF">
            <w:pPr>
              <w:spacing w:line="360" w:lineRule="auto"/>
              <w:ind w:firstLine="480" w:firstLineChars="200"/>
              <w:jc w:val="left"/>
              <w:rPr>
                <w:rFonts w:hint="eastAsia"/>
                <w:sz w:val="24"/>
              </w:rPr>
            </w:pPr>
            <w:r>
              <w:rPr>
                <w:rFonts w:hint="eastAsia"/>
                <w:sz w:val="24"/>
              </w:rPr>
              <w:t>本项目位于曲靖市会泽县</w:t>
            </w:r>
            <w:r>
              <w:rPr>
                <w:sz w:val="24"/>
                <w:szCs w:val="24"/>
              </w:rPr>
              <w:t>娜姑镇大闸村、石门坎村、红泥村、绿坪村、盐水村、牛泥塘村、发基卡村和干海子村附近的坡地上，</w:t>
            </w:r>
            <w:r>
              <w:rPr>
                <w:sz w:val="24"/>
              </w:rPr>
              <w:t>经核对，项目不涉及</w:t>
            </w:r>
            <w:r>
              <w:rPr>
                <w:rFonts w:hint="eastAsia"/>
                <w:sz w:val="24"/>
              </w:rPr>
              <w:t>省内已知的“打雀点”。</w:t>
            </w:r>
          </w:p>
          <w:p w14:paraId="1C9DAFA0">
            <w:pPr>
              <w:spacing w:line="360" w:lineRule="auto"/>
              <w:ind w:firstLine="478"/>
              <w:rPr>
                <w:rFonts w:hint="eastAsia"/>
                <w:spacing w:val="-4"/>
                <w:sz w:val="24"/>
                <w:szCs w:val="24"/>
              </w:rPr>
            </w:pPr>
            <w:r>
              <w:rPr>
                <w:rFonts w:hint="eastAsia"/>
                <w:spacing w:val="-4"/>
                <w:sz w:val="24"/>
                <w:szCs w:val="24"/>
              </w:rPr>
              <w:t>综上分析，拟建项目不涉及云南已知候鸟迁徙的主要通道及“打雀点”。</w:t>
            </w:r>
          </w:p>
          <w:p w14:paraId="3C8BBEB1">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w:t>
            </w:r>
            <w:r>
              <w:rPr>
                <w:b/>
                <w:bCs/>
                <w:snapToGrid w:val="0"/>
                <w:kern w:val="0"/>
                <w:sz w:val="24"/>
              </w:rPr>
              <w:t>5</w:t>
            </w:r>
            <w:r>
              <w:rPr>
                <w:rFonts w:hint="eastAsia"/>
                <w:b/>
                <w:bCs/>
                <w:snapToGrid w:val="0"/>
                <w:kern w:val="0"/>
                <w:sz w:val="24"/>
              </w:rPr>
              <w:t>）架空线路跨越生态保护红线影响分析</w:t>
            </w:r>
          </w:p>
          <w:p w14:paraId="1029E6B0">
            <w:pPr>
              <w:spacing w:line="360" w:lineRule="auto"/>
              <w:ind w:firstLine="480" w:firstLineChars="200"/>
              <w:rPr>
                <w:rFonts w:hint="eastAsia"/>
                <w:bCs/>
                <w:snapToGrid w:val="0"/>
                <w:kern w:val="0"/>
                <w:sz w:val="24"/>
              </w:rPr>
            </w:pPr>
            <w:r>
              <w:rPr>
                <w:rFonts w:hint="eastAsia"/>
                <w:bCs/>
                <w:snapToGrid w:val="0"/>
                <w:kern w:val="0"/>
                <w:sz w:val="24"/>
              </w:rPr>
              <w:t>由于本工程路径长、跨度大，</w:t>
            </w:r>
            <w:bookmarkStart w:id="134" w:name="OLE_LINK74"/>
            <w:r>
              <w:rPr>
                <w:rFonts w:hint="eastAsia"/>
                <w:bCs/>
                <w:snapToGrid w:val="0"/>
                <w:kern w:val="0"/>
                <w:sz w:val="24"/>
              </w:rPr>
              <w:t>金沙江下游-小江流域水土流失控制生态保护红线</w:t>
            </w:r>
            <w:bookmarkEnd w:id="134"/>
            <w:r>
              <w:rPr>
                <w:rFonts w:hint="eastAsia"/>
                <w:bCs/>
                <w:snapToGrid w:val="0"/>
                <w:kern w:val="0"/>
                <w:sz w:val="24"/>
              </w:rPr>
              <w:t>呈集中连片分布，受地形、土地利用及工程经济技术条件限制，本项目集电线路难以全线避让。集电线路共跨越该生态保护红线三段，跨越总长度约877m，全线未在红线范围内设置任何塔基，采用牵引绳牵引放紧，采用机动绞磨紧线施工工艺。</w:t>
            </w:r>
          </w:p>
          <w:p w14:paraId="535A1945">
            <w:pPr>
              <w:spacing w:line="360" w:lineRule="auto"/>
              <w:ind w:firstLine="480" w:firstLineChars="200"/>
              <w:rPr>
                <w:rFonts w:hint="eastAsia"/>
                <w:bCs/>
                <w:snapToGrid w:val="0"/>
                <w:kern w:val="0"/>
                <w:sz w:val="24"/>
              </w:rPr>
            </w:pPr>
            <w:r>
              <w:rPr>
                <w:rFonts w:hint="eastAsia"/>
                <w:bCs/>
                <w:snapToGrid w:val="0"/>
                <w:kern w:val="0"/>
                <w:sz w:val="24"/>
              </w:rPr>
              <w:t>根据生态调查，跨越生态保护红线的植被具有较强的次生性，分布广泛，群落结构相对简单。项目建设对该区域的群落结构与物种多样性影响十分有限。从生态完整性角度分析，集电线路跨越生态保护红线不会造成红线区域的生态分割，不会对其水源涵养、水土保持功能产生不利影响，也不会引发水土流失。参照生态保护红线内其他已运行输电线路的实际情况，输电线路建成后塔基处植被恢复良好，未对区域生物多样性造成明显不利影响。因此，本工程施工期对生态保护红线内自然生态系统、野生动物及其生境、生物多样性的影响均较为轻微。</w:t>
            </w:r>
          </w:p>
          <w:p w14:paraId="315C3E1D">
            <w:pPr>
              <w:jc w:val="center"/>
              <w:rPr>
                <w:bCs/>
                <w:snapToGrid w:val="0"/>
                <w:kern w:val="0"/>
                <w:sz w:val="24"/>
              </w:rPr>
            </w:pPr>
            <w:r>
              <w:rPr>
                <w:bCs/>
                <w:snapToGrid w:val="0"/>
                <w:kern w:val="0"/>
                <w:sz w:val="24"/>
              </w:rPr>
              <w:drawing>
                <wp:inline distT="0" distB="0" distL="0" distR="0">
                  <wp:extent cx="5486400" cy="388175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486400" cy="3881755"/>
                          </a:xfrm>
                          <a:prstGeom prst="rect">
                            <a:avLst/>
                          </a:prstGeom>
                          <a:noFill/>
                          <a:ln>
                            <a:noFill/>
                          </a:ln>
                        </pic:spPr>
                      </pic:pic>
                    </a:graphicData>
                  </a:graphic>
                </wp:inline>
              </w:drawing>
            </w:r>
          </w:p>
          <w:p w14:paraId="6D90911E">
            <w:pPr>
              <w:adjustRightInd w:val="0"/>
              <w:snapToGrid w:val="0"/>
              <w:jc w:val="center"/>
              <w:rPr>
                <w:rFonts w:hint="eastAsia"/>
                <w:snapToGrid w:val="0"/>
                <w:kern w:val="0"/>
                <w:sz w:val="24"/>
              </w:rPr>
            </w:pPr>
            <w:r>
              <w:rPr>
                <w:rFonts w:hint="eastAsia"/>
                <w:b/>
                <w:snapToGrid w:val="0"/>
                <w:kern w:val="0"/>
                <w:sz w:val="24"/>
                <w:szCs w:val="24"/>
              </w:rPr>
              <w:t>图4.1.</w:t>
            </w:r>
            <w:r>
              <w:rPr>
                <w:b/>
                <w:snapToGrid w:val="0"/>
                <w:kern w:val="0"/>
                <w:sz w:val="24"/>
                <w:szCs w:val="24"/>
              </w:rPr>
              <w:t>2-2</w:t>
            </w:r>
            <w:r>
              <w:rPr>
                <w:rFonts w:hint="eastAsia"/>
                <w:b/>
                <w:snapToGrid w:val="0"/>
                <w:kern w:val="0"/>
                <w:sz w:val="24"/>
                <w:szCs w:val="24"/>
              </w:rPr>
              <w:t xml:space="preserve">  集电线路与生态保护红线位置关系图</w:t>
            </w:r>
          </w:p>
          <w:p w14:paraId="65E19C0B">
            <w:pPr>
              <w:autoSpaceDE w:val="0"/>
              <w:autoSpaceDN w:val="0"/>
              <w:spacing w:line="360" w:lineRule="auto"/>
              <w:ind w:firstLine="482" w:firstLineChars="200"/>
              <w:contextualSpacing/>
              <w:rPr>
                <w:b/>
                <w:bCs/>
                <w:snapToGrid w:val="0"/>
                <w:kern w:val="0"/>
                <w:sz w:val="24"/>
              </w:rPr>
            </w:pPr>
            <w:r>
              <w:rPr>
                <w:rFonts w:hint="eastAsia"/>
                <w:b/>
                <w:bCs/>
                <w:snapToGrid w:val="0"/>
                <w:kern w:val="0"/>
                <w:sz w:val="24"/>
              </w:rPr>
              <w:t>（</w:t>
            </w:r>
            <w:r>
              <w:rPr>
                <w:b/>
                <w:bCs/>
                <w:snapToGrid w:val="0"/>
                <w:kern w:val="0"/>
                <w:sz w:val="24"/>
              </w:rPr>
              <w:t>6</w:t>
            </w:r>
            <w:r>
              <w:rPr>
                <w:rFonts w:hint="eastAsia"/>
                <w:b/>
                <w:bCs/>
                <w:snapToGrid w:val="0"/>
                <w:kern w:val="0"/>
                <w:sz w:val="24"/>
              </w:rPr>
              <w:t>）对云南省生物多样性优先保护区影响分析</w:t>
            </w:r>
          </w:p>
          <w:p w14:paraId="4D88F7D4">
            <w:pPr>
              <w:autoSpaceDE w:val="0"/>
              <w:autoSpaceDN w:val="0"/>
              <w:spacing w:line="360" w:lineRule="auto"/>
              <w:ind w:firstLine="480" w:firstLineChars="200"/>
              <w:rPr>
                <w:rFonts w:hint="eastAsia"/>
                <w:snapToGrid w:val="0"/>
                <w:kern w:val="0"/>
                <w:sz w:val="24"/>
              </w:rPr>
            </w:pPr>
            <w:r>
              <w:rPr>
                <w:rFonts w:hint="eastAsia"/>
                <w:snapToGrid w:val="0"/>
                <w:kern w:val="0"/>
                <w:sz w:val="24"/>
              </w:rPr>
              <w:t>①拟建项目与云南省生物多样性优先保护区的关系</w:t>
            </w:r>
          </w:p>
          <w:p w14:paraId="4BDEA527">
            <w:pPr>
              <w:autoSpaceDE w:val="0"/>
              <w:autoSpaceDN w:val="0"/>
              <w:spacing w:line="360" w:lineRule="auto"/>
              <w:ind w:firstLine="480" w:firstLineChars="200"/>
              <w:rPr>
                <w:snapToGrid w:val="0"/>
                <w:kern w:val="0"/>
                <w:sz w:val="24"/>
              </w:rPr>
            </w:pPr>
            <w:r>
              <w:rPr>
                <w:rFonts w:hint="eastAsia"/>
                <w:snapToGrid w:val="0"/>
                <w:kern w:val="0"/>
                <w:sz w:val="24"/>
              </w:rPr>
              <w:t>经过叠图分析，拟建绿坪村光伏发电项目（光伏阵列区、集电线路、道路）与云南省生物多样性优先保护区的“滇东北乌蒙山湿润常绿阔叶林区”有部分重叠。涉及面积约22.35hm</w:t>
            </w:r>
            <w:r>
              <w:rPr>
                <w:rFonts w:hint="eastAsia"/>
                <w:snapToGrid w:val="0"/>
                <w:kern w:val="0"/>
                <w:sz w:val="24"/>
                <w:vertAlign w:val="superscript"/>
              </w:rPr>
              <w:t>2</w:t>
            </w:r>
            <w:r>
              <w:rPr>
                <w:rFonts w:hint="eastAsia"/>
                <w:snapToGrid w:val="0"/>
                <w:kern w:val="0"/>
                <w:sz w:val="24"/>
              </w:rPr>
              <w:t>，占本项目总占地面积的25.70%，占滇东北乌蒙山湿润常绿阔叶林区（金沙江下游干热河谷区）面积的0.01%。</w:t>
            </w:r>
          </w:p>
          <w:p w14:paraId="6B13F0F7">
            <w:pPr>
              <w:autoSpaceDE w:val="0"/>
              <w:autoSpaceDN w:val="0"/>
              <w:spacing w:line="360" w:lineRule="auto"/>
              <w:jc w:val="center"/>
              <w:rPr>
                <w:b/>
                <w:bCs/>
                <w:snapToGrid w:val="0"/>
                <w:kern w:val="0"/>
                <w:sz w:val="24"/>
              </w:rPr>
            </w:pPr>
            <w:r>
              <w:rPr>
                <w:lang w:val="en-US" w:eastAsia="zh-CN"/>
              </w:rPr>
              <w:drawing>
                <wp:inline distT="0" distB="0" distL="0" distR="0">
                  <wp:extent cx="5486400" cy="735838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26" cstate="print">
                            <a:extLst>
                              <a:ext uri="{28A0092B-C50C-407E-A947-70E740481C1C}">
                                <a14:useLocalDpi xmlns:a14="http://schemas.microsoft.com/office/drawing/2010/main" val="0"/>
                              </a:ext>
                            </a:extLst>
                          </a:blip>
                          <a:srcRect t="5234"/>
                          <a:stretch>
                            <a:fillRect/>
                          </a:stretch>
                        </pic:blipFill>
                        <pic:spPr>
                          <a:xfrm>
                            <a:off x="0" y="0"/>
                            <a:ext cx="5486400" cy="7358380"/>
                          </a:xfrm>
                          <a:prstGeom prst="rect">
                            <a:avLst/>
                          </a:prstGeom>
                          <a:noFill/>
                          <a:ln>
                            <a:noFill/>
                          </a:ln>
                        </pic:spPr>
                      </pic:pic>
                    </a:graphicData>
                  </a:graphic>
                </wp:inline>
              </w:drawing>
            </w:r>
          </w:p>
          <w:p w14:paraId="29232123">
            <w:pPr>
              <w:adjustRightInd w:val="0"/>
              <w:snapToGrid w:val="0"/>
              <w:jc w:val="center"/>
              <w:rPr>
                <w:rFonts w:hint="eastAsia"/>
                <w:snapToGrid w:val="0"/>
                <w:kern w:val="0"/>
                <w:sz w:val="24"/>
              </w:rPr>
            </w:pPr>
            <w:r>
              <w:rPr>
                <w:rFonts w:hint="eastAsia"/>
                <w:b/>
                <w:snapToGrid w:val="0"/>
                <w:kern w:val="0"/>
                <w:sz w:val="24"/>
                <w:szCs w:val="24"/>
              </w:rPr>
              <w:t>图4.1.</w:t>
            </w:r>
            <w:r>
              <w:rPr>
                <w:b/>
                <w:snapToGrid w:val="0"/>
                <w:kern w:val="0"/>
                <w:sz w:val="24"/>
                <w:szCs w:val="24"/>
              </w:rPr>
              <w:t>2-3</w:t>
            </w:r>
            <w:r>
              <w:rPr>
                <w:rFonts w:hint="eastAsia"/>
                <w:b/>
                <w:snapToGrid w:val="0"/>
                <w:kern w:val="0"/>
                <w:sz w:val="24"/>
                <w:szCs w:val="24"/>
              </w:rPr>
              <w:t xml:space="preserve">  项目与云南省生物多样性保护区位置关系图</w:t>
            </w:r>
          </w:p>
          <w:p w14:paraId="21A7DF27">
            <w:pPr>
              <w:autoSpaceDE w:val="0"/>
              <w:autoSpaceDN w:val="0"/>
              <w:spacing w:line="360" w:lineRule="auto"/>
              <w:ind w:firstLine="480" w:firstLineChars="200"/>
              <w:rPr>
                <w:rFonts w:hint="eastAsia"/>
                <w:snapToGrid w:val="0"/>
                <w:kern w:val="0"/>
                <w:sz w:val="24"/>
              </w:rPr>
            </w:pPr>
            <w:r>
              <w:rPr>
                <w:rFonts w:hint="eastAsia"/>
                <w:snapToGrid w:val="0"/>
                <w:kern w:val="0"/>
                <w:sz w:val="24"/>
              </w:rPr>
              <w:t>②滇东北乌蒙山湿润常绿阔叶林区简况</w:t>
            </w:r>
          </w:p>
          <w:p w14:paraId="18997869">
            <w:pPr>
              <w:autoSpaceDE w:val="0"/>
              <w:autoSpaceDN w:val="0"/>
              <w:spacing w:line="360" w:lineRule="auto"/>
              <w:ind w:firstLine="480" w:firstLineChars="200"/>
              <w:rPr>
                <w:snapToGrid w:val="0"/>
                <w:kern w:val="0"/>
                <w:sz w:val="24"/>
              </w:rPr>
            </w:pPr>
            <w:r>
              <w:rPr>
                <w:snapToGrid w:val="0"/>
                <w:kern w:val="0"/>
                <w:sz w:val="24"/>
              </w:rPr>
              <w:t>根据《云南省生物多样性保护战略与行动计划（2012-2030年）》，其中规划的</w:t>
            </w:r>
            <w:r>
              <w:rPr>
                <w:rFonts w:hint="eastAsia"/>
                <w:snapToGrid w:val="0"/>
                <w:kern w:val="0"/>
                <w:sz w:val="24"/>
              </w:rPr>
              <w:t>“</w:t>
            </w:r>
            <w:r>
              <w:rPr>
                <w:snapToGrid w:val="0"/>
                <w:kern w:val="0"/>
                <w:sz w:val="24"/>
              </w:rPr>
              <w:t>滇东北乌蒙山湿润常绿阔叶林区</w:t>
            </w:r>
            <w:r>
              <w:rPr>
                <w:rFonts w:hint="eastAsia"/>
                <w:snapToGrid w:val="0"/>
                <w:kern w:val="0"/>
                <w:sz w:val="24"/>
              </w:rPr>
              <w:t>”</w:t>
            </w:r>
            <w:r>
              <w:rPr>
                <w:snapToGrid w:val="0"/>
                <w:kern w:val="0"/>
                <w:sz w:val="24"/>
              </w:rPr>
              <w:t>包括乌蒙山湿润常绿阔叶林区和金沙江下游干热河谷区2个区，本项目部分区域涉及金沙江下游干热河谷区。该区范围涉及禄劝、会泽、巧家、鲁甸、昭阳和永善等县、区，位于滇东北金沙江沿线，北纬26°0'-27°35'，东经102°43'-103°24'之间，其北向、西向以金沙江为界，与四川省相邻，南接昆明盆地，面积约19.93万</w:t>
            </w:r>
            <w:r>
              <w:rPr>
                <w:rFonts w:hint="eastAsia"/>
                <w:snapToGrid w:val="0"/>
                <w:kern w:val="0"/>
                <w:sz w:val="24"/>
              </w:rPr>
              <w:t>hm</w:t>
            </w:r>
            <w:r>
              <w:rPr>
                <w:snapToGrid w:val="0"/>
                <w:kern w:val="0"/>
                <w:sz w:val="24"/>
                <w:vertAlign w:val="superscript"/>
              </w:rPr>
              <w:t>2</w:t>
            </w:r>
            <w:r>
              <w:rPr>
                <w:snapToGrid w:val="0"/>
                <w:kern w:val="0"/>
                <w:sz w:val="24"/>
              </w:rPr>
              <w:t>，有药山和轿子山国家级自然保护区2个。该区金沙江下游沿岸海拔1300</w:t>
            </w:r>
            <w:r>
              <w:rPr>
                <w:rFonts w:hint="eastAsia"/>
                <w:snapToGrid w:val="0"/>
                <w:kern w:val="0"/>
                <w:sz w:val="24"/>
              </w:rPr>
              <w:t>m</w:t>
            </w:r>
            <w:r>
              <w:rPr>
                <w:snapToGrid w:val="0"/>
                <w:kern w:val="0"/>
                <w:sz w:val="24"/>
              </w:rPr>
              <w:t>（阴坡）-1600</w:t>
            </w:r>
            <w:r>
              <w:rPr>
                <w:rFonts w:hint="eastAsia"/>
                <w:snapToGrid w:val="0"/>
                <w:kern w:val="0"/>
                <w:sz w:val="24"/>
              </w:rPr>
              <w:t>m</w:t>
            </w:r>
            <w:r>
              <w:rPr>
                <w:snapToGrid w:val="0"/>
                <w:kern w:val="0"/>
                <w:sz w:val="24"/>
              </w:rPr>
              <w:t>（阳坡）以下为典型的干热河谷区。区内动植物区系具有明显的过渡性特点，物种特有率极高，具有重要保护价值。主要保护物种以巧家五针松、攀枝花苏铁、朴菊木、林麝、云豹、白腹锦鸡等为代表。区内居住有汉、彝、壮、苗、布依等民族。</w:t>
            </w:r>
          </w:p>
          <w:p w14:paraId="02EB757B">
            <w:pPr>
              <w:autoSpaceDE w:val="0"/>
              <w:autoSpaceDN w:val="0"/>
              <w:spacing w:line="360" w:lineRule="auto"/>
              <w:ind w:firstLine="480" w:firstLineChars="200"/>
              <w:rPr>
                <w:rFonts w:hint="eastAsia"/>
                <w:snapToGrid w:val="0"/>
                <w:kern w:val="0"/>
                <w:sz w:val="24"/>
              </w:rPr>
            </w:pPr>
            <w:r>
              <w:rPr>
                <w:rFonts w:hint="eastAsia"/>
                <w:snapToGrid w:val="0"/>
                <w:kern w:val="0"/>
                <w:sz w:val="24"/>
              </w:rPr>
              <w:t>③拟建项目区生物多样性简况</w:t>
            </w:r>
          </w:p>
          <w:p w14:paraId="4C53429E">
            <w:pPr>
              <w:autoSpaceDE w:val="0"/>
              <w:autoSpaceDN w:val="0"/>
              <w:spacing w:line="360" w:lineRule="auto"/>
              <w:ind w:firstLine="480" w:firstLineChars="200"/>
              <w:rPr>
                <w:rFonts w:hint="eastAsia"/>
                <w:snapToGrid w:val="0"/>
                <w:kern w:val="0"/>
                <w:sz w:val="24"/>
              </w:rPr>
            </w:pPr>
            <w:r>
              <w:rPr>
                <w:rFonts w:hint="eastAsia"/>
                <w:snapToGrid w:val="0"/>
                <w:kern w:val="0"/>
                <w:sz w:val="24"/>
              </w:rPr>
              <w:t>拟建绿坪村光伏发电项目位于云南省曲靖市会泽县，场址位于娜姑镇石门坎村、红泥村、发基卡村和干海子村附近的坡地上，海拔高程在1460m~2230m之间，项目区气候总体较干燥，海拔偏高。根据调查，拟建项目区多样性简况如下：</w:t>
            </w:r>
          </w:p>
          <w:p w14:paraId="687BFDBC">
            <w:pPr>
              <w:autoSpaceDE w:val="0"/>
              <w:autoSpaceDN w:val="0"/>
              <w:spacing w:line="360" w:lineRule="auto"/>
              <w:ind w:firstLine="480" w:firstLineChars="200"/>
              <w:rPr>
                <w:rFonts w:hint="eastAsia"/>
                <w:snapToGrid w:val="0"/>
                <w:kern w:val="0"/>
                <w:sz w:val="24"/>
              </w:rPr>
            </w:pPr>
            <w:r>
              <w:rPr>
                <w:rFonts w:hint="eastAsia"/>
                <w:snapToGrid w:val="0"/>
                <w:kern w:val="0"/>
                <w:sz w:val="24"/>
              </w:rPr>
              <w:t>拟建项目涉及生物多样性优先保护区面积约22.35hm</w:t>
            </w:r>
            <w:r>
              <w:rPr>
                <w:rFonts w:hint="eastAsia"/>
                <w:snapToGrid w:val="0"/>
                <w:kern w:val="0"/>
                <w:sz w:val="24"/>
                <w:vertAlign w:val="superscript"/>
              </w:rPr>
              <w:t>2</w:t>
            </w:r>
            <w:r>
              <w:rPr>
                <w:rFonts w:hint="eastAsia"/>
                <w:snapToGrid w:val="0"/>
                <w:kern w:val="0"/>
                <w:sz w:val="24"/>
              </w:rPr>
              <w:t>，占本项目总占地面积的25.70%，占本项目生态调查面积的0.79%，占滇东北乌蒙山湿润常绿阔叶林区（金沙江下游干热河谷区）面积的0.01%，涉及区域现状生境干旱，且地处石灰岩喀斯特岩溶地区，区内缺少地表水，加上长期农业生产生活的影响，原生植被遭到严重破坏，生物多样性低。</w:t>
            </w:r>
          </w:p>
          <w:p w14:paraId="2EE3E05F">
            <w:pPr>
              <w:autoSpaceDE w:val="0"/>
              <w:autoSpaceDN w:val="0"/>
              <w:spacing w:line="360" w:lineRule="auto"/>
              <w:ind w:firstLine="480" w:firstLineChars="200"/>
              <w:rPr>
                <w:rFonts w:hint="eastAsia"/>
                <w:snapToGrid w:val="0"/>
                <w:kern w:val="0"/>
                <w:sz w:val="24"/>
              </w:rPr>
            </w:pPr>
            <w:r>
              <w:rPr>
                <w:rFonts w:hint="eastAsia"/>
                <w:snapToGrid w:val="0"/>
                <w:kern w:val="0"/>
                <w:sz w:val="24"/>
              </w:rPr>
              <w:t>调查区的自然植被包括评价区范围内的自然植被可划分为3个植被型、3个植被亚型、3个群落类型（群系）。调查区内分布的自然植被占调查总面积的49.7</w:t>
            </w:r>
            <w:r>
              <w:rPr>
                <w:snapToGrid w:val="0"/>
                <w:kern w:val="0"/>
                <w:sz w:val="24"/>
              </w:rPr>
              <w:t>6</w:t>
            </w:r>
            <w:r>
              <w:rPr>
                <w:rFonts w:hint="eastAsia"/>
                <w:snapToGrid w:val="0"/>
                <w:kern w:val="0"/>
                <w:sz w:val="24"/>
              </w:rPr>
              <w:t>%，人工植被占调查总面积的46.2</w:t>
            </w:r>
            <w:r>
              <w:rPr>
                <w:snapToGrid w:val="0"/>
                <w:kern w:val="0"/>
                <w:sz w:val="24"/>
              </w:rPr>
              <w:t>2</w:t>
            </w:r>
            <w:r>
              <w:rPr>
                <w:rFonts w:hint="eastAsia"/>
                <w:snapToGrid w:val="0"/>
                <w:kern w:val="0"/>
                <w:sz w:val="24"/>
              </w:rPr>
              <w:t>%；调查区涉及到的村镇及河流水域，仅其占调查区总面积的4.02%。此外，调查区植被群落次生性较强，暖温性针叶林和暖性石灰岩灌丛分布广泛，面积较大，分别占调查区总面积的16.89%和10.67%；暖温性杂草草丛主要分布于人为活动强烈的道路沿线、撂荒地或林缘，占调查区总面积的22.20%；本项目调查范围内认为活动较强，自然植被具有明显次生性，调查未发现分布有常绿阔叶林。</w:t>
            </w:r>
          </w:p>
          <w:p w14:paraId="751AB8D6">
            <w:pPr>
              <w:autoSpaceDE w:val="0"/>
              <w:autoSpaceDN w:val="0"/>
              <w:spacing w:line="360" w:lineRule="auto"/>
              <w:ind w:firstLine="480" w:firstLineChars="200"/>
              <w:rPr>
                <w:snapToGrid w:val="0"/>
                <w:kern w:val="0"/>
                <w:sz w:val="24"/>
              </w:rPr>
            </w:pPr>
            <w:r>
              <w:rPr>
                <w:rFonts w:hint="eastAsia"/>
                <w:snapToGrid w:val="0"/>
                <w:kern w:val="0"/>
                <w:sz w:val="24"/>
              </w:rPr>
              <w:t>调查区的人工植被包括旱地和园地，累计面积1301.69hm</w:t>
            </w:r>
            <w:r>
              <w:rPr>
                <w:rFonts w:hint="eastAsia"/>
                <w:snapToGrid w:val="0"/>
                <w:kern w:val="0"/>
                <w:sz w:val="24"/>
                <w:vertAlign w:val="superscript"/>
              </w:rPr>
              <w:t>2</w:t>
            </w:r>
            <w:r>
              <w:rPr>
                <w:rFonts w:hint="eastAsia"/>
                <w:snapToGrid w:val="0"/>
                <w:kern w:val="0"/>
                <w:sz w:val="24"/>
              </w:rPr>
              <w:t>，占调查区总面积的46.23%，反映了该区域农耕历史悠久，人为生产活动广泛。其中，旱地面积935.62hm</w:t>
            </w:r>
            <w:r>
              <w:rPr>
                <w:rFonts w:hint="eastAsia"/>
                <w:snapToGrid w:val="0"/>
                <w:kern w:val="0"/>
                <w:sz w:val="24"/>
                <w:vertAlign w:val="superscript"/>
              </w:rPr>
              <w:t>2</w:t>
            </w:r>
            <w:r>
              <w:rPr>
                <w:rFonts w:hint="eastAsia"/>
                <w:snapToGrid w:val="0"/>
                <w:kern w:val="0"/>
                <w:sz w:val="24"/>
              </w:rPr>
              <w:t>，占总面积的33.23%，园地面积366.07hm</w:t>
            </w:r>
            <w:r>
              <w:rPr>
                <w:rFonts w:hint="eastAsia"/>
                <w:snapToGrid w:val="0"/>
                <w:kern w:val="0"/>
                <w:sz w:val="24"/>
                <w:vertAlign w:val="superscript"/>
              </w:rPr>
              <w:t>2</w:t>
            </w:r>
            <w:r>
              <w:rPr>
                <w:rFonts w:hint="eastAsia"/>
                <w:snapToGrid w:val="0"/>
                <w:kern w:val="0"/>
                <w:sz w:val="24"/>
              </w:rPr>
              <w:t>，占总面积的13.00%。</w:t>
            </w:r>
          </w:p>
          <w:p w14:paraId="5CB4EBB9">
            <w:pPr>
              <w:adjustRightInd w:val="0"/>
              <w:snapToGrid w:val="0"/>
              <w:jc w:val="center"/>
              <w:rPr>
                <w:b/>
                <w:snapToGrid w:val="0"/>
                <w:kern w:val="0"/>
                <w:sz w:val="24"/>
                <w:szCs w:val="24"/>
              </w:rPr>
            </w:pPr>
          </w:p>
          <w:p w14:paraId="25F38F30">
            <w:pPr>
              <w:adjustRightInd w:val="0"/>
              <w:snapToGrid w:val="0"/>
              <w:jc w:val="center"/>
              <w:rPr>
                <w:b/>
                <w:snapToGrid w:val="0"/>
                <w:kern w:val="0"/>
                <w:sz w:val="24"/>
                <w:szCs w:val="24"/>
              </w:rPr>
            </w:pPr>
          </w:p>
          <w:p w14:paraId="4DF14987">
            <w:pPr>
              <w:adjustRightInd w:val="0"/>
              <w:snapToGrid w:val="0"/>
              <w:jc w:val="center"/>
              <w:rPr>
                <w:b/>
                <w:snapToGrid w:val="0"/>
                <w:kern w:val="0"/>
                <w:sz w:val="24"/>
                <w:szCs w:val="24"/>
              </w:rPr>
            </w:pPr>
            <w:r>
              <w:rPr>
                <w:rFonts w:hint="eastAsia"/>
                <w:b/>
                <w:snapToGrid w:val="0"/>
                <w:kern w:val="0"/>
                <w:sz w:val="24"/>
                <w:szCs w:val="24"/>
              </w:rPr>
              <w:t>表</w:t>
            </w:r>
            <w:r>
              <w:rPr>
                <w:b/>
                <w:snapToGrid w:val="0"/>
                <w:kern w:val="0"/>
                <w:sz w:val="24"/>
                <w:szCs w:val="24"/>
              </w:rPr>
              <w:t xml:space="preserve">4.1.2-1  </w:t>
            </w:r>
            <w:r>
              <w:rPr>
                <w:rFonts w:hint="eastAsia"/>
                <w:b/>
                <w:snapToGrid w:val="0"/>
                <w:kern w:val="0"/>
                <w:sz w:val="24"/>
                <w:szCs w:val="24"/>
              </w:rPr>
              <w:t>项目调查区植被类型现状一览表</w:t>
            </w:r>
          </w:p>
          <w:tbl>
            <w:tblPr>
              <w:tblStyle w:val="30"/>
              <w:tblW w:w="8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6"/>
              <w:gridCol w:w="2392"/>
              <w:gridCol w:w="1298"/>
              <w:gridCol w:w="3343"/>
            </w:tblGrid>
            <w:tr w14:paraId="2CB1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354" w:type="pct"/>
                  <w:gridSpan w:val="2"/>
                  <w:tcBorders>
                    <w:top w:val="single" w:color="auto" w:sz="4" w:space="0"/>
                    <w:left w:val="single" w:color="auto" w:sz="4" w:space="0"/>
                    <w:bottom w:val="single" w:color="auto" w:sz="4" w:space="0"/>
                    <w:right w:val="single" w:color="auto" w:sz="4" w:space="0"/>
                  </w:tcBorders>
                  <w:vAlign w:val="center"/>
                </w:tcPr>
                <w:p w14:paraId="621DFA7B">
                  <w:pPr>
                    <w:widowControl/>
                    <w:jc w:val="center"/>
                    <w:rPr>
                      <w:kern w:val="0"/>
                    </w:rPr>
                  </w:pPr>
                  <w:r>
                    <w:rPr>
                      <w:rFonts w:hint="eastAsia"/>
                      <w:kern w:val="0"/>
                    </w:rPr>
                    <w:t>植被类型</w:t>
                  </w:r>
                </w:p>
              </w:tc>
              <w:tc>
                <w:tcPr>
                  <w:tcW w:w="740" w:type="pct"/>
                  <w:tcBorders>
                    <w:top w:val="single" w:color="auto" w:sz="4" w:space="0"/>
                    <w:left w:val="single" w:color="auto" w:sz="4" w:space="0"/>
                    <w:bottom w:val="single" w:color="auto" w:sz="4" w:space="0"/>
                    <w:right w:val="single" w:color="auto" w:sz="4" w:space="0"/>
                  </w:tcBorders>
                  <w:vAlign w:val="center"/>
                </w:tcPr>
                <w:p w14:paraId="528EAE44">
                  <w:pPr>
                    <w:widowControl/>
                    <w:jc w:val="center"/>
                    <w:rPr>
                      <w:kern w:val="0"/>
                    </w:rPr>
                  </w:pPr>
                  <w:r>
                    <w:rPr>
                      <w:rFonts w:hint="eastAsia"/>
                      <w:kern w:val="0"/>
                    </w:rPr>
                    <w:t>面积</w:t>
                  </w:r>
                  <w:r>
                    <w:rPr>
                      <w:kern w:val="0"/>
                    </w:rPr>
                    <w:t>(hm</w:t>
                  </w:r>
                  <w:r>
                    <w:rPr>
                      <w:kern w:val="0"/>
                      <w:vertAlign w:val="superscript"/>
                    </w:rPr>
                    <w:t>2</w:t>
                  </w:r>
                  <w:r>
                    <w:rPr>
                      <w:kern w:val="0"/>
                    </w:rPr>
                    <w:t>)</w:t>
                  </w:r>
                </w:p>
              </w:tc>
              <w:tc>
                <w:tcPr>
                  <w:tcW w:w="1906" w:type="pct"/>
                  <w:tcBorders>
                    <w:top w:val="single" w:color="auto" w:sz="4" w:space="0"/>
                    <w:left w:val="single" w:color="auto" w:sz="4" w:space="0"/>
                    <w:bottom w:val="single" w:color="auto" w:sz="4" w:space="0"/>
                    <w:right w:val="single" w:color="auto" w:sz="4" w:space="0"/>
                  </w:tcBorders>
                  <w:noWrap/>
                  <w:vAlign w:val="center"/>
                </w:tcPr>
                <w:p w14:paraId="297763DB">
                  <w:pPr>
                    <w:widowControl/>
                    <w:jc w:val="center"/>
                    <w:rPr>
                      <w:kern w:val="0"/>
                    </w:rPr>
                  </w:pPr>
                  <w:r>
                    <w:rPr>
                      <w:rFonts w:hint="eastAsia"/>
                      <w:kern w:val="0"/>
                    </w:rPr>
                    <w:t>占评价区总面积的比例</w:t>
                  </w:r>
                  <w:r>
                    <w:rPr>
                      <w:kern w:val="0"/>
                    </w:rPr>
                    <w:t>(%)</w:t>
                  </w:r>
                </w:p>
              </w:tc>
            </w:tr>
            <w:tr w14:paraId="5095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 w:type="pct"/>
                  <w:vMerge w:val="restart"/>
                  <w:tcBorders>
                    <w:top w:val="single" w:color="auto" w:sz="4" w:space="0"/>
                    <w:left w:val="single" w:color="auto" w:sz="4" w:space="0"/>
                    <w:bottom w:val="single" w:color="auto" w:sz="4" w:space="0"/>
                    <w:right w:val="single" w:color="auto" w:sz="4" w:space="0"/>
                  </w:tcBorders>
                  <w:vAlign w:val="center"/>
                </w:tcPr>
                <w:p w14:paraId="5175627E">
                  <w:pPr>
                    <w:widowControl/>
                    <w:jc w:val="center"/>
                    <w:rPr>
                      <w:kern w:val="0"/>
                    </w:rPr>
                  </w:pPr>
                  <w:r>
                    <w:rPr>
                      <w:rFonts w:hint="eastAsia"/>
                      <w:kern w:val="0"/>
                    </w:rPr>
                    <w:t>自然植被</w:t>
                  </w:r>
                </w:p>
              </w:tc>
              <w:tc>
                <w:tcPr>
                  <w:tcW w:w="1363" w:type="pct"/>
                  <w:tcBorders>
                    <w:top w:val="single" w:color="auto" w:sz="4" w:space="0"/>
                    <w:left w:val="single" w:color="auto" w:sz="4" w:space="0"/>
                    <w:bottom w:val="single" w:color="auto" w:sz="4" w:space="0"/>
                    <w:right w:val="single" w:color="auto" w:sz="4" w:space="0"/>
                  </w:tcBorders>
                  <w:vAlign w:val="center"/>
                </w:tcPr>
                <w:p w14:paraId="468F4127">
                  <w:pPr>
                    <w:widowControl/>
                    <w:jc w:val="center"/>
                    <w:rPr>
                      <w:kern w:val="0"/>
                    </w:rPr>
                  </w:pPr>
                  <w:r>
                    <w:rPr>
                      <w:rFonts w:hint="eastAsia"/>
                      <w:kern w:val="0"/>
                    </w:rPr>
                    <w:t>暖温性针叶林</w:t>
                  </w:r>
                </w:p>
              </w:tc>
              <w:tc>
                <w:tcPr>
                  <w:tcW w:w="740" w:type="pct"/>
                  <w:tcBorders>
                    <w:top w:val="single" w:color="auto" w:sz="4" w:space="0"/>
                    <w:left w:val="single" w:color="auto" w:sz="4" w:space="0"/>
                    <w:bottom w:val="single" w:color="auto" w:sz="4" w:space="0"/>
                    <w:right w:val="single" w:color="auto" w:sz="4" w:space="0"/>
                  </w:tcBorders>
                  <w:vAlign w:val="center"/>
                </w:tcPr>
                <w:p w14:paraId="224D99C9">
                  <w:pPr>
                    <w:widowControl/>
                    <w:jc w:val="center"/>
                    <w:textAlignment w:val="center"/>
                    <w:rPr>
                      <w:kern w:val="0"/>
                      <w:lang w:bidi="ar"/>
                    </w:rPr>
                  </w:pPr>
                  <w:r>
                    <w:rPr>
                      <w:color w:val="000000"/>
                      <w:kern w:val="0"/>
                      <w:lang w:bidi="ar"/>
                    </w:rPr>
                    <w:t xml:space="preserve">475.49 </w:t>
                  </w:r>
                </w:p>
              </w:tc>
              <w:tc>
                <w:tcPr>
                  <w:tcW w:w="1906" w:type="pct"/>
                  <w:tcBorders>
                    <w:top w:val="single" w:color="auto" w:sz="4" w:space="0"/>
                    <w:left w:val="single" w:color="auto" w:sz="4" w:space="0"/>
                    <w:bottom w:val="single" w:color="auto" w:sz="4" w:space="0"/>
                    <w:right w:val="single" w:color="auto" w:sz="4" w:space="0"/>
                  </w:tcBorders>
                  <w:noWrap/>
                  <w:vAlign w:val="center"/>
                </w:tcPr>
                <w:p w14:paraId="3D09B18C">
                  <w:pPr>
                    <w:widowControl/>
                    <w:jc w:val="center"/>
                    <w:textAlignment w:val="center"/>
                    <w:rPr>
                      <w:kern w:val="0"/>
                      <w:lang w:bidi="ar"/>
                    </w:rPr>
                  </w:pPr>
                  <w:r>
                    <w:rPr>
                      <w:color w:val="000000"/>
                      <w:kern w:val="0"/>
                      <w:lang w:bidi="ar"/>
                    </w:rPr>
                    <w:t xml:space="preserve">16.89 </w:t>
                  </w:r>
                </w:p>
              </w:tc>
            </w:tr>
            <w:tr w14:paraId="0574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0" w:type="pct"/>
                  <w:vMerge w:val="continue"/>
                  <w:tcBorders>
                    <w:top w:val="single" w:color="auto" w:sz="4" w:space="0"/>
                    <w:left w:val="single" w:color="auto" w:sz="4" w:space="0"/>
                    <w:bottom w:val="single" w:color="auto" w:sz="4" w:space="0"/>
                    <w:right w:val="single" w:color="auto" w:sz="4" w:space="0"/>
                  </w:tcBorders>
                  <w:vAlign w:val="center"/>
                </w:tcPr>
                <w:p w14:paraId="78033AE9">
                  <w:pPr>
                    <w:widowControl/>
                    <w:jc w:val="left"/>
                    <w:rPr>
                      <w:kern w:val="0"/>
                    </w:rPr>
                  </w:pPr>
                </w:p>
              </w:tc>
              <w:tc>
                <w:tcPr>
                  <w:tcW w:w="1363" w:type="pct"/>
                  <w:tcBorders>
                    <w:top w:val="single" w:color="auto" w:sz="4" w:space="0"/>
                    <w:left w:val="single" w:color="auto" w:sz="4" w:space="0"/>
                    <w:bottom w:val="single" w:color="auto" w:sz="4" w:space="0"/>
                    <w:right w:val="single" w:color="auto" w:sz="4" w:space="0"/>
                  </w:tcBorders>
                  <w:vAlign w:val="center"/>
                </w:tcPr>
                <w:p w14:paraId="77C0EAAD">
                  <w:pPr>
                    <w:widowControl/>
                    <w:jc w:val="center"/>
                    <w:textAlignment w:val="bottom"/>
                    <w:rPr>
                      <w:kern w:val="0"/>
                    </w:rPr>
                  </w:pPr>
                  <w:r>
                    <w:rPr>
                      <w:rFonts w:hint="eastAsia"/>
                      <w:kern w:val="0"/>
                      <w:lang w:bidi="ar"/>
                    </w:rPr>
                    <w:t>暖性石灰山灌丛</w:t>
                  </w:r>
                </w:p>
              </w:tc>
              <w:tc>
                <w:tcPr>
                  <w:tcW w:w="740" w:type="pct"/>
                  <w:tcBorders>
                    <w:top w:val="single" w:color="auto" w:sz="4" w:space="0"/>
                    <w:left w:val="single" w:color="auto" w:sz="4" w:space="0"/>
                    <w:bottom w:val="single" w:color="auto" w:sz="4" w:space="0"/>
                    <w:right w:val="single" w:color="auto" w:sz="4" w:space="0"/>
                  </w:tcBorders>
                  <w:vAlign w:val="center"/>
                </w:tcPr>
                <w:p w14:paraId="58796D6D">
                  <w:pPr>
                    <w:widowControl/>
                    <w:jc w:val="center"/>
                    <w:textAlignment w:val="center"/>
                  </w:pPr>
                  <w:r>
                    <w:rPr>
                      <w:color w:val="000000"/>
                      <w:kern w:val="0"/>
                      <w:lang w:bidi="ar"/>
                    </w:rPr>
                    <w:t xml:space="preserve">300.29 </w:t>
                  </w:r>
                </w:p>
              </w:tc>
              <w:tc>
                <w:tcPr>
                  <w:tcW w:w="1906" w:type="pct"/>
                  <w:tcBorders>
                    <w:top w:val="single" w:color="auto" w:sz="4" w:space="0"/>
                    <w:left w:val="single" w:color="auto" w:sz="4" w:space="0"/>
                    <w:bottom w:val="single" w:color="auto" w:sz="4" w:space="0"/>
                    <w:right w:val="single" w:color="auto" w:sz="4" w:space="0"/>
                  </w:tcBorders>
                  <w:noWrap/>
                  <w:vAlign w:val="center"/>
                </w:tcPr>
                <w:p w14:paraId="161F7175">
                  <w:pPr>
                    <w:widowControl/>
                    <w:jc w:val="center"/>
                    <w:textAlignment w:val="center"/>
                    <w:rPr>
                      <w:kern w:val="0"/>
                    </w:rPr>
                  </w:pPr>
                  <w:r>
                    <w:rPr>
                      <w:color w:val="000000"/>
                      <w:kern w:val="0"/>
                      <w:lang w:bidi="ar"/>
                    </w:rPr>
                    <w:t xml:space="preserve">10.67 </w:t>
                  </w:r>
                </w:p>
              </w:tc>
            </w:tr>
            <w:tr w14:paraId="4B2E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0" w:type="pct"/>
                  <w:vMerge w:val="continue"/>
                  <w:tcBorders>
                    <w:top w:val="single" w:color="auto" w:sz="4" w:space="0"/>
                    <w:left w:val="single" w:color="auto" w:sz="4" w:space="0"/>
                    <w:bottom w:val="single" w:color="auto" w:sz="4" w:space="0"/>
                    <w:right w:val="single" w:color="auto" w:sz="4" w:space="0"/>
                  </w:tcBorders>
                  <w:vAlign w:val="center"/>
                </w:tcPr>
                <w:p w14:paraId="0A827DD5">
                  <w:pPr>
                    <w:widowControl/>
                    <w:jc w:val="left"/>
                    <w:rPr>
                      <w:kern w:val="0"/>
                    </w:rPr>
                  </w:pPr>
                </w:p>
              </w:tc>
              <w:tc>
                <w:tcPr>
                  <w:tcW w:w="1363" w:type="pct"/>
                  <w:tcBorders>
                    <w:top w:val="single" w:color="auto" w:sz="4" w:space="0"/>
                    <w:left w:val="single" w:color="auto" w:sz="4" w:space="0"/>
                    <w:bottom w:val="single" w:color="auto" w:sz="4" w:space="0"/>
                    <w:right w:val="single" w:color="auto" w:sz="4" w:space="0"/>
                  </w:tcBorders>
                  <w:vAlign w:val="center"/>
                </w:tcPr>
                <w:p w14:paraId="3F741456">
                  <w:pPr>
                    <w:widowControl/>
                    <w:jc w:val="center"/>
                    <w:textAlignment w:val="bottom"/>
                    <w:rPr>
                      <w:kern w:val="0"/>
                    </w:rPr>
                  </w:pPr>
                  <w:r>
                    <w:rPr>
                      <w:rFonts w:hint="eastAsia"/>
                      <w:kern w:val="0"/>
                      <w:lang w:bidi="ar"/>
                    </w:rPr>
                    <w:t>暖温性杂草草丛</w:t>
                  </w:r>
                </w:p>
              </w:tc>
              <w:tc>
                <w:tcPr>
                  <w:tcW w:w="740" w:type="pct"/>
                  <w:tcBorders>
                    <w:top w:val="single" w:color="auto" w:sz="4" w:space="0"/>
                    <w:left w:val="single" w:color="auto" w:sz="4" w:space="0"/>
                    <w:bottom w:val="single" w:color="auto" w:sz="4" w:space="0"/>
                    <w:right w:val="single" w:color="auto" w:sz="4" w:space="0"/>
                  </w:tcBorders>
                  <w:vAlign w:val="center"/>
                </w:tcPr>
                <w:p w14:paraId="79B10932">
                  <w:pPr>
                    <w:widowControl/>
                    <w:jc w:val="center"/>
                    <w:textAlignment w:val="center"/>
                  </w:pPr>
                  <w:r>
                    <w:rPr>
                      <w:color w:val="000000"/>
                      <w:kern w:val="0"/>
                      <w:lang w:bidi="ar"/>
                    </w:rPr>
                    <w:t xml:space="preserve">624.95 </w:t>
                  </w:r>
                </w:p>
              </w:tc>
              <w:tc>
                <w:tcPr>
                  <w:tcW w:w="1906" w:type="pct"/>
                  <w:tcBorders>
                    <w:top w:val="single" w:color="auto" w:sz="4" w:space="0"/>
                    <w:left w:val="single" w:color="auto" w:sz="4" w:space="0"/>
                    <w:bottom w:val="single" w:color="auto" w:sz="4" w:space="0"/>
                    <w:right w:val="single" w:color="auto" w:sz="4" w:space="0"/>
                  </w:tcBorders>
                  <w:noWrap/>
                  <w:vAlign w:val="center"/>
                </w:tcPr>
                <w:p w14:paraId="62F27CCF">
                  <w:pPr>
                    <w:widowControl/>
                    <w:jc w:val="center"/>
                    <w:textAlignment w:val="center"/>
                    <w:rPr>
                      <w:kern w:val="0"/>
                    </w:rPr>
                  </w:pPr>
                  <w:r>
                    <w:rPr>
                      <w:color w:val="000000"/>
                      <w:kern w:val="0"/>
                      <w:lang w:bidi="ar"/>
                    </w:rPr>
                    <w:t xml:space="preserve">22.20 </w:t>
                  </w:r>
                </w:p>
              </w:tc>
            </w:tr>
            <w:tr w14:paraId="06B8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354" w:type="pct"/>
                  <w:gridSpan w:val="2"/>
                  <w:tcBorders>
                    <w:top w:val="single" w:color="auto" w:sz="4" w:space="0"/>
                    <w:left w:val="single" w:color="auto" w:sz="4" w:space="0"/>
                    <w:bottom w:val="single" w:color="auto" w:sz="4" w:space="0"/>
                    <w:right w:val="single" w:color="auto" w:sz="4" w:space="0"/>
                  </w:tcBorders>
                  <w:vAlign w:val="center"/>
                </w:tcPr>
                <w:p w14:paraId="663C76A2">
                  <w:pPr>
                    <w:widowControl/>
                    <w:jc w:val="center"/>
                    <w:textAlignment w:val="bottom"/>
                    <w:rPr>
                      <w:kern w:val="0"/>
                      <w:lang w:bidi="ar"/>
                    </w:rPr>
                  </w:pPr>
                  <w:r>
                    <w:rPr>
                      <w:rFonts w:hint="eastAsia"/>
                      <w:kern w:val="0"/>
                      <w:lang w:bidi="ar"/>
                    </w:rPr>
                    <w:t>小计</w:t>
                  </w:r>
                </w:p>
              </w:tc>
              <w:tc>
                <w:tcPr>
                  <w:tcW w:w="740" w:type="pct"/>
                  <w:tcBorders>
                    <w:top w:val="single" w:color="auto" w:sz="4" w:space="0"/>
                    <w:left w:val="single" w:color="auto" w:sz="4" w:space="0"/>
                    <w:bottom w:val="single" w:color="auto" w:sz="4" w:space="0"/>
                    <w:right w:val="single" w:color="auto" w:sz="4" w:space="0"/>
                  </w:tcBorders>
                  <w:vAlign w:val="center"/>
                </w:tcPr>
                <w:p w14:paraId="2303B72B">
                  <w:pPr>
                    <w:widowControl/>
                    <w:jc w:val="center"/>
                    <w:textAlignment w:val="center"/>
                  </w:pPr>
                  <w:r>
                    <w:rPr>
                      <w:kern w:val="0"/>
                      <w:lang w:bidi="ar"/>
                    </w:rPr>
                    <w:t>1400.73</w:t>
                  </w:r>
                </w:p>
              </w:tc>
              <w:tc>
                <w:tcPr>
                  <w:tcW w:w="1906" w:type="pct"/>
                  <w:tcBorders>
                    <w:top w:val="single" w:color="auto" w:sz="4" w:space="0"/>
                    <w:left w:val="single" w:color="auto" w:sz="4" w:space="0"/>
                    <w:bottom w:val="single" w:color="auto" w:sz="4" w:space="0"/>
                    <w:right w:val="single" w:color="auto" w:sz="4" w:space="0"/>
                  </w:tcBorders>
                  <w:noWrap/>
                  <w:vAlign w:val="center"/>
                </w:tcPr>
                <w:p w14:paraId="26185B03">
                  <w:pPr>
                    <w:widowControl/>
                    <w:jc w:val="center"/>
                    <w:textAlignment w:val="center"/>
                  </w:pPr>
                  <w:r>
                    <w:rPr>
                      <w:kern w:val="0"/>
                      <w:lang w:bidi="ar"/>
                    </w:rPr>
                    <w:t>49.76</w:t>
                  </w:r>
                </w:p>
              </w:tc>
            </w:tr>
            <w:tr w14:paraId="4AD2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90" w:type="pct"/>
                  <w:vMerge w:val="restart"/>
                  <w:tcBorders>
                    <w:top w:val="single" w:color="auto" w:sz="4" w:space="0"/>
                    <w:left w:val="single" w:color="auto" w:sz="4" w:space="0"/>
                    <w:bottom w:val="single" w:color="auto" w:sz="4" w:space="0"/>
                    <w:right w:val="single" w:color="auto" w:sz="4" w:space="0"/>
                  </w:tcBorders>
                  <w:vAlign w:val="center"/>
                </w:tcPr>
                <w:p w14:paraId="55095881">
                  <w:pPr>
                    <w:widowControl/>
                    <w:jc w:val="center"/>
                    <w:rPr>
                      <w:kern w:val="0"/>
                    </w:rPr>
                  </w:pPr>
                  <w:r>
                    <w:rPr>
                      <w:rFonts w:hint="eastAsia"/>
                      <w:kern w:val="0"/>
                    </w:rPr>
                    <w:t>人工植被</w:t>
                  </w:r>
                </w:p>
              </w:tc>
              <w:tc>
                <w:tcPr>
                  <w:tcW w:w="1363" w:type="pct"/>
                  <w:tcBorders>
                    <w:top w:val="single" w:color="auto" w:sz="4" w:space="0"/>
                    <w:left w:val="single" w:color="auto" w:sz="4" w:space="0"/>
                    <w:bottom w:val="single" w:color="auto" w:sz="4" w:space="0"/>
                    <w:right w:val="single" w:color="auto" w:sz="4" w:space="0"/>
                  </w:tcBorders>
                  <w:vAlign w:val="center"/>
                </w:tcPr>
                <w:p w14:paraId="64020D78">
                  <w:pPr>
                    <w:widowControl/>
                    <w:jc w:val="center"/>
                    <w:rPr>
                      <w:kern w:val="0"/>
                    </w:rPr>
                  </w:pPr>
                  <w:r>
                    <w:rPr>
                      <w:rFonts w:hint="eastAsia"/>
                      <w:kern w:val="0"/>
                    </w:rPr>
                    <w:t>旱地</w:t>
                  </w:r>
                </w:p>
              </w:tc>
              <w:tc>
                <w:tcPr>
                  <w:tcW w:w="740" w:type="pct"/>
                  <w:tcBorders>
                    <w:top w:val="single" w:color="auto" w:sz="4" w:space="0"/>
                    <w:left w:val="single" w:color="auto" w:sz="4" w:space="0"/>
                    <w:bottom w:val="single" w:color="auto" w:sz="4" w:space="0"/>
                    <w:right w:val="single" w:color="auto" w:sz="4" w:space="0"/>
                  </w:tcBorders>
                  <w:vAlign w:val="center"/>
                </w:tcPr>
                <w:p w14:paraId="083E258A">
                  <w:pPr>
                    <w:widowControl/>
                    <w:jc w:val="center"/>
                    <w:textAlignment w:val="center"/>
                  </w:pPr>
                  <w:r>
                    <w:rPr>
                      <w:kern w:val="0"/>
                      <w:lang w:bidi="ar"/>
                    </w:rPr>
                    <w:t>935.62</w:t>
                  </w:r>
                </w:p>
              </w:tc>
              <w:tc>
                <w:tcPr>
                  <w:tcW w:w="1906" w:type="pct"/>
                  <w:tcBorders>
                    <w:top w:val="single" w:color="auto" w:sz="4" w:space="0"/>
                    <w:left w:val="single" w:color="auto" w:sz="4" w:space="0"/>
                    <w:bottom w:val="single" w:color="auto" w:sz="4" w:space="0"/>
                    <w:right w:val="single" w:color="auto" w:sz="4" w:space="0"/>
                  </w:tcBorders>
                  <w:noWrap/>
                  <w:vAlign w:val="center"/>
                </w:tcPr>
                <w:p w14:paraId="1B5B849F">
                  <w:pPr>
                    <w:widowControl/>
                    <w:jc w:val="center"/>
                    <w:textAlignment w:val="center"/>
                    <w:rPr>
                      <w:color w:val="000000"/>
                    </w:rPr>
                  </w:pPr>
                  <w:r>
                    <w:rPr>
                      <w:color w:val="000000"/>
                      <w:kern w:val="0"/>
                      <w:lang w:bidi="ar"/>
                    </w:rPr>
                    <w:t xml:space="preserve">33.22 </w:t>
                  </w:r>
                </w:p>
              </w:tc>
            </w:tr>
            <w:tr w14:paraId="3BBE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90" w:type="pct"/>
                  <w:vMerge w:val="continue"/>
                  <w:tcBorders>
                    <w:top w:val="single" w:color="auto" w:sz="4" w:space="0"/>
                    <w:left w:val="single" w:color="auto" w:sz="4" w:space="0"/>
                    <w:bottom w:val="single" w:color="auto" w:sz="4" w:space="0"/>
                    <w:right w:val="single" w:color="auto" w:sz="4" w:space="0"/>
                  </w:tcBorders>
                  <w:vAlign w:val="center"/>
                </w:tcPr>
                <w:p w14:paraId="6F123D84">
                  <w:pPr>
                    <w:widowControl/>
                    <w:jc w:val="left"/>
                    <w:rPr>
                      <w:kern w:val="0"/>
                    </w:rPr>
                  </w:pPr>
                </w:p>
              </w:tc>
              <w:tc>
                <w:tcPr>
                  <w:tcW w:w="1363" w:type="pct"/>
                  <w:tcBorders>
                    <w:top w:val="single" w:color="auto" w:sz="4" w:space="0"/>
                    <w:left w:val="single" w:color="auto" w:sz="4" w:space="0"/>
                    <w:bottom w:val="single" w:color="auto" w:sz="4" w:space="0"/>
                    <w:right w:val="single" w:color="auto" w:sz="4" w:space="0"/>
                  </w:tcBorders>
                  <w:vAlign w:val="center"/>
                </w:tcPr>
                <w:p w14:paraId="5C67E28F">
                  <w:pPr>
                    <w:widowControl/>
                    <w:jc w:val="center"/>
                    <w:rPr>
                      <w:kern w:val="0"/>
                    </w:rPr>
                  </w:pPr>
                  <w:r>
                    <w:rPr>
                      <w:rFonts w:hint="eastAsia"/>
                      <w:kern w:val="0"/>
                    </w:rPr>
                    <w:t>园地</w:t>
                  </w:r>
                </w:p>
              </w:tc>
              <w:tc>
                <w:tcPr>
                  <w:tcW w:w="740" w:type="pct"/>
                  <w:tcBorders>
                    <w:top w:val="single" w:color="auto" w:sz="4" w:space="0"/>
                    <w:left w:val="single" w:color="auto" w:sz="4" w:space="0"/>
                    <w:bottom w:val="single" w:color="auto" w:sz="4" w:space="0"/>
                    <w:right w:val="single" w:color="auto" w:sz="4" w:space="0"/>
                  </w:tcBorders>
                  <w:vAlign w:val="center"/>
                </w:tcPr>
                <w:p w14:paraId="67A4FDB7">
                  <w:pPr>
                    <w:widowControl/>
                    <w:jc w:val="center"/>
                    <w:textAlignment w:val="center"/>
                  </w:pPr>
                  <w:r>
                    <w:rPr>
                      <w:color w:val="000000"/>
                      <w:kern w:val="0"/>
                      <w:lang w:bidi="ar"/>
                    </w:rPr>
                    <w:t xml:space="preserve">366.07 </w:t>
                  </w:r>
                </w:p>
              </w:tc>
              <w:tc>
                <w:tcPr>
                  <w:tcW w:w="1906" w:type="pct"/>
                  <w:tcBorders>
                    <w:top w:val="single" w:color="auto" w:sz="4" w:space="0"/>
                    <w:left w:val="single" w:color="auto" w:sz="4" w:space="0"/>
                    <w:bottom w:val="single" w:color="auto" w:sz="4" w:space="0"/>
                    <w:right w:val="single" w:color="auto" w:sz="4" w:space="0"/>
                  </w:tcBorders>
                  <w:noWrap/>
                  <w:vAlign w:val="center"/>
                </w:tcPr>
                <w:p w14:paraId="1D4626D1">
                  <w:pPr>
                    <w:widowControl/>
                    <w:jc w:val="center"/>
                    <w:textAlignment w:val="center"/>
                    <w:rPr>
                      <w:kern w:val="0"/>
                    </w:rPr>
                  </w:pPr>
                  <w:r>
                    <w:rPr>
                      <w:color w:val="000000"/>
                      <w:kern w:val="0"/>
                      <w:lang w:bidi="ar"/>
                    </w:rPr>
                    <w:t xml:space="preserve">13.00 </w:t>
                  </w:r>
                </w:p>
              </w:tc>
            </w:tr>
            <w:tr w14:paraId="7DDB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354" w:type="pct"/>
                  <w:gridSpan w:val="2"/>
                  <w:tcBorders>
                    <w:top w:val="single" w:color="auto" w:sz="4" w:space="0"/>
                    <w:left w:val="single" w:color="auto" w:sz="4" w:space="0"/>
                    <w:bottom w:val="single" w:color="auto" w:sz="4" w:space="0"/>
                    <w:right w:val="single" w:color="auto" w:sz="4" w:space="0"/>
                  </w:tcBorders>
                  <w:vAlign w:val="center"/>
                </w:tcPr>
                <w:p w14:paraId="77617DE7">
                  <w:pPr>
                    <w:widowControl/>
                    <w:jc w:val="center"/>
                    <w:rPr>
                      <w:kern w:val="0"/>
                    </w:rPr>
                  </w:pPr>
                  <w:r>
                    <w:rPr>
                      <w:rFonts w:hint="eastAsia"/>
                      <w:kern w:val="0"/>
                    </w:rPr>
                    <w:t>小计</w:t>
                  </w:r>
                </w:p>
              </w:tc>
              <w:tc>
                <w:tcPr>
                  <w:tcW w:w="740" w:type="pct"/>
                  <w:tcBorders>
                    <w:top w:val="single" w:color="auto" w:sz="4" w:space="0"/>
                    <w:left w:val="single" w:color="auto" w:sz="4" w:space="0"/>
                    <w:bottom w:val="single" w:color="auto" w:sz="4" w:space="0"/>
                    <w:right w:val="single" w:color="auto" w:sz="4" w:space="0"/>
                  </w:tcBorders>
                  <w:vAlign w:val="center"/>
                </w:tcPr>
                <w:p w14:paraId="6FB1608E">
                  <w:pPr>
                    <w:widowControl/>
                    <w:jc w:val="center"/>
                    <w:textAlignment w:val="center"/>
                  </w:pPr>
                  <w:r>
                    <w:rPr>
                      <w:kern w:val="0"/>
                      <w:lang w:bidi="ar"/>
                    </w:rPr>
                    <w:t>1301.69</w:t>
                  </w:r>
                </w:p>
              </w:tc>
              <w:tc>
                <w:tcPr>
                  <w:tcW w:w="1906" w:type="pct"/>
                  <w:tcBorders>
                    <w:top w:val="single" w:color="auto" w:sz="4" w:space="0"/>
                    <w:left w:val="single" w:color="auto" w:sz="4" w:space="0"/>
                    <w:bottom w:val="single" w:color="auto" w:sz="4" w:space="0"/>
                    <w:right w:val="single" w:color="auto" w:sz="4" w:space="0"/>
                  </w:tcBorders>
                  <w:noWrap/>
                  <w:vAlign w:val="center"/>
                </w:tcPr>
                <w:p w14:paraId="13D9209C">
                  <w:pPr>
                    <w:widowControl/>
                    <w:jc w:val="center"/>
                    <w:textAlignment w:val="center"/>
                  </w:pPr>
                  <w:r>
                    <w:rPr>
                      <w:kern w:val="0"/>
                      <w:lang w:bidi="ar"/>
                    </w:rPr>
                    <w:t>46.22</w:t>
                  </w:r>
                </w:p>
              </w:tc>
            </w:tr>
            <w:tr w14:paraId="1435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354" w:type="pct"/>
                  <w:gridSpan w:val="2"/>
                  <w:tcBorders>
                    <w:top w:val="single" w:color="auto" w:sz="4" w:space="0"/>
                    <w:left w:val="single" w:color="auto" w:sz="4" w:space="0"/>
                    <w:bottom w:val="single" w:color="auto" w:sz="4" w:space="0"/>
                    <w:right w:val="single" w:color="auto" w:sz="4" w:space="0"/>
                  </w:tcBorders>
                  <w:vAlign w:val="center"/>
                </w:tcPr>
                <w:p w14:paraId="52C725D5">
                  <w:pPr>
                    <w:widowControl/>
                    <w:jc w:val="center"/>
                    <w:rPr>
                      <w:kern w:val="0"/>
                    </w:rPr>
                  </w:pPr>
                  <w:r>
                    <w:rPr>
                      <w:rFonts w:hint="eastAsia"/>
                      <w:kern w:val="0"/>
                    </w:rPr>
                    <w:t>非植被</w:t>
                  </w:r>
                </w:p>
              </w:tc>
              <w:tc>
                <w:tcPr>
                  <w:tcW w:w="740" w:type="pct"/>
                  <w:tcBorders>
                    <w:top w:val="single" w:color="auto" w:sz="4" w:space="0"/>
                    <w:left w:val="single" w:color="auto" w:sz="4" w:space="0"/>
                    <w:bottom w:val="single" w:color="auto" w:sz="4" w:space="0"/>
                    <w:right w:val="single" w:color="auto" w:sz="4" w:space="0"/>
                  </w:tcBorders>
                  <w:vAlign w:val="center"/>
                </w:tcPr>
                <w:p w14:paraId="1077B547">
                  <w:pPr>
                    <w:widowControl/>
                    <w:jc w:val="center"/>
                    <w:textAlignment w:val="center"/>
                  </w:pPr>
                  <w:r>
                    <w:rPr>
                      <w:color w:val="000000"/>
                      <w:kern w:val="0"/>
                      <w:lang w:bidi="ar"/>
                    </w:rPr>
                    <w:t xml:space="preserve">113.15 </w:t>
                  </w:r>
                </w:p>
              </w:tc>
              <w:tc>
                <w:tcPr>
                  <w:tcW w:w="1906" w:type="pct"/>
                  <w:tcBorders>
                    <w:top w:val="single" w:color="auto" w:sz="4" w:space="0"/>
                    <w:left w:val="single" w:color="auto" w:sz="4" w:space="0"/>
                    <w:bottom w:val="single" w:color="auto" w:sz="4" w:space="0"/>
                    <w:right w:val="single" w:color="auto" w:sz="4" w:space="0"/>
                  </w:tcBorders>
                  <w:noWrap/>
                  <w:vAlign w:val="center"/>
                </w:tcPr>
                <w:p w14:paraId="549DC2AE">
                  <w:pPr>
                    <w:widowControl/>
                    <w:jc w:val="center"/>
                    <w:textAlignment w:val="center"/>
                  </w:pPr>
                  <w:r>
                    <w:rPr>
                      <w:color w:val="000000"/>
                      <w:kern w:val="0"/>
                      <w:lang w:bidi="ar"/>
                    </w:rPr>
                    <w:t xml:space="preserve">4.02 </w:t>
                  </w:r>
                </w:p>
              </w:tc>
            </w:tr>
            <w:tr w14:paraId="75280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354" w:type="pct"/>
                  <w:gridSpan w:val="2"/>
                  <w:tcBorders>
                    <w:top w:val="single" w:color="auto" w:sz="4" w:space="0"/>
                    <w:left w:val="single" w:color="auto" w:sz="4" w:space="0"/>
                    <w:bottom w:val="single" w:color="auto" w:sz="4" w:space="0"/>
                    <w:right w:val="single" w:color="auto" w:sz="4" w:space="0"/>
                  </w:tcBorders>
                  <w:vAlign w:val="center"/>
                </w:tcPr>
                <w:p w14:paraId="4015BC13">
                  <w:pPr>
                    <w:widowControl/>
                    <w:jc w:val="center"/>
                    <w:rPr>
                      <w:kern w:val="0"/>
                    </w:rPr>
                  </w:pPr>
                  <w:r>
                    <w:rPr>
                      <w:rFonts w:hint="eastAsia"/>
                      <w:kern w:val="0"/>
                    </w:rPr>
                    <w:t>合计</w:t>
                  </w:r>
                </w:p>
              </w:tc>
              <w:tc>
                <w:tcPr>
                  <w:tcW w:w="740" w:type="pct"/>
                  <w:tcBorders>
                    <w:top w:val="single" w:color="auto" w:sz="4" w:space="0"/>
                    <w:left w:val="single" w:color="auto" w:sz="4" w:space="0"/>
                    <w:bottom w:val="single" w:color="auto" w:sz="4" w:space="0"/>
                    <w:right w:val="single" w:color="auto" w:sz="4" w:space="0"/>
                  </w:tcBorders>
                  <w:vAlign w:val="center"/>
                </w:tcPr>
                <w:p w14:paraId="40BC7FAA">
                  <w:pPr>
                    <w:widowControl/>
                    <w:jc w:val="center"/>
                    <w:textAlignment w:val="center"/>
                  </w:pPr>
                  <w:r>
                    <w:rPr>
                      <w:kern w:val="0"/>
                      <w:lang w:bidi="ar"/>
                    </w:rPr>
                    <w:t>2815.57</w:t>
                  </w:r>
                </w:p>
              </w:tc>
              <w:tc>
                <w:tcPr>
                  <w:tcW w:w="1906" w:type="pct"/>
                  <w:tcBorders>
                    <w:top w:val="single" w:color="auto" w:sz="4" w:space="0"/>
                    <w:left w:val="single" w:color="auto" w:sz="4" w:space="0"/>
                    <w:bottom w:val="single" w:color="auto" w:sz="4" w:space="0"/>
                    <w:right w:val="single" w:color="auto" w:sz="4" w:space="0"/>
                  </w:tcBorders>
                  <w:noWrap/>
                  <w:vAlign w:val="center"/>
                </w:tcPr>
                <w:p w14:paraId="2EE95462">
                  <w:pPr>
                    <w:widowControl/>
                    <w:jc w:val="center"/>
                    <w:textAlignment w:val="bottom"/>
                    <w:rPr>
                      <w:kern w:val="0"/>
                    </w:rPr>
                  </w:pPr>
                  <w:r>
                    <w:rPr>
                      <w:kern w:val="0"/>
                      <w:lang w:bidi="ar"/>
                    </w:rPr>
                    <w:t>100.00</w:t>
                  </w:r>
                </w:p>
              </w:tc>
            </w:tr>
          </w:tbl>
          <w:p w14:paraId="09D954C7">
            <w:pPr>
              <w:autoSpaceDE w:val="0"/>
              <w:autoSpaceDN w:val="0"/>
              <w:spacing w:line="360" w:lineRule="auto"/>
              <w:ind w:firstLine="480" w:firstLineChars="200"/>
              <w:rPr>
                <w:snapToGrid w:val="0"/>
                <w:kern w:val="0"/>
                <w:sz w:val="24"/>
              </w:rPr>
            </w:pPr>
            <w:r>
              <w:rPr>
                <w:rFonts w:hint="eastAsia"/>
                <w:snapToGrid w:val="0"/>
                <w:kern w:val="0"/>
                <w:sz w:val="24"/>
              </w:rPr>
              <w:t>本项目涉及的滇东北乌蒙山湿润常绿阔叶林区（金沙江下游干热河谷区）区域内植被类型均为暖温性杂草草丛，物种组成少，群落结构简单，以羊茅为优势种，其他种类有芒种花、野拔子、拔毒散、穗序野古草、野青茅等本土常见物种，无国家级、云南省级重点保护野生动植物，也无珍稀濒危物种等分布。</w:t>
            </w:r>
          </w:p>
          <w:p w14:paraId="0F54D5AA">
            <w:pPr>
              <w:autoSpaceDE w:val="0"/>
              <w:autoSpaceDN w:val="0"/>
              <w:spacing w:line="360" w:lineRule="auto"/>
              <w:ind w:firstLine="480" w:firstLineChars="200"/>
              <w:rPr>
                <w:rFonts w:hint="eastAsia"/>
                <w:snapToGrid w:val="0"/>
                <w:kern w:val="0"/>
                <w:sz w:val="24"/>
              </w:rPr>
            </w:pPr>
            <w:r>
              <w:rPr>
                <w:rFonts w:hint="eastAsia"/>
                <w:snapToGrid w:val="0"/>
                <w:kern w:val="0"/>
                <w:sz w:val="24"/>
              </w:rPr>
              <w:t>④拟建项目对云南省生物多样性优先保护区的影响分析</w:t>
            </w:r>
          </w:p>
          <w:p w14:paraId="48FFD5BC">
            <w:pPr>
              <w:autoSpaceDE w:val="0"/>
              <w:autoSpaceDN w:val="0"/>
              <w:spacing w:line="360" w:lineRule="auto"/>
              <w:ind w:firstLine="480" w:firstLineChars="200"/>
              <w:rPr>
                <w:snapToGrid w:val="0"/>
                <w:kern w:val="0"/>
                <w:sz w:val="24"/>
              </w:rPr>
            </w:pPr>
            <w:r>
              <w:rPr>
                <w:rFonts w:hint="eastAsia"/>
                <w:snapToGrid w:val="0"/>
                <w:kern w:val="0"/>
                <w:sz w:val="24"/>
              </w:rPr>
              <w:t>如前述，</w:t>
            </w:r>
            <w:bookmarkStart w:id="135" w:name="OLE_LINK69"/>
            <w:r>
              <w:rPr>
                <w:rFonts w:hint="eastAsia"/>
                <w:snapToGrid w:val="0"/>
                <w:kern w:val="0"/>
                <w:sz w:val="24"/>
              </w:rPr>
              <w:t>叠图表明拟建工程的部分区域与云南省生物多样性优先保护区的“滇东北乌蒙山湿润常绿阔叶林区”重叠。拟建项目占用暖温性杂草草丛74.75hm</w:t>
            </w:r>
            <w:r>
              <w:rPr>
                <w:rFonts w:hint="eastAsia"/>
                <w:snapToGrid w:val="0"/>
                <w:kern w:val="0"/>
                <w:sz w:val="24"/>
                <w:vertAlign w:val="superscript"/>
              </w:rPr>
              <w:t>2</w:t>
            </w:r>
            <w:r>
              <w:rPr>
                <w:rFonts w:hint="eastAsia"/>
                <w:snapToGrid w:val="0"/>
                <w:kern w:val="0"/>
                <w:sz w:val="24"/>
              </w:rPr>
              <w:t>，其中涉及生物多样性优先保护区面积约22.35hm</w:t>
            </w:r>
            <w:r>
              <w:rPr>
                <w:rFonts w:hint="eastAsia"/>
                <w:snapToGrid w:val="0"/>
                <w:kern w:val="0"/>
                <w:sz w:val="24"/>
                <w:vertAlign w:val="superscript"/>
              </w:rPr>
              <w:t>2</w:t>
            </w:r>
            <w:r>
              <w:rPr>
                <w:rFonts w:hint="eastAsia"/>
                <w:snapToGrid w:val="0"/>
                <w:kern w:val="0"/>
                <w:sz w:val="24"/>
              </w:rPr>
              <w:t>，占用植被类型均为暖温性杂草草丛，占调查范围内该类型面积的3.57%，该类型受人为干扰影响较大，次生性强，生物多样性低，且不涉及占用其他自然植被，占用物种主要为羊茅、芒种花、野拔子、拔毒散、穗序野古草、野青茅等本土常见物种，不涉及国家级、云南省级重点保护野生动植物，无珍稀濒危物种等分布。另外，本项目的开发建设不涉及区内巧家五针松、攀枝花苏铁、朴菊木、林麝、云豹、白腹锦鸡等主要保护物种。综上，本项目建设对云南省生物多样性优先保护区的影响较小。</w:t>
            </w:r>
            <w:bookmarkEnd w:id="135"/>
          </w:p>
          <w:p w14:paraId="7C43C535">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w:t>
            </w:r>
            <w:r>
              <w:rPr>
                <w:b/>
                <w:bCs/>
                <w:snapToGrid w:val="0"/>
                <w:kern w:val="0"/>
                <w:sz w:val="24"/>
              </w:rPr>
              <w:t>7</w:t>
            </w:r>
            <w:r>
              <w:rPr>
                <w:rFonts w:hint="eastAsia"/>
                <w:b/>
                <w:bCs/>
                <w:snapToGrid w:val="0"/>
                <w:kern w:val="0"/>
                <w:sz w:val="24"/>
              </w:rPr>
              <w:t>）水土流失影响分析</w:t>
            </w:r>
          </w:p>
          <w:p w14:paraId="082D3B45">
            <w:pPr>
              <w:autoSpaceDE w:val="0"/>
              <w:autoSpaceDN w:val="0"/>
              <w:spacing w:line="360" w:lineRule="auto"/>
              <w:ind w:firstLine="480" w:firstLineChars="200"/>
              <w:rPr>
                <w:snapToGrid w:val="0"/>
                <w:kern w:val="0"/>
                <w:sz w:val="24"/>
              </w:rPr>
            </w:pPr>
            <w:r>
              <w:rPr>
                <w:rFonts w:hint="eastAsia"/>
                <w:snapToGrid w:val="0"/>
                <w:kern w:val="0"/>
                <w:sz w:val="24"/>
              </w:rPr>
              <w:t>光伏发电站项目建设过程中，项目征地范围内的地表将受到不同程度的破坏，局部地貌将发生较大的改变，且具有强度较大，影响范围及时段集中的特点，如不采取水土保持措施，会造成开挖形成裸露地面产生水土流失，很容易对区域土地生产力，区域生态环境、工程本身等造成不同程度的危害，结合项目水土保持方案，其具体表现为以下几个方面：</w:t>
            </w:r>
          </w:p>
          <w:p w14:paraId="29A7D985">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1）对区域生态环境的影响</w:t>
            </w:r>
          </w:p>
          <w:p w14:paraId="10B9D4EE">
            <w:pPr>
              <w:autoSpaceDE w:val="0"/>
              <w:autoSpaceDN w:val="0"/>
              <w:spacing w:line="360" w:lineRule="auto"/>
              <w:ind w:firstLine="480" w:firstLineChars="200"/>
              <w:rPr>
                <w:snapToGrid w:val="0"/>
                <w:kern w:val="0"/>
                <w:sz w:val="24"/>
              </w:rPr>
            </w:pPr>
            <w:r>
              <w:rPr>
                <w:rFonts w:hint="eastAsia"/>
                <w:snapToGrid w:val="0"/>
                <w:kern w:val="0"/>
                <w:sz w:val="24"/>
              </w:rPr>
              <w:t>工程施工期间，植被破坏地表裸露、地形地貌改变、土石方开挖堆存等可能导致水土流失发生。本项目光伏场区占地面积较大，尽管施工过程中不需对全场进行场地平整和大面积开挖回填，但光伏组件支架基础和箱变等基础施工时也依然将造成一定的地表扰动，形成裸露作业面；交通道路修建涉及较大量的土石方挖填作业，同时开挖的土石方还需在场内临时堆存，若施工过程中防治不当，均有可能新增水土流失量；</w:t>
            </w:r>
            <w:r>
              <w:rPr>
                <w:snapToGrid w:val="0"/>
                <w:kern w:val="0"/>
                <w:sz w:val="24"/>
              </w:rPr>
              <w:t>土方回填时，因堆积相对松散，还有可能发生局部沉陷、滑坡等问题，容易导致重力侵蚀。尤其是项目</w:t>
            </w:r>
            <w:r>
              <w:rPr>
                <w:rFonts w:hint="eastAsia"/>
                <w:snapToGrid w:val="0"/>
                <w:kern w:val="0"/>
                <w:sz w:val="24"/>
              </w:rPr>
              <w:t>部分</w:t>
            </w:r>
            <w:r>
              <w:rPr>
                <w:snapToGrid w:val="0"/>
                <w:kern w:val="0"/>
                <w:sz w:val="24"/>
              </w:rPr>
              <w:t>光伏场</w:t>
            </w:r>
            <w:r>
              <w:rPr>
                <w:rFonts w:hint="eastAsia"/>
                <w:snapToGrid w:val="0"/>
                <w:kern w:val="0"/>
                <w:sz w:val="24"/>
              </w:rPr>
              <w:t>地</w:t>
            </w:r>
            <w:r>
              <w:rPr>
                <w:snapToGrid w:val="0"/>
                <w:kern w:val="0"/>
                <w:sz w:val="24"/>
              </w:rPr>
              <w:t>位于山体斜坡地带，若不注意防护，产生的水土流失</w:t>
            </w:r>
            <w:r>
              <w:rPr>
                <w:rFonts w:hint="eastAsia"/>
                <w:snapToGrid w:val="0"/>
                <w:kern w:val="0"/>
                <w:sz w:val="24"/>
              </w:rPr>
              <w:t>将对下游地表水体造成较为明显的影响</w:t>
            </w:r>
            <w:r>
              <w:rPr>
                <w:snapToGrid w:val="0"/>
                <w:kern w:val="0"/>
                <w:sz w:val="24"/>
              </w:rPr>
              <w:t>。</w:t>
            </w:r>
          </w:p>
          <w:p w14:paraId="2C68AAB8">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2）水土流失预测及危害分析</w:t>
            </w:r>
          </w:p>
          <w:p w14:paraId="0430D319">
            <w:pPr>
              <w:autoSpaceDE w:val="0"/>
              <w:autoSpaceDN w:val="0"/>
              <w:spacing w:line="360" w:lineRule="auto"/>
              <w:ind w:firstLine="480" w:firstLineChars="200"/>
              <w:rPr>
                <w:snapToGrid w:val="0"/>
                <w:kern w:val="0"/>
                <w:sz w:val="24"/>
              </w:rPr>
            </w:pPr>
            <w:r>
              <w:rPr>
                <w:rFonts w:hint="eastAsia"/>
                <w:snapToGrid w:val="0"/>
                <w:kern w:val="0"/>
                <w:sz w:val="24"/>
              </w:rPr>
              <w:t>可能产生水土流失影响及危害主要表现为以下几个方面：①影响生态环境，若工程因施工所造成的水土流失不加以治理，会降低土地生产力，给周边植被的生长带来一定的影响；②下游泥沙量增加，周边排洪通道堵塞，水、土漫流污染周边农田和道路环境；③对周边村庄及区域生态环境影响，项目区周边仍有村民居住，施工过程中产生大量灰尘，灰尘会影响村民生活环境；④项目建设过程中大型车辆长期碾压附近道路，对路面造成破坏，影响周边村民通行。</w:t>
            </w:r>
          </w:p>
          <w:p w14:paraId="155E359A">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w:t>
            </w:r>
            <w:r>
              <w:rPr>
                <w:b/>
                <w:bCs/>
                <w:snapToGrid w:val="0"/>
                <w:kern w:val="0"/>
                <w:sz w:val="24"/>
              </w:rPr>
              <w:t>8</w:t>
            </w:r>
            <w:r>
              <w:rPr>
                <w:rFonts w:hint="eastAsia"/>
                <w:b/>
                <w:bCs/>
                <w:snapToGrid w:val="0"/>
                <w:kern w:val="0"/>
                <w:sz w:val="24"/>
              </w:rPr>
              <w:t>）对区域景观的影响分析</w:t>
            </w:r>
          </w:p>
          <w:p w14:paraId="2BC65177">
            <w:pPr>
              <w:autoSpaceDE w:val="0"/>
              <w:autoSpaceDN w:val="0"/>
              <w:spacing w:line="360" w:lineRule="auto"/>
              <w:ind w:firstLine="480" w:firstLineChars="200"/>
              <w:rPr>
                <w:snapToGrid w:val="0"/>
                <w:kern w:val="0"/>
                <w:sz w:val="24"/>
              </w:rPr>
            </w:pPr>
            <w:r>
              <w:rPr>
                <w:rFonts w:hint="eastAsia"/>
                <w:snapToGrid w:val="0"/>
                <w:kern w:val="0"/>
                <w:sz w:val="24"/>
              </w:rPr>
              <w:t>根据现场调查，本项目不涉及自然保护区、风景名胜区等环境敏感区，也不涉及旅游景区、旅游规划区等。项目所在区域景观类型属山地自然景观，无可供观赏的特殊旅游景点。项目施工期对景观的主要影响是箱变箱基础、集电线路杆塔塔基等永久占地占用现有斑块，使局部地表植被消失，导致土地使用功能和地貌产生变化，减少原有生态景观中的植被面积；光伏阵列临时用地、临时生活生产设施及仓库用地、方阵区道路临时用地等临时占地区域，会导致地表植被不同程度的破坏，在短期内形成与原有生态景观不协调的“裸地”或“疮疤”斑块，对整体生态景观形成暂时不和谐的视觉效果。</w:t>
            </w:r>
          </w:p>
          <w:p w14:paraId="0B703140">
            <w:pPr>
              <w:autoSpaceDE w:val="0"/>
              <w:autoSpaceDN w:val="0"/>
              <w:spacing w:line="360" w:lineRule="auto"/>
              <w:ind w:firstLine="480" w:firstLineChars="200"/>
              <w:rPr>
                <w:snapToGrid w:val="0"/>
                <w:kern w:val="0"/>
                <w:sz w:val="24"/>
              </w:rPr>
            </w:pPr>
            <w:r>
              <w:rPr>
                <w:rFonts w:hint="eastAsia"/>
                <w:snapToGrid w:val="0"/>
                <w:kern w:val="0"/>
                <w:sz w:val="24"/>
              </w:rPr>
              <w:t>本项目场址区域主要为</w:t>
            </w:r>
            <w:r>
              <w:rPr>
                <w:snapToGrid w:val="0"/>
                <w:kern w:val="0"/>
                <w:sz w:val="24"/>
              </w:rPr>
              <w:t>草地</w:t>
            </w:r>
            <w:r>
              <w:rPr>
                <w:rFonts w:hint="eastAsia"/>
                <w:snapToGrid w:val="0"/>
                <w:kern w:val="0"/>
                <w:sz w:val="24"/>
              </w:rPr>
              <w:t>，在当地广泛分布，工程占用的斑块也是评价区内常见的斑块类型，施工影响的斑块面积较小且分散，影响程度有限，且本项目施工期短，施工干扰强度在区域景观体系的承受范围之内。通过采取工程防护、临时占地区域植被恢复等措施，本项目建设对区域景观的影响较小。</w:t>
            </w:r>
          </w:p>
          <w:p w14:paraId="55995AC0">
            <w:pPr>
              <w:autoSpaceDE w:val="0"/>
              <w:autoSpaceDN w:val="0"/>
              <w:spacing w:line="360" w:lineRule="auto"/>
              <w:ind w:firstLine="480" w:firstLineChars="200"/>
              <w:rPr>
                <w:rFonts w:hint="eastAsia"/>
                <w:snapToGrid w:val="0"/>
                <w:kern w:val="0"/>
                <w:sz w:val="24"/>
              </w:rPr>
            </w:pPr>
            <w:r>
              <w:rPr>
                <w:rFonts w:hint="eastAsia"/>
                <w:snapToGrid w:val="0"/>
                <w:kern w:val="0"/>
                <w:sz w:val="24"/>
              </w:rPr>
              <w:t>项目调查区域内未发现珍稀濒危及国家级、云南省级重点保护的野生动植物，其建设不会改变区域内野生植物类型和植被多样性，不影响区域内野生动物的生存环境。工程所在区域不涉及风景名胜区、自然保护区，也不涉及旅游通道等设施，项目施工期对区域景观的影响较小。</w:t>
            </w:r>
          </w:p>
          <w:p w14:paraId="7E29F84F">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w:t>
            </w:r>
            <w:r>
              <w:rPr>
                <w:b/>
                <w:bCs/>
                <w:snapToGrid w:val="0"/>
                <w:kern w:val="0"/>
                <w:sz w:val="24"/>
              </w:rPr>
              <w:t>9</w:t>
            </w:r>
            <w:r>
              <w:rPr>
                <w:rFonts w:hint="eastAsia"/>
                <w:b/>
                <w:bCs/>
                <w:snapToGrid w:val="0"/>
                <w:kern w:val="0"/>
                <w:sz w:val="24"/>
              </w:rPr>
              <w:t>）施工期生态影响结论</w:t>
            </w:r>
          </w:p>
          <w:p w14:paraId="4EFF8BFC">
            <w:pPr>
              <w:spacing w:line="360" w:lineRule="auto"/>
              <w:ind w:firstLine="480" w:firstLineChars="200"/>
              <w:rPr>
                <w:snapToGrid w:val="0"/>
                <w:kern w:val="0"/>
              </w:rPr>
            </w:pPr>
            <w:r>
              <w:rPr>
                <w:rFonts w:ascii="宋体" w:hAnsi="宋体" w:cs="宋体"/>
                <w:snapToGrid w:val="0"/>
                <w:kern w:val="0"/>
                <w:sz w:val="24"/>
              </w:rPr>
              <w:t>综合上述分析，受工程影响的植被类型、植物种类</w:t>
            </w:r>
            <w:r>
              <w:rPr>
                <w:rFonts w:hint="eastAsia" w:ascii="宋体" w:hAnsi="宋体" w:cs="宋体"/>
                <w:snapToGrid w:val="0"/>
                <w:kern w:val="0"/>
                <w:sz w:val="24"/>
              </w:rPr>
              <w:t>及</w:t>
            </w:r>
            <w:r>
              <w:rPr>
                <w:rFonts w:ascii="宋体" w:hAnsi="宋体" w:cs="宋体"/>
                <w:snapToGrid w:val="0"/>
                <w:kern w:val="0"/>
                <w:sz w:val="24"/>
              </w:rPr>
              <w:t>陆栖</w:t>
            </w:r>
            <w:r>
              <w:rPr>
                <w:rFonts w:hint="eastAsia" w:ascii="宋体" w:hAnsi="宋体" w:cs="宋体"/>
                <w:snapToGrid w:val="0"/>
                <w:kern w:val="0"/>
                <w:sz w:val="24"/>
              </w:rPr>
              <w:t>脊椎</w:t>
            </w:r>
            <w:r>
              <w:rPr>
                <w:rFonts w:ascii="宋体" w:hAnsi="宋体" w:cs="宋体"/>
                <w:snapToGrid w:val="0"/>
                <w:kern w:val="0"/>
                <w:sz w:val="24"/>
              </w:rPr>
              <w:t>动物物种在项目区内外分布，工程建设占地不会对植被造成毁灭性的破坏，也不会造成某个物种的濒危和灭绝，更不会造成任何物种的消失。其不利影响仅限于局部，不会随时间推移而扩大。在采取相应的生态环境保护措施后，项目建设对区域植物、植被、陆栖脊椎动物、土地利用、景观的影响较小。</w:t>
            </w:r>
          </w:p>
          <w:p w14:paraId="491F6B1C">
            <w:pPr>
              <w:autoSpaceDE w:val="0"/>
              <w:autoSpaceDN w:val="0"/>
              <w:spacing w:line="360" w:lineRule="auto"/>
              <w:rPr>
                <w:b/>
                <w:bCs/>
                <w:snapToGrid w:val="0"/>
                <w:kern w:val="0"/>
                <w:sz w:val="24"/>
              </w:rPr>
            </w:pPr>
            <w:r>
              <w:rPr>
                <w:rFonts w:hint="eastAsia"/>
                <w:b/>
                <w:bCs/>
                <w:sz w:val="24"/>
                <w:szCs w:val="24"/>
              </w:rPr>
              <w:t xml:space="preserve">4.1.3 </w:t>
            </w:r>
            <w:r>
              <w:rPr>
                <w:rFonts w:hint="eastAsia"/>
                <w:b/>
                <w:bCs/>
                <w:snapToGrid w:val="0"/>
                <w:kern w:val="0"/>
                <w:sz w:val="24"/>
              </w:rPr>
              <w:t>施工期污染影响分析</w:t>
            </w:r>
          </w:p>
          <w:p w14:paraId="41BDDE42">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（1）施工期大气环境影响分析</w:t>
            </w:r>
          </w:p>
          <w:p w14:paraId="7627B8A5">
            <w:pPr>
              <w:spacing w:line="360" w:lineRule="auto"/>
              <w:ind w:firstLine="480" w:firstLineChars="200"/>
              <w:jc w:val="left"/>
              <w:rPr>
                <w:bCs/>
                <w:snapToGrid w:val="0"/>
                <w:kern w:val="0"/>
                <w:sz w:val="24"/>
              </w:rPr>
            </w:pPr>
            <w:r>
              <w:rPr>
                <w:rFonts w:hint="eastAsia"/>
                <w:bCs/>
                <w:snapToGrid w:val="0"/>
                <w:kern w:val="0"/>
                <w:sz w:val="24"/>
              </w:rPr>
              <w:t>项目施工期大气环境影响主要为施工作业、施工物料运输扬尘影响及燃油废气影响。</w:t>
            </w:r>
            <w:bookmarkStart w:id="136" w:name="OLE_LINK90"/>
            <w:r>
              <w:rPr>
                <w:rFonts w:hint="eastAsia"/>
                <w:bCs/>
                <w:snapToGrid w:val="0"/>
                <w:kern w:val="0"/>
                <w:sz w:val="24"/>
              </w:rPr>
              <w:t>临建设施</w:t>
            </w:r>
            <w:bookmarkEnd w:id="136"/>
            <w:r>
              <w:rPr>
                <w:rFonts w:hint="eastAsia"/>
                <w:bCs/>
                <w:snapToGrid w:val="0"/>
                <w:kern w:val="0"/>
                <w:sz w:val="24"/>
              </w:rPr>
              <w:t>主要位于L</w:t>
            </w:r>
            <w:r>
              <w:rPr>
                <w:bCs/>
                <w:snapToGrid w:val="0"/>
                <w:kern w:val="0"/>
                <w:sz w:val="24"/>
              </w:rPr>
              <w:t>12</w:t>
            </w:r>
            <w:r>
              <w:rPr>
                <w:rFonts w:hint="eastAsia"/>
                <w:bCs/>
                <w:snapToGrid w:val="0"/>
                <w:kern w:val="0"/>
                <w:sz w:val="24"/>
              </w:rPr>
              <w:t>和L</w:t>
            </w:r>
            <w:r>
              <w:rPr>
                <w:bCs/>
                <w:snapToGrid w:val="0"/>
                <w:kern w:val="0"/>
                <w:sz w:val="24"/>
              </w:rPr>
              <w:t>13</w:t>
            </w:r>
            <w:r>
              <w:rPr>
                <w:rFonts w:hint="eastAsia"/>
                <w:bCs/>
                <w:snapToGrid w:val="0"/>
                <w:kern w:val="0"/>
                <w:sz w:val="24"/>
              </w:rPr>
              <w:t>阵列区。综合仓库用于电池组件、支架、机电设备等堆放，综合加工厂用于钢结构加工，无废气产生。</w:t>
            </w:r>
          </w:p>
          <w:p w14:paraId="04840F19">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1）施工作业扬尘</w:t>
            </w:r>
          </w:p>
          <w:p w14:paraId="37AE7217">
            <w:pPr>
              <w:autoSpaceDE w:val="0"/>
              <w:autoSpaceDN w:val="0"/>
              <w:spacing w:line="360" w:lineRule="auto"/>
              <w:ind w:firstLine="480" w:firstLineChars="200"/>
              <w:rPr>
                <w:rFonts w:hint="eastAsia"/>
                <w:bCs/>
                <w:snapToGrid w:val="0"/>
                <w:kern w:val="0"/>
                <w:sz w:val="24"/>
                <w:szCs w:val="24"/>
              </w:rPr>
            </w:pPr>
            <w:r>
              <w:rPr>
                <w:bCs/>
                <w:snapToGrid w:val="0"/>
                <w:kern w:val="0"/>
                <w:sz w:val="24"/>
              </w:rPr>
              <w:t>施工现场近地面的粉尘量受施工机械、施工方式、管理方式及天气、地表土质等多种因素影响</w:t>
            </w:r>
            <w:r>
              <w:rPr>
                <w:rFonts w:hint="eastAsia"/>
                <w:bCs/>
                <w:snapToGrid w:val="0"/>
                <w:kern w:val="0"/>
                <w:sz w:val="24"/>
              </w:rPr>
              <w:t>。施工起尘量的多少随风力的大小、物料的干湿程度、作业方式等因素而变化，影响可达150m~300m。根据北京环境科学研究院对建筑工程施工工地的扬尘测定结果，在风速为2.4m/s时，建筑施工扬尘的影响范围为下风向150m之内，被影响地区的TSP浓度日平均值为0.491mg/m</w:t>
            </w:r>
            <w:r>
              <w:rPr>
                <w:rFonts w:hint="eastAsia"/>
                <w:bCs/>
                <w:snapToGrid w:val="0"/>
                <w:kern w:val="0"/>
                <w:sz w:val="24"/>
                <w:vertAlign w:val="superscript"/>
              </w:rPr>
              <w:t>3</w:t>
            </w:r>
            <w:r>
              <w:rPr>
                <w:rFonts w:hint="eastAsia"/>
                <w:bCs/>
                <w:snapToGrid w:val="0"/>
                <w:kern w:val="0"/>
                <w:sz w:val="24"/>
              </w:rPr>
              <w:t>，为上风向对照点的1.5倍，相当于环境空气二级标准的1.6倍。在干燥和风速较大的天气情况下，施工现场近地面扬尘浓度会超过环境空气二级标准中日平均值的1~40倍。</w:t>
            </w:r>
            <w:r>
              <w:rPr>
                <w:bCs/>
                <w:snapToGrid w:val="0"/>
                <w:kern w:val="0"/>
                <w:sz w:val="24"/>
                <w:szCs w:val="24"/>
              </w:rPr>
              <w:t>对光伏阵列施工区场地进行</w:t>
            </w:r>
            <w:r>
              <w:rPr>
                <w:rFonts w:hint="eastAsia"/>
                <w:bCs/>
                <w:snapToGrid w:val="0"/>
                <w:kern w:val="0"/>
                <w:sz w:val="24"/>
              </w:rPr>
              <w:t>粉状物料覆盖篷布、每日</w:t>
            </w:r>
            <w:r>
              <w:rPr>
                <w:bCs/>
                <w:snapToGrid w:val="0"/>
                <w:kern w:val="0"/>
                <w:sz w:val="24"/>
                <w:szCs w:val="24"/>
              </w:rPr>
              <w:t>洒水降尘</w:t>
            </w:r>
            <w:r>
              <w:rPr>
                <w:rFonts w:hint="eastAsia"/>
                <w:bCs/>
                <w:snapToGrid w:val="0"/>
                <w:kern w:val="0"/>
                <w:sz w:val="24"/>
                <w:szCs w:val="24"/>
              </w:rPr>
              <w:t>4~5次</w:t>
            </w:r>
            <w:r>
              <w:rPr>
                <w:bCs/>
                <w:snapToGrid w:val="0"/>
                <w:kern w:val="0"/>
                <w:sz w:val="24"/>
                <w:szCs w:val="24"/>
              </w:rPr>
              <w:t>、围挡作业等措施后，可有效减少扬尘产生；</w:t>
            </w:r>
            <w:r>
              <w:rPr>
                <w:rFonts w:hint="eastAsia"/>
                <w:bCs/>
                <w:snapToGrid w:val="0"/>
                <w:kern w:val="0"/>
                <w:sz w:val="24"/>
                <w:szCs w:val="24"/>
              </w:rPr>
              <w:t>同时严禁在大风天进行施工、土石方及时回填压实等措施，可明显降低施工扬尘对敏感目标的影响。</w:t>
            </w:r>
          </w:p>
          <w:p w14:paraId="3F5262BA">
            <w:pPr>
              <w:spacing w:line="360" w:lineRule="auto"/>
              <w:ind w:firstLine="480" w:firstLineChars="200"/>
              <w:rPr>
                <w:bCs/>
                <w:snapToGrid w:val="0"/>
                <w:kern w:val="0"/>
                <w:sz w:val="24"/>
              </w:rPr>
            </w:pPr>
            <w:r>
              <w:rPr>
                <w:rFonts w:hint="eastAsia"/>
                <w:bCs/>
                <w:snapToGrid w:val="0"/>
                <w:kern w:val="0"/>
                <w:sz w:val="24"/>
                <w:szCs w:val="24"/>
              </w:rPr>
              <w:t>总体而言，项目</w:t>
            </w:r>
            <w:r>
              <w:rPr>
                <w:rFonts w:hint="eastAsia"/>
                <w:bCs/>
                <w:snapToGrid w:val="0"/>
                <w:kern w:val="0"/>
                <w:sz w:val="24"/>
              </w:rPr>
              <w:t>施工场地扬尘产生仅在施工期产生，施工结束后施工场地扬尘随之消失。通过采取扬尘防治措施后，项目施工场地扬尘对周围环境空气影响较小。</w:t>
            </w:r>
          </w:p>
          <w:p w14:paraId="139F1D39">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2）物料运输扬尘</w:t>
            </w:r>
          </w:p>
          <w:p w14:paraId="02090C01">
            <w:pPr>
              <w:spacing w:line="360" w:lineRule="auto"/>
              <w:ind w:firstLine="480" w:firstLineChars="200"/>
              <w:rPr>
                <w:rFonts w:hint="eastAsia"/>
                <w:snapToGrid w:val="0"/>
                <w:kern w:val="0"/>
                <w:sz w:val="24"/>
              </w:rPr>
            </w:pPr>
            <w:r>
              <w:rPr>
                <w:bCs/>
                <w:snapToGrid w:val="0"/>
                <w:kern w:val="0"/>
                <w:sz w:val="24"/>
              </w:rPr>
              <w:t>进出施工场地的运输车辆也会造成施工作业场所近地面粉尘浓度升高，运输扬尘的产生量与车型、车速、车流量、风速、道路表面积尘量、尘土湿度等因素有关。运输车辆引起的扬尘对路边30m范围内影响较大，而且形成线性污染。相关资料表明，在同样路面清洁程度条件下，车速越快，扬尘量越大；而在同样车速情况下，路面越脏，扬尘量越大。路边的TSP浓度可达10mg/m</w:t>
            </w:r>
            <w:r>
              <w:rPr>
                <w:bCs/>
                <w:snapToGrid w:val="0"/>
                <w:kern w:val="0"/>
                <w:sz w:val="24"/>
                <w:vertAlign w:val="superscript"/>
              </w:rPr>
              <w:t>3</w:t>
            </w:r>
            <w:r>
              <w:rPr>
                <w:bCs/>
                <w:snapToGrid w:val="0"/>
                <w:kern w:val="0"/>
                <w:sz w:val="24"/>
              </w:rPr>
              <w:t>以上，一般浓度范围在1.5</w:t>
            </w:r>
            <w:r>
              <w:rPr>
                <w:rFonts w:hint="eastAsia"/>
                <w:bCs/>
                <w:snapToGrid w:val="0"/>
                <w:kern w:val="0"/>
                <w:sz w:val="24"/>
              </w:rPr>
              <w:t>~</w:t>
            </w:r>
            <w:r>
              <w:rPr>
                <w:bCs/>
                <w:snapToGrid w:val="0"/>
                <w:kern w:val="0"/>
                <w:sz w:val="24"/>
              </w:rPr>
              <w:t>30mg/m</w:t>
            </w:r>
            <w:r>
              <w:rPr>
                <w:bCs/>
                <w:snapToGrid w:val="0"/>
                <w:kern w:val="0"/>
                <w:sz w:val="24"/>
                <w:vertAlign w:val="superscript"/>
              </w:rPr>
              <w:t>3</w:t>
            </w:r>
            <w:r>
              <w:rPr>
                <w:bCs/>
                <w:snapToGrid w:val="0"/>
                <w:kern w:val="0"/>
                <w:sz w:val="24"/>
              </w:rPr>
              <w:t>。此外，物料拉运或堆放过程中，车辆货斗遮盖不严密也会产生粉尘污染，项目部分运输道路穿过村庄，运输途中产生的扬尘会对居民产生一定影响。</w:t>
            </w:r>
            <w:r>
              <w:rPr>
                <w:rFonts w:hint="eastAsia"/>
                <w:snapToGrid w:val="0"/>
                <w:kern w:val="0"/>
                <w:sz w:val="24"/>
              </w:rPr>
              <w:t>环评</w:t>
            </w:r>
            <w:r>
              <w:rPr>
                <w:snapToGrid w:val="0"/>
                <w:kern w:val="0"/>
                <w:sz w:val="24"/>
              </w:rPr>
              <w:t>要求项目运输车辆应采用篷布进行遮盖，施工期定期对运输道路进行清扫保洁，场内道路修建应及时压实并完成路面石渣铺设，同时定时开展运输道路洒水降尘等工作</w:t>
            </w:r>
            <w:r>
              <w:rPr>
                <w:rFonts w:hint="eastAsia"/>
                <w:snapToGrid w:val="0"/>
                <w:kern w:val="0"/>
                <w:sz w:val="24"/>
              </w:rPr>
              <w:t>。</w:t>
            </w:r>
          </w:p>
          <w:p w14:paraId="2B3A6274">
            <w:pPr>
              <w:spacing w:line="360" w:lineRule="auto"/>
              <w:ind w:firstLine="480" w:firstLineChars="200"/>
              <w:rPr>
                <w:bCs/>
                <w:snapToGrid w:val="0"/>
                <w:kern w:val="0"/>
                <w:sz w:val="24"/>
              </w:rPr>
            </w:pPr>
            <w:r>
              <w:rPr>
                <w:rFonts w:hint="eastAsia"/>
                <w:snapToGrid w:val="0"/>
                <w:kern w:val="0"/>
                <w:sz w:val="24"/>
              </w:rPr>
              <w:t>总体而言，</w:t>
            </w:r>
            <w:r>
              <w:rPr>
                <w:bCs/>
                <w:snapToGrid w:val="0"/>
                <w:kern w:val="0"/>
                <w:sz w:val="24"/>
              </w:rPr>
              <w:t>物料运输扬尘产生仅在施工期产生，施工结束后随之消失。</w:t>
            </w:r>
            <w:r>
              <w:rPr>
                <w:rFonts w:hint="eastAsia"/>
                <w:bCs/>
                <w:snapToGrid w:val="0"/>
                <w:kern w:val="0"/>
                <w:sz w:val="24"/>
              </w:rPr>
              <w:t>通过采取运输扬尘防治措施后，</w:t>
            </w:r>
            <w:r>
              <w:rPr>
                <w:bCs/>
                <w:snapToGrid w:val="0"/>
                <w:kern w:val="0"/>
                <w:sz w:val="24"/>
              </w:rPr>
              <w:t>项目物料运输扬尘对周围环境空气影响较小。</w:t>
            </w:r>
          </w:p>
          <w:p w14:paraId="38F2D456">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3）汽车尾气及机械废气</w:t>
            </w:r>
          </w:p>
          <w:p w14:paraId="6D478A11">
            <w:pPr>
              <w:spacing w:line="360" w:lineRule="auto"/>
              <w:ind w:firstLine="480" w:firstLineChars="200"/>
              <w:rPr>
                <w:bCs/>
                <w:sz w:val="24"/>
              </w:rPr>
            </w:pPr>
            <w:r>
              <w:rPr>
                <w:rFonts w:hint="eastAsia"/>
                <w:bCs/>
                <w:sz w:val="24"/>
              </w:rPr>
              <w:t>本</w:t>
            </w:r>
            <w:r>
              <w:rPr>
                <w:bCs/>
                <w:sz w:val="24"/>
              </w:rPr>
              <w:t>项目施工期废气主要来源于运输车辆及其它燃油机械施工时产生的</w:t>
            </w:r>
            <w:r>
              <w:rPr>
                <w:rFonts w:hint="eastAsia"/>
                <w:bCs/>
                <w:sz w:val="24"/>
              </w:rPr>
              <w:t>废</w:t>
            </w:r>
            <w:r>
              <w:rPr>
                <w:bCs/>
                <w:sz w:val="24"/>
              </w:rPr>
              <w:t>气，其中的污染物主要有烟尘、NO</w:t>
            </w:r>
            <w:r>
              <w:rPr>
                <w:bCs/>
                <w:sz w:val="24"/>
                <w:vertAlign w:val="subscript"/>
              </w:rPr>
              <w:t>x</w:t>
            </w:r>
            <w:r>
              <w:rPr>
                <w:bCs/>
                <w:sz w:val="24"/>
              </w:rPr>
              <w:t>、CO及CH</w:t>
            </w:r>
            <w:r>
              <w:rPr>
                <w:bCs/>
                <w:sz w:val="24"/>
                <w:vertAlign w:val="subscript"/>
              </w:rPr>
              <w:t>x</w:t>
            </w:r>
            <w:r>
              <w:rPr>
                <w:bCs/>
                <w:sz w:val="24"/>
              </w:rPr>
              <w:t>等，会对环境空气造成一定影响。施工机械废气具有间断性产生、产生量较小、产生点相对分散、易被稀释扩散等特点。项目区处于半山坡地形，</w:t>
            </w:r>
            <w:r>
              <w:rPr>
                <w:rFonts w:hint="eastAsia"/>
                <w:bCs/>
                <w:sz w:val="24"/>
              </w:rPr>
              <w:t>周边开阔</w:t>
            </w:r>
            <w:r>
              <w:rPr>
                <w:bCs/>
                <w:sz w:val="24"/>
              </w:rPr>
              <w:t>，有利于大气扩散，一般情况下，施工机械和运输车辆所产生的废气污染在空气中经自然扩散和稀释后，对项目区域的空气环境质量影响不大。</w:t>
            </w:r>
          </w:p>
          <w:p w14:paraId="168B0FAA">
            <w:pPr>
              <w:autoSpaceDE w:val="0"/>
              <w:autoSpaceDN w:val="0"/>
              <w:spacing w:line="360" w:lineRule="auto"/>
              <w:ind w:firstLine="482" w:firstLineChars="200"/>
              <w:rPr>
                <w:rFonts w:hint="eastAsia"/>
                <w:b/>
                <w:bCs/>
                <w:snapToGrid w:val="0"/>
                <w:kern w:val="0"/>
                <w:sz w:val="24"/>
              </w:rPr>
            </w:pPr>
            <w:r>
              <w:rPr>
                <w:b/>
                <w:bCs/>
                <w:snapToGrid w:val="0"/>
                <w:kern w:val="0"/>
                <w:sz w:val="24"/>
              </w:rPr>
              <w:t>4</w:t>
            </w:r>
            <w:r>
              <w:rPr>
                <w:rFonts w:hint="eastAsia"/>
                <w:b/>
                <w:bCs/>
                <w:snapToGrid w:val="0"/>
                <w:kern w:val="0"/>
                <w:sz w:val="24"/>
              </w:rPr>
              <w:t>）施工期扬尘对大气环境保护目标的影响</w:t>
            </w:r>
          </w:p>
          <w:p w14:paraId="1FF74332">
            <w:pPr>
              <w:pStyle w:val="212"/>
              <w:ind w:firstLine="480"/>
            </w:pPr>
            <w:r>
              <w:t>本项目</w:t>
            </w:r>
            <w:r>
              <w:rPr>
                <w:rFonts w:hint="eastAsia"/>
                <w:lang w:val="en-US"/>
              </w:rPr>
              <w:t>5</w:t>
            </w:r>
            <w:r>
              <w:t>00m范围内分布</w:t>
            </w:r>
            <w:r>
              <w:rPr>
                <w:rFonts w:hint="eastAsia"/>
              </w:rPr>
              <w:t>有</w:t>
            </w:r>
            <w:r>
              <w:rPr>
                <w:rFonts w:hint="eastAsia"/>
                <w:lang w:val="en-US"/>
              </w:rPr>
              <w:t>菠萝塘居民点等2</w:t>
            </w:r>
            <w:r>
              <w:rPr>
                <w:lang w:val="en-US"/>
              </w:rPr>
              <w:t>8</w:t>
            </w:r>
            <w:r>
              <w:rPr>
                <w:rFonts w:hint="eastAsia"/>
                <w:lang w:val="en-US"/>
              </w:rPr>
              <w:t>个环境保护目标，</w:t>
            </w:r>
            <w:r>
              <w:rPr>
                <w:rFonts w:hint="eastAsia"/>
              </w:rPr>
              <w:t>项目施工期</w:t>
            </w:r>
            <w:r>
              <w:rPr>
                <w:rFonts w:hint="eastAsia"/>
                <w:lang w:val="en-US"/>
              </w:rPr>
              <w:t>产生的</w:t>
            </w:r>
            <w:r>
              <w:rPr>
                <w:rFonts w:hint="eastAsia"/>
              </w:rPr>
              <w:t>扬尘会对周边的保护目标造成一定影响，但此影响是短期的，随着施工期的结束，影响也会结束。因此在施工时对场地靠近保护目标的方向设置洒水降尘，并对会产生扬尘的堆场等进行苫盖。经采取以上措施后，施工期扬尘对周边居民影响不大。因此施工期废气对项目区域的空气环境质量影响不大。</w:t>
            </w:r>
          </w:p>
          <w:p w14:paraId="304E0B2F">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（2）施工期地表水环境影响分析</w:t>
            </w:r>
          </w:p>
          <w:p w14:paraId="0BEC5873">
            <w:pPr>
              <w:spacing w:line="360" w:lineRule="auto"/>
              <w:ind w:firstLine="480" w:firstLineChars="200"/>
              <w:rPr>
                <w:snapToGrid w:val="0"/>
                <w:kern w:val="0"/>
                <w:sz w:val="24"/>
              </w:rPr>
            </w:pPr>
            <w:r>
              <w:rPr>
                <w:rFonts w:hint="eastAsia"/>
                <w:snapToGrid w:val="0"/>
                <w:kern w:val="0"/>
                <w:sz w:val="24"/>
              </w:rPr>
              <w:t>项目施工期废水主要包括</w:t>
            </w:r>
            <w:r>
              <w:rPr>
                <w:rFonts w:ascii="宋体" w:hAnsi="宋体" w:cs="宋体"/>
                <w:spacing w:val="-2"/>
                <w:sz w:val="24"/>
                <w:szCs w:val="24"/>
              </w:rPr>
              <w:t>施工废</w:t>
            </w:r>
            <w:r>
              <w:rPr>
                <w:rFonts w:hint="eastAsia"/>
                <w:snapToGrid w:val="0"/>
                <w:kern w:val="0"/>
                <w:sz w:val="24"/>
              </w:rPr>
              <w:t>水、施工人员生活污水以及雨季地表径流。临建设施建设不产生施工废水。</w:t>
            </w:r>
          </w:p>
          <w:p w14:paraId="6226CA66">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1）施工废水</w:t>
            </w:r>
          </w:p>
          <w:p w14:paraId="4DE7C157">
            <w:pPr>
              <w:adjustRightInd w:val="0"/>
              <w:snapToGrid w:val="0"/>
              <w:spacing w:line="360" w:lineRule="auto"/>
              <w:ind w:firstLine="480" w:firstLineChars="200"/>
              <w:rPr>
                <w:rFonts w:hint="eastAsia"/>
                <w:snapToGrid w:val="0"/>
                <w:kern w:val="0"/>
                <w:sz w:val="24"/>
              </w:rPr>
            </w:pPr>
            <w:r>
              <w:rPr>
                <w:rFonts w:hint="eastAsia"/>
                <w:snapToGrid w:val="0"/>
                <w:kern w:val="0"/>
                <w:sz w:val="24"/>
              </w:rPr>
              <w:t>本项目不设砂石料加工系统，混凝土使用商品混凝土，施工废水主要为混凝土养护废水、工具清洗废水等。废水中所含污染物主要为SS，浓度约为3000mg/L左右，参照《云南省地方标准用水定额》（DB 53/T168-20</w:t>
            </w:r>
            <w:r>
              <w:rPr>
                <w:snapToGrid w:val="0"/>
                <w:kern w:val="0"/>
                <w:sz w:val="24"/>
              </w:rPr>
              <w:t>26</w:t>
            </w:r>
            <w:r>
              <w:rPr>
                <w:rFonts w:hint="eastAsia"/>
                <w:snapToGrid w:val="0"/>
                <w:kern w:val="0"/>
                <w:sz w:val="24"/>
              </w:rPr>
              <w:t>）房屋建筑业用水定额，以每1m</w:t>
            </w:r>
            <w:r>
              <w:rPr>
                <w:rFonts w:hint="eastAsia"/>
                <w:snapToGrid w:val="0"/>
                <w:kern w:val="0"/>
                <w:sz w:val="24"/>
                <w:vertAlign w:val="superscript"/>
              </w:rPr>
              <w:t>2</w:t>
            </w:r>
            <w:r>
              <w:rPr>
                <w:rFonts w:hint="eastAsia"/>
                <w:snapToGrid w:val="0"/>
                <w:kern w:val="0"/>
                <w:sz w:val="24"/>
              </w:rPr>
              <w:t>建筑面积总用水量为0.8m</w:t>
            </w:r>
            <w:r>
              <w:rPr>
                <w:rFonts w:hint="eastAsia"/>
                <w:snapToGrid w:val="0"/>
                <w:kern w:val="0"/>
                <w:sz w:val="24"/>
                <w:vertAlign w:val="superscript"/>
              </w:rPr>
              <w:t>3</w:t>
            </w:r>
            <w:r>
              <w:rPr>
                <w:rFonts w:hint="eastAsia"/>
                <w:snapToGrid w:val="0"/>
                <w:kern w:val="0"/>
                <w:sz w:val="24"/>
              </w:rPr>
              <w:t>估算，施工废水产生量约占施工用水量的5%。本项目施工期每天产生的废水经沉淀池处理后，回用于施工现场，不外排，不会对周围地表水体产生影响。</w:t>
            </w:r>
          </w:p>
          <w:p w14:paraId="64284023">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2）施工生活污水</w:t>
            </w:r>
          </w:p>
          <w:p w14:paraId="13762CE7">
            <w:pPr>
              <w:spacing w:line="360" w:lineRule="auto"/>
              <w:ind w:firstLine="480" w:firstLineChars="200"/>
              <w:rPr>
                <w:rFonts w:hint="eastAsia"/>
                <w:snapToGrid w:val="0"/>
                <w:kern w:val="0"/>
                <w:sz w:val="24"/>
              </w:rPr>
            </w:pPr>
            <w:r>
              <w:rPr>
                <w:rFonts w:hint="eastAsia"/>
                <w:snapToGrid w:val="0"/>
                <w:kern w:val="0"/>
                <w:sz w:val="24"/>
              </w:rPr>
              <w:t>本项目施工人员约为100人，施工生活区仅供施工人员白天休息，施工人员租住于当地民居，生活污水依托村庄现有污水处理设施，因此，施工期生活污水不会对周边环境产生影响。</w:t>
            </w:r>
          </w:p>
          <w:p w14:paraId="33F67B6B">
            <w:pPr>
              <w:spacing w:line="360" w:lineRule="auto"/>
              <w:ind w:firstLine="482" w:firstLineChars="200"/>
              <w:rPr>
                <w:rFonts w:hint="eastAsia"/>
                <w:b/>
                <w:bCs/>
                <w:snapToGrid w:val="0"/>
                <w:kern w:val="0"/>
                <w:sz w:val="24"/>
              </w:rPr>
            </w:pPr>
            <w:r>
              <w:rPr>
                <w:rFonts w:hint="eastAsia"/>
                <w:b/>
                <w:bCs/>
                <w:snapToGrid w:val="0"/>
                <w:kern w:val="0"/>
                <w:sz w:val="24"/>
              </w:rPr>
              <w:t>3）初期雨水</w:t>
            </w:r>
          </w:p>
          <w:p w14:paraId="7A46E2E6">
            <w:pPr>
              <w:spacing w:line="360" w:lineRule="auto"/>
              <w:ind w:firstLine="480" w:firstLineChars="200"/>
              <w:rPr>
                <w:snapToGrid w:val="0"/>
                <w:kern w:val="0"/>
                <w:sz w:val="24"/>
              </w:rPr>
            </w:pPr>
            <w:r>
              <w:rPr>
                <w:snapToGrid w:val="0"/>
                <w:kern w:val="0"/>
                <w:sz w:val="24"/>
              </w:rPr>
              <w:t>项目场内道路修建、基础开挖会形成裸露面，在施工期遇到下大雨，雨水形成地表径流冲刷浮土、建筑砂石等形成的泥浆水，会携带大量泥沙、水泥、油类及其它地表固体污染物。当其进入水体后会造成水体污染，致使水体水质下降。由于项目场地区域坡陡，面积较大，地表径流产生量较大，但项目动土部分主要为场区道路、逆变器、光伏列阵支架基础施工及依托升压站电气设备基础施工，动土面积相对较小，径流的面源污染相对较小。雨天形成的地表径流会通过低洼处流入附近箐沟，其污染物主要为SS。为减小施工期雨天径流对水环境的影响，项目应落实水土保持措施，并在水保方案中予以实施。在工程区沿路设置排水沟，末端设置沉砂池，场区雨水经沉砂池沉淀处理后，雨水径流中SS的浓度将大幅度降低。对周围地表水体的影响不大。</w:t>
            </w:r>
          </w:p>
          <w:p w14:paraId="62226924">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（3）施工期噪声影响分析</w:t>
            </w:r>
          </w:p>
          <w:p w14:paraId="3BBF7D80">
            <w:pPr>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1）施工机械噪声影响</w:t>
            </w:r>
          </w:p>
          <w:p w14:paraId="1C9FC9F3">
            <w:pPr>
              <w:overflowPunct w:val="0"/>
              <w:topLinePunct/>
              <w:autoSpaceDE w:val="0"/>
              <w:autoSpaceDN w:val="0"/>
              <w:spacing w:line="360" w:lineRule="auto"/>
              <w:ind w:firstLine="480" w:firstLineChars="200"/>
              <w:rPr>
                <w:snapToGrid w:val="0"/>
                <w:kern w:val="0"/>
                <w:sz w:val="24"/>
              </w:rPr>
            </w:pPr>
            <w:r>
              <w:rPr>
                <w:rFonts w:hint="eastAsia"/>
                <w:snapToGrid w:val="0"/>
                <w:kern w:val="0"/>
                <w:sz w:val="24"/>
              </w:rPr>
              <w:t>①噪声源强</w:t>
            </w:r>
          </w:p>
          <w:p w14:paraId="4AFD1AEF">
            <w:pPr>
              <w:spacing w:line="360" w:lineRule="auto"/>
              <w:ind w:firstLine="480" w:firstLineChars="200"/>
              <w:rPr>
                <w:rFonts w:hint="eastAsia" w:hAnsi="宋体"/>
                <w:sz w:val="24"/>
              </w:rPr>
            </w:pPr>
            <w:r>
              <w:rPr>
                <w:rFonts w:hAnsi="宋体"/>
                <w:sz w:val="24"/>
              </w:rPr>
              <w:t>项目施工期间噪声源主要为机械噪声</w:t>
            </w:r>
            <w:r>
              <w:rPr>
                <w:rFonts w:hint="eastAsia" w:hAnsi="宋体"/>
                <w:sz w:val="24"/>
              </w:rPr>
              <w:t>，施工</w:t>
            </w:r>
            <w:r>
              <w:rPr>
                <w:rFonts w:hAnsi="宋体"/>
                <w:sz w:val="24"/>
              </w:rPr>
              <w:t>建设过程中将使用打桩机、挖掘机、运输车辆等噪声较大的设备及车辆进行施工，各</w:t>
            </w:r>
            <w:bookmarkStart w:id="137" w:name="OLE_LINK53"/>
            <w:r>
              <w:rPr>
                <w:rFonts w:hAnsi="宋体"/>
                <w:sz w:val="24"/>
              </w:rPr>
              <w:t>施工阶段的主要噪声源</w:t>
            </w:r>
            <w:bookmarkEnd w:id="137"/>
            <w:r>
              <w:rPr>
                <w:rFonts w:hAnsi="宋体"/>
                <w:sz w:val="24"/>
              </w:rPr>
              <w:t>及其声级见下表。</w:t>
            </w:r>
          </w:p>
          <w:p w14:paraId="5BFFBA91">
            <w:pPr>
              <w:adjustRightInd w:val="0"/>
              <w:snapToGrid w:val="0"/>
              <w:spacing w:line="360" w:lineRule="auto"/>
              <w:jc w:val="center"/>
              <w:rPr>
                <w:b/>
                <w:bCs/>
                <w:snapToGrid w:val="0"/>
                <w:kern w:val="0"/>
                <w:sz w:val="24"/>
                <w:szCs w:val="24"/>
              </w:rPr>
            </w:pPr>
            <w:r>
              <w:rPr>
                <w:b/>
                <w:bCs/>
                <w:snapToGrid w:val="0"/>
                <w:kern w:val="0"/>
                <w:sz w:val="24"/>
                <w:szCs w:val="24"/>
              </w:rPr>
              <w:t>表4</w:t>
            </w:r>
            <w:r>
              <w:rPr>
                <w:rFonts w:hint="eastAsia"/>
                <w:b/>
                <w:bCs/>
                <w:snapToGrid w:val="0"/>
                <w:kern w:val="0"/>
                <w:sz w:val="24"/>
                <w:szCs w:val="24"/>
              </w:rPr>
              <w:t>.1.3</w:t>
            </w:r>
            <w:r>
              <w:rPr>
                <w:b/>
                <w:bCs/>
                <w:snapToGrid w:val="0"/>
                <w:kern w:val="0"/>
                <w:sz w:val="24"/>
                <w:szCs w:val="24"/>
              </w:rPr>
              <w:t>-1</w:t>
            </w:r>
            <w:r>
              <w:rPr>
                <w:rFonts w:hint="eastAsia"/>
                <w:b/>
                <w:bCs/>
                <w:snapToGrid w:val="0"/>
                <w:kern w:val="0"/>
                <w:sz w:val="24"/>
                <w:szCs w:val="24"/>
              </w:rPr>
              <w:t xml:space="preserve">  </w:t>
            </w:r>
            <w:r>
              <w:rPr>
                <w:b/>
                <w:bCs/>
                <w:snapToGrid w:val="0"/>
                <w:kern w:val="0"/>
                <w:sz w:val="24"/>
                <w:szCs w:val="24"/>
              </w:rPr>
              <w:t>各施工区主要噪声源</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583"/>
              <w:gridCol w:w="3519"/>
              <w:gridCol w:w="3536"/>
            </w:tblGrid>
            <w:tr w14:paraId="7C99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916" w:type="pct"/>
                  <w:vAlign w:val="center"/>
                </w:tcPr>
                <w:p w14:paraId="14FE6E63">
                  <w:pPr>
                    <w:adjustRightInd w:val="0"/>
                    <w:snapToGrid w:val="0"/>
                    <w:jc w:val="center"/>
                    <w:rPr>
                      <w:b/>
                      <w:bCs/>
                    </w:rPr>
                  </w:pPr>
                  <w:r>
                    <w:rPr>
                      <w:b/>
                      <w:bCs/>
                    </w:rPr>
                    <w:t>施工阶段</w:t>
                  </w:r>
                </w:p>
              </w:tc>
              <w:tc>
                <w:tcPr>
                  <w:tcW w:w="2037" w:type="pct"/>
                  <w:vAlign w:val="center"/>
                </w:tcPr>
                <w:p w14:paraId="412A72E7">
                  <w:pPr>
                    <w:adjustRightInd w:val="0"/>
                    <w:snapToGrid w:val="0"/>
                    <w:jc w:val="center"/>
                    <w:rPr>
                      <w:b/>
                      <w:bCs/>
                    </w:rPr>
                  </w:pPr>
                  <w:r>
                    <w:rPr>
                      <w:b/>
                      <w:bCs/>
                    </w:rPr>
                    <w:t>声源</w:t>
                  </w:r>
                </w:p>
              </w:tc>
              <w:tc>
                <w:tcPr>
                  <w:tcW w:w="2047" w:type="pct"/>
                  <w:vAlign w:val="center"/>
                </w:tcPr>
                <w:p w14:paraId="6E4D8D1C">
                  <w:pPr>
                    <w:adjustRightInd w:val="0"/>
                    <w:snapToGrid w:val="0"/>
                    <w:jc w:val="center"/>
                    <w:rPr>
                      <w:b/>
                      <w:bCs/>
                    </w:rPr>
                  </w:pPr>
                  <w:r>
                    <w:rPr>
                      <w:rFonts w:hint="eastAsia"/>
                      <w:b/>
                      <w:bCs/>
                    </w:rPr>
                    <w:t>噪声源强dB(A)</w:t>
                  </w:r>
                  <w:r>
                    <w:rPr>
                      <w:b/>
                      <w:bCs/>
                    </w:rPr>
                    <w:t xml:space="preserve"> </w:t>
                  </w:r>
                </w:p>
              </w:tc>
            </w:tr>
            <w:tr w14:paraId="7C6F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16" w:type="pct"/>
                  <w:vMerge w:val="restart"/>
                  <w:vAlign w:val="center"/>
                </w:tcPr>
                <w:p w14:paraId="716669BE">
                  <w:pPr>
                    <w:jc w:val="center"/>
                  </w:pPr>
                  <w:r>
                    <w:t>土石方阶段</w:t>
                  </w:r>
                </w:p>
              </w:tc>
              <w:tc>
                <w:tcPr>
                  <w:tcW w:w="2037" w:type="pct"/>
                  <w:vAlign w:val="center"/>
                </w:tcPr>
                <w:p w14:paraId="38525399">
                  <w:pPr>
                    <w:jc w:val="center"/>
                  </w:pPr>
                  <w:r>
                    <w:t>推土机</w:t>
                  </w:r>
                </w:p>
              </w:tc>
              <w:tc>
                <w:tcPr>
                  <w:tcW w:w="2047" w:type="pct"/>
                  <w:vAlign w:val="center"/>
                </w:tcPr>
                <w:p w14:paraId="0B8146CE">
                  <w:pPr>
                    <w:jc w:val="center"/>
                  </w:pPr>
                  <w:r>
                    <w:t>85</w:t>
                  </w:r>
                </w:p>
              </w:tc>
            </w:tr>
            <w:tr w14:paraId="5120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16" w:type="pct"/>
                  <w:vMerge w:val="continue"/>
                  <w:vAlign w:val="center"/>
                </w:tcPr>
                <w:p w14:paraId="6DCA5ED6">
                  <w:pPr>
                    <w:jc w:val="center"/>
                  </w:pPr>
                </w:p>
              </w:tc>
              <w:tc>
                <w:tcPr>
                  <w:tcW w:w="2037" w:type="pct"/>
                  <w:vAlign w:val="center"/>
                </w:tcPr>
                <w:p w14:paraId="63203A7B">
                  <w:pPr>
                    <w:jc w:val="center"/>
                  </w:pPr>
                  <w:r>
                    <w:t>挖掘机</w:t>
                  </w:r>
                </w:p>
              </w:tc>
              <w:tc>
                <w:tcPr>
                  <w:tcW w:w="2047" w:type="pct"/>
                  <w:vAlign w:val="center"/>
                </w:tcPr>
                <w:p w14:paraId="49F19022">
                  <w:pPr>
                    <w:jc w:val="center"/>
                  </w:pPr>
                  <w:r>
                    <w:rPr>
                      <w:rFonts w:hint="eastAsia"/>
                    </w:rPr>
                    <w:t>8</w:t>
                  </w:r>
                  <w:r>
                    <w:t>3</w:t>
                  </w:r>
                </w:p>
              </w:tc>
            </w:tr>
            <w:tr w14:paraId="4288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16" w:type="pct"/>
                  <w:vMerge w:val="restart"/>
                  <w:vAlign w:val="center"/>
                </w:tcPr>
                <w:p w14:paraId="4324951A">
                  <w:pPr>
                    <w:jc w:val="center"/>
                  </w:pPr>
                  <w:r>
                    <w:rPr>
                      <w:rFonts w:hint="eastAsia"/>
                    </w:rPr>
                    <w:t>基础和主体建设阶段</w:t>
                  </w:r>
                </w:p>
              </w:tc>
              <w:tc>
                <w:tcPr>
                  <w:tcW w:w="2037" w:type="pct"/>
                  <w:vAlign w:val="center"/>
                </w:tcPr>
                <w:p w14:paraId="3510C587">
                  <w:pPr>
                    <w:jc w:val="center"/>
                  </w:pPr>
                  <w:r>
                    <w:rPr>
                      <w:rFonts w:hint="eastAsia"/>
                    </w:rPr>
                    <w:t>手风钻</w:t>
                  </w:r>
                </w:p>
              </w:tc>
              <w:tc>
                <w:tcPr>
                  <w:tcW w:w="2047" w:type="pct"/>
                  <w:vAlign w:val="center"/>
                </w:tcPr>
                <w:p w14:paraId="079F6A3F">
                  <w:pPr>
                    <w:jc w:val="center"/>
                  </w:pPr>
                  <w:r>
                    <w:t>90</w:t>
                  </w:r>
                </w:p>
              </w:tc>
            </w:tr>
            <w:tr w14:paraId="119C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16" w:type="pct"/>
                  <w:vMerge w:val="continue"/>
                  <w:vAlign w:val="center"/>
                </w:tcPr>
                <w:p w14:paraId="6A284782">
                  <w:pPr>
                    <w:jc w:val="center"/>
                  </w:pPr>
                </w:p>
              </w:tc>
              <w:tc>
                <w:tcPr>
                  <w:tcW w:w="2037" w:type="pct"/>
                  <w:vAlign w:val="center"/>
                </w:tcPr>
                <w:p w14:paraId="2736BA99">
                  <w:pPr>
                    <w:jc w:val="center"/>
                  </w:pPr>
                  <w:r>
                    <w:rPr>
                      <w:rFonts w:hint="eastAsia" w:ascii="宋体" w:cs="宋体"/>
                    </w:rPr>
                    <w:t>一体式潜孔钻</w:t>
                  </w:r>
                </w:p>
              </w:tc>
              <w:tc>
                <w:tcPr>
                  <w:tcW w:w="2047" w:type="pct"/>
                  <w:vAlign w:val="center"/>
                </w:tcPr>
                <w:p w14:paraId="0735F494">
                  <w:pPr>
                    <w:jc w:val="center"/>
                  </w:pPr>
                  <w:r>
                    <w:t>90</w:t>
                  </w:r>
                </w:p>
              </w:tc>
            </w:tr>
            <w:tr w14:paraId="417C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16" w:type="pct"/>
                  <w:vMerge w:val="continue"/>
                  <w:vAlign w:val="center"/>
                </w:tcPr>
                <w:p w14:paraId="41A466F6">
                  <w:pPr>
                    <w:jc w:val="center"/>
                  </w:pPr>
                </w:p>
              </w:tc>
              <w:tc>
                <w:tcPr>
                  <w:tcW w:w="2037" w:type="pct"/>
                  <w:vAlign w:val="center"/>
                </w:tcPr>
                <w:p w14:paraId="5D282BD8">
                  <w:pPr>
                    <w:jc w:val="center"/>
                    <w:rPr>
                      <w:rFonts w:ascii="宋体" w:cs="宋体"/>
                    </w:rPr>
                  </w:pPr>
                  <w:r>
                    <w:rPr>
                      <w:rFonts w:hint="eastAsia" w:ascii="宋体" w:cs="宋体"/>
                    </w:rPr>
                    <w:t>履带式潜孔钻机</w:t>
                  </w:r>
                </w:p>
              </w:tc>
              <w:tc>
                <w:tcPr>
                  <w:tcW w:w="2047" w:type="pct"/>
                  <w:vAlign w:val="center"/>
                </w:tcPr>
                <w:p w14:paraId="33FBB708">
                  <w:pPr>
                    <w:jc w:val="center"/>
                  </w:pPr>
                  <w:r>
                    <w:rPr>
                      <w:rFonts w:hint="eastAsia"/>
                    </w:rPr>
                    <w:t>9</w:t>
                  </w:r>
                  <w:r>
                    <w:t>0</w:t>
                  </w:r>
                </w:p>
              </w:tc>
            </w:tr>
            <w:tr w14:paraId="635C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16" w:type="pct"/>
                  <w:vMerge w:val="continue"/>
                  <w:vAlign w:val="center"/>
                </w:tcPr>
                <w:p w14:paraId="66DEDBC3">
                  <w:pPr>
                    <w:jc w:val="center"/>
                  </w:pPr>
                </w:p>
              </w:tc>
              <w:tc>
                <w:tcPr>
                  <w:tcW w:w="2037" w:type="pct"/>
                  <w:vAlign w:val="center"/>
                </w:tcPr>
                <w:p w14:paraId="5409EF8D">
                  <w:pPr>
                    <w:jc w:val="center"/>
                  </w:pPr>
                  <w:r>
                    <w:rPr>
                      <w:rFonts w:hint="eastAsia"/>
                    </w:rPr>
                    <w:t>空压机</w:t>
                  </w:r>
                </w:p>
              </w:tc>
              <w:tc>
                <w:tcPr>
                  <w:tcW w:w="2047" w:type="pct"/>
                  <w:vAlign w:val="center"/>
                </w:tcPr>
                <w:p w14:paraId="58F1A8AF">
                  <w:pPr>
                    <w:jc w:val="center"/>
                  </w:pPr>
                  <w:r>
                    <w:rPr>
                      <w:rFonts w:hint="eastAsia"/>
                    </w:rPr>
                    <w:t>8</w:t>
                  </w:r>
                  <w:r>
                    <w:t>5</w:t>
                  </w:r>
                </w:p>
              </w:tc>
            </w:tr>
            <w:tr w14:paraId="08822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16" w:type="pct"/>
                  <w:vMerge w:val="continue"/>
                  <w:vAlign w:val="center"/>
                </w:tcPr>
                <w:p w14:paraId="0C8007B2">
                  <w:pPr>
                    <w:jc w:val="center"/>
                  </w:pPr>
                </w:p>
              </w:tc>
              <w:tc>
                <w:tcPr>
                  <w:tcW w:w="2037" w:type="pct"/>
                  <w:vAlign w:val="center"/>
                </w:tcPr>
                <w:p w14:paraId="58E4C86D">
                  <w:pPr>
                    <w:jc w:val="center"/>
                  </w:pPr>
                  <w:r>
                    <w:rPr>
                      <w:rFonts w:hint="eastAsia"/>
                    </w:rPr>
                    <w:t>混凝土插入式振动器</w:t>
                  </w:r>
                </w:p>
              </w:tc>
              <w:tc>
                <w:tcPr>
                  <w:tcW w:w="2047" w:type="pct"/>
                  <w:vAlign w:val="center"/>
                </w:tcPr>
                <w:p w14:paraId="25F549B0">
                  <w:pPr>
                    <w:jc w:val="center"/>
                  </w:pPr>
                  <w:r>
                    <w:t>83</w:t>
                  </w:r>
                </w:p>
              </w:tc>
            </w:tr>
            <w:tr w14:paraId="325E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16" w:type="pct"/>
                  <w:vMerge w:val="restart"/>
                  <w:vAlign w:val="center"/>
                </w:tcPr>
                <w:p w14:paraId="6EF714E0">
                  <w:pPr>
                    <w:jc w:val="center"/>
                  </w:pPr>
                  <w:r>
                    <w:rPr>
                      <w:rFonts w:hint="eastAsia"/>
                    </w:rPr>
                    <w:t>配套设施建设阶段</w:t>
                  </w:r>
                </w:p>
              </w:tc>
              <w:tc>
                <w:tcPr>
                  <w:tcW w:w="2037" w:type="pct"/>
                  <w:vAlign w:val="center"/>
                </w:tcPr>
                <w:p w14:paraId="221FFBA3">
                  <w:pPr>
                    <w:jc w:val="center"/>
                  </w:pPr>
                  <w:r>
                    <w:rPr>
                      <w:rFonts w:hint="eastAsia" w:ascii="宋体" w:cs="宋体"/>
                    </w:rPr>
                    <w:t>手工电弧焊机</w:t>
                  </w:r>
                </w:p>
              </w:tc>
              <w:tc>
                <w:tcPr>
                  <w:tcW w:w="2047" w:type="pct"/>
                  <w:vAlign w:val="center"/>
                </w:tcPr>
                <w:p w14:paraId="4083DE81">
                  <w:pPr>
                    <w:jc w:val="center"/>
                  </w:pPr>
                  <w:r>
                    <w:rPr>
                      <w:rFonts w:hint="eastAsia"/>
                    </w:rPr>
                    <w:t>6</w:t>
                  </w:r>
                  <w:r>
                    <w:t>5</w:t>
                  </w:r>
                </w:p>
              </w:tc>
            </w:tr>
            <w:tr w14:paraId="2BFD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16" w:type="pct"/>
                  <w:vMerge w:val="continue"/>
                  <w:vAlign w:val="center"/>
                </w:tcPr>
                <w:p w14:paraId="7EA266B4">
                  <w:pPr>
                    <w:jc w:val="center"/>
                  </w:pPr>
                </w:p>
              </w:tc>
              <w:tc>
                <w:tcPr>
                  <w:tcW w:w="2037" w:type="pct"/>
                  <w:vAlign w:val="center"/>
                </w:tcPr>
                <w:p w14:paraId="6CB9D7B1">
                  <w:pPr>
                    <w:jc w:val="center"/>
                  </w:pPr>
                  <w:r>
                    <w:rPr>
                      <w:rFonts w:hint="eastAsia" w:ascii="宋体" w:cs="宋体"/>
                    </w:rPr>
                    <w:t>钢筋调直切断机</w:t>
                  </w:r>
                </w:p>
              </w:tc>
              <w:tc>
                <w:tcPr>
                  <w:tcW w:w="2047" w:type="pct"/>
                  <w:vAlign w:val="center"/>
                </w:tcPr>
                <w:p w14:paraId="768FEFC7">
                  <w:pPr>
                    <w:jc w:val="center"/>
                  </w:pPr>
                  <w:r>
                    <w:t>89</w:t>
                  </w:r>
                </w:p>
              </w:tc>
            </w:tr>
            <w:tr w14:paraId="4E23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16" w:type="pct"/>
                  <w:vMerge w:val="continue"/>
                  <w:vAlign w:val="center"/>
                </w:tcPr>
                <w:p w14:paraId="11F73614">
                  <w:pPr>
                    <w:jc w:val="center"/>
                  </w:pPr>
                </w:p>
              </w:tc>
              <w:tc>
                <w:tcPr>
                  <w:tcW w:w="2037" w:type="pct"/>
                  <w:vAlign w:val="center"/>
                </w:tcPr>
                <w:p w14:paraId="1AE4421C">
                  <w:pPr>
                    <w:jc w:val="center"/>
                  </w:pPr>
                  <w:r>
                    <w:rPr>
                      <w:rFonts w:hint="eastAsia" w:ascii="宋体" w:cs="宋体"/>
                    </w:rPr>
                    <w:t>液压升降小车</w:t>
                  </w:r>
                </w:p>
              </w:tc>
              <w:tc>
                <w:tcPr>
                  <w:tcW w:w="2047" w:type="pct"/>
                  <w:vAlign w:val="center"/>
                </w:tcPr>
                <w:p w14:paraId="661B0B9C">
                  <w:pPr>
                    <w:jc w:val="center"/>
                  </w:pPr>
                  <w:r>
                    <w:rPr>
                      <w:rFonts w:hint="eastAsia"/>
                    </w:rPr>
                    <w:t>7</w:t>
                  </w:r>
                  <w:r>
                    <w:t>5</w:t>
                  </w:r>
                </w:p>
              </w:tc>
            </w:tr>
            <w:tr w14:paraId="7328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16" w:type="pct"/>
                  <w:vMerge w:val="restart"/>
                  <w:vAlign w:val="center"/>
                </w:tcPr>
                <w:p w14:paraId="4DC259CD">
                  <w:pPr>
                    <w:jc w:val="center"/>
                  </w:pPr>
                  <w:r>
                    <w:rPr>
                      <w:rFonts w:hint="eastAsia"/>
                    </w:rPr>
                    <w:t>交通运输车辆噪声</w:t>
                  </w:r>
                </w:p>
              </w:tc>
              <w:tc>
                <w:tcPr>
                  <w:tcW w:w="2037" w:type="pct"/>
                  <w:vAlign w:val="center"/>
                </w:tcPr>
                <w:p w14:paraId="6017ED97">
                  <w:pPr>
                    <w:jc w:val="center"/>
                  </w:pPr>
                  <w:r>
                    <w:rPr>
                      <w:rFonts w:hint="eastAsia"/>
                    </w:rPr>
                    <w:t>自卸式运输车</w:t>
                  </w:r>
                </w:p>
              </w:tc>
              <w:tc>
                <w:tcPr>
                  <w:tcW w:w="2047" w:type="pct"/>
                  <w:vAlign w:val="center"/>
                </w:tcPr>
                <w:p w14:paraId="0F3DEDE7">
                  <w:pPr>
                    <w:jc w:val="center"/>
                  </w:pPr>
                  <w:r>
                    <w:t>80</w:t>
                  </w:r>
                </w:p>
              </w:tc>
            </w:tr>
            <w:tr w14:paraId="315C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16" w:type="pct"/>
                  <w:vMerge w:val="continue"/>
                  <w:vAlign w:val="center"/>
                </w:tcPr>
                <w:p w14:paraId="1041F901">
                  <w:pPr>
                    <w:jc w:val="center"/>
                  </w:pPr>
                </w:p>
              </w:tc>
              <w:tc>
                <w:tcPr>
                  <w:tcW w:w="2037" w:type="pct"/>
                  <w:vAlign w:val="center"/>
                </w:tcPr>
                <w:p w14:paraId="22CA015C">
                  <w:pPr>
                    <w:jc w:val="center"/>
                  </w:pPr>
                  <w:r>
                    <w:rPr>
                      <w:rFonts w:hint="eastAsia"/>
                    </w:rPr>
                    <w:t>压路机</w:t>
                  </w:r>
                </w:p>
              </w:tc>
              <w:tc>
                <w:tcPr>
                  <w:tcW w:w="2047" w:type="pct"/>
                  <w:vAlign w:val="center"/>
                </w:tcPr>
                <w:p w14:paraId="70FEEC6A">
                  <w:pPr>
                    <w:jc w:val="center"/>
                  </w:pPr>
                  <w:r>
                    <w:rPr>
                      <w:rFonts w:hint="eastAsia"/>
                    </w:rPr>
                    <w:t>8</w:t>
                  </w:r>
                  <w:r>
                    <w:t>1</w:t>
                  </w:r>
                </w:p>
              </w:tc>
            </w:tr>
            <w:tr w14:paraId="3F6E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16" w:type="pct"/>
                  <w:vMerge w:val="continue"/>
                  <w:vAlign w:val="center"/>
                </w:tcPr>
                <w:p w14:paraId="2D6B93F4">
                  <w:pPr>
                    <w:jc w:val="center"/>
                  </w:pPr>
                </w:p>
              </w:tc>
              <w:tc>
                <w:tcPr>
                  <w:tcW w:w="2037" w:type="pct"/>
                  <w:vAlign w:val="center"/>
                </w:tcPr>
                <w:p w14:paraId="072FC91D">
                  <w:pPr>
                    <w:jc w:val="center"/>
                  </w:pPr>
                  <w:r>
                    <w:rPr>
                      <w:rFonts w:hint="eastAsia"/>
                    </w:rPr>
                    <w:t>运水车</w:t>
                  </w:r>
                </w:p>
              </w:tc>
              <w:tc>
                <w:tcPr>
                  <w:tcW w:w="2047" w:type="pct"/>
                  <w:vAlign w:val="center"/>
                </w:tcPr>
                <w:p w14:paraId="7373261F">
                  <w:pPr>
                    <w:jc w:val="center"/>
                  </w:pPr>
                  <w:r>
                    <w:rPr>
                      <w:rFonts w:hint="eastAsia"/>
                    </w:rPr>
                    <w:t>7</w:t>
                  </w:r>
                  <w:r>
                    <w:t>5</w:t>
                  </w:r>
                </w:p>
              </w:tc>
            </w:tr>
            <w:tr w14:paraId="3C53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16" w:type="pct"/>
                  <w:vMerge w:val="continue"/>
                  <w:vAlign w:val="center"/>
                </w:tcPr>
                <w:p w14:paraId="2C35FD17">
                  <w:pPr>
                    <w:jc w:val="center"/>
                  </w:pPr>
                </w:p>
              </w:tc>
              <w:tc>
                <w:tcPr>
                  <w:tcW w:w="2037" w:type="pct"/>
                  <w:vAlign w:val="center"/>
                </w:tcPr>
                <w:p w14:paraId="79D78D88">
                  <w:pPr>
                    <w:jc w:val="center"/>
                  </w:pPr>
                  <w:r>
                    <w:t>30T</w:t>
                  </w:r>
                  <w:r>
                    <w:rPr>
                      <w:rFonts w:hint="eastAsia"/>
                    </w:rPr>
                    <w:t>汽车吊</w:t>
                  </w:r>
                </w:p>
              </w:tc>
              <w:tc>
                <w:tcPr>
                  <w:tcW w:w="2047" w:type="pct"/>
                  <w:vAlign w:val="center"/>
                </w:tcPr>
                <w:p w14:paraId="54AD3C07">
                  <w:pPr>
                    <w:jc w:val="center"/>
                  </w:pPr>
                  <w:r>
                    <w:t>85</w:t>
                  </w:r>
                </w:p>
              </w:tc>
            </w:tr>
          </w:tbl>
          <w:p w14:paraId="547F8B01">
            <w:pPr>
              <w:spacing w:line="360" w:lineRule="auto"/>
              <w:ind w:firstLine="480" w:firstLineChars="200"/>
              <w:rPr>
                <w:sz w:val="24"/>
              </w:rPr>
            </w:pPr>
            <w:r>
              <w:rPr>
                <w:rFonts w:hint="eastAsia"/>
                <w:sz w:val="24"/>
              </w:rPr>
              <w:t>②预测模式</w:t>
            </w:r>
          </w:p>
          <w:p w14:paraId="3FE75696">
            <w:pPr>
              <w:spacing w:line="360" w:lineRule="auto"/>
              <w:ind w:firstLine="480" w:firstLineChars="200"/>
              <w:rPr>
                <w:sz w:val="24"/>
              </w:rPr>
            </w:pPr>
            <w:r>
              <w:rPr>
                <w:sz w:val="24"/>
              </w:rPr>
              <w:t>施工机械中除各种运输车辆外，一般可视为固定声源。在不</w:t>
            </w:r>
            <w:r>
              <w:rPr>
                <w:rFonts w:hint="eastAsia"/>
                <w:sz w:val="24"/>
              </w:rPr>
              <w:t>考虑其他</w:t>
            </w:r>
            <w:r>
              <w:rPr>
                <w:sz w:val="24"/>
              </w:rPr>
              <w:t>因素情况下，不同距离处施工机械噪声预测模式如下：</w:t>
            </w:r>
          </w:p>
          <w:p w14:paraId="69200B5E">
            <w:pPr>
              <w:spacing w:line="360" w:lineRule="auto"/>
              <w:jc w:val="center"/>
              <w:rPr>
                <w:sz w:val="24"/>
                <w:szCs w:val="24"/>
              </w:rPr>
            </w:pPr>
            <m:oMathPara>
              <m:oMath>
                <m:sSub>
                  <m:sSubPr>
                    <m:ctrlPr>
                      <w:rPr>
                        <w:rFonts w:ascii="Cambria Math" w:hAnsi="Cambria Math"/>
                        <w:i/>
                        <w:sz w:val="24"/>
                        <w:szCs w:val="24"/>
                      </w:rPr>
                    </m:ctrlPr>
                  </m:sSubPr>
                  <m:e>
                    <m:r>
                      <m:rPr/>
                      <w:rPr>
                        <w:rFonts w:ascii="Cambria Math"/>
                        <w:sz w:val="24"/>
                        <w:szCs w:val="24"/>
                      </w:rPr>
                      <m:t>L</m:t>
                    </m:r>
                    <m:ctrlPr>
                      <w:rPr>
                        <w:rFonts w:ascii="Cambria Math" w:hAnsi="Cambria Math"/>
                        <w:i/>
                        <w:sz w:val="24"/>
                        <w:szCs w:val="24"/>
                      </w:rPr>
                    </m:ctrlPr>
                  </m:e>
                  <m:sub>
                    <m:r>
                      <m:rPr/>
                      <w:rPr>
                        <w:rFonts w:ascii="Cambria Math"/>
                        <w:sz w:val="24"/>
                        <w:szCs w:val="24"/>
                      </w:rPr>
                      <m:t>2</m:t>
                    </m:r>
                    <m:ctrlPr>
                      <w:rPr>
                        <w:rFonts w:ascii="Cambria Math" w:hAnsi="Cambria Math"/>
                        <w:i/>
                        <w:sz w:val="24"/>
                        <w:szCs w:val="24"/>
                      </w:rPr>
                    </m:ctrlPr>
                  </m:sub>
                </m:sSub>
                <m:r>
                  <m:rPr/>
                  <w:rPr>
                    <w:rFonts w:ascii="Cambria Math"/>
                    <w:sz w:val="24"/>
                    <w:szCs w:val="24"/>
                  </w:rPr>
                  <m:t>=</m:t>
                </m:r>
                <m:sSub>
                  <m:sSubPr>
                    <m:ctrlPr>
                      <w:rPr>
                        <w:rFonts w:ascii="Cambria Math" w:hAnsi="Cambria Math"/>
                        <w:i/>
                        <w:sz w:val="24"/>
                        <w:szCs w:val="24"/>
                      </w:rPr>
                    </m:ctrlPr>
                  </m:sSubPr>
                  <m:e>
                    <m:r>
                      <m:rPr/>
                      <w:rPr>
                        <w:rFonts w:ascii="Cambria Math"/>
                        <w:sz w:val="24"/>
                        <w:szCs w:val="24"/>
                      </w:rPr>
                      <m:t>L</m:t>
                    </m:r>
                    <m:ctrlPr>
                      <w:rPr>
                        <w:rFonts w:ascii="Cambria Math" w:hAnsi="Cambria Math"/>
                        <w:i/>
                        <w:sz w:val="24"/>
                        <w:szCs w:val="24"/>
                      </w:rPr>
                    </m:ctrlPr>
                  </m:e>
                  <m:sub>
                    <m:r>
                      <m:rPr/>
                      <w:rPr>
                        <w:rFonts w:ascii="Cambria Math"/>
                        <w:sz w:val="24"/>
                        <w:szCs w:val="24"/>
                      </w:rPr>
                      <m:t>1</m:t>
                    </m:r>
                    <m:ctrlPr>
                      <w:rPr>
                        <w:rFonts w:ascii="Cambria Math" w:hAnsi="Cambria Math"/>
                        <w:i/>
                        <w:sz w:val="24"/>
                        <w:szCs w:val="24"/>
                      </w:rPr>
                    </m:ctrlPr>
                  </m:sub>
                </m:sSub>
                <m:r>
                  <m:rPr/>
                  <w:rPr>
                    <w:rFonts w:ascii="Cambria Math"/>
                    <w:sz w:val="24"/>
                    <w:szCs w:val="24"/>
                  </w:rPr>
                  <m:t>−20</m:t>
                </m:r>
                <m:func>
                  <m:funcPr>
                    <m:ctrlPr>
                      <w:rPr>
                        <w:rFonts w:ascii="Cambria Math" w:hAnsi="Cambria Math"/>
                        <w:i/>
                        <w:sz w:val="24"/>
                        <w:szCs w:val="24"/>
                      </w:rPr>
                    </m:ctrlPr>
                  </m:funcPr>
                  <m:fName>
                    <m:r>
                      <m:rPr/>
                      <w:rPr>
                        <w:rFonts w:ascii="Cambria Math"/>
                        <w:sz w:val="24"/>
                        <w:szCs w:val="24"/>
                      </w:rPr>
                      <m:t>lg</m:t>
                    </m:r>
                    <m:ctrlPr>
                      <w:rPr>
                        <w:rFonts w:ascii="Cambria Math" w:hAnsi="Cambria Math"/>
                        <w:i/>
                        <w:sz w:val="24"/>
                        <w:szCs w:val="24"/>
                      </w:rPr>
                    </m:ctrlPr>
                  </m:fName>
                  <m:e>
                    <m:r>
                      <m:rPr/>
                      <w:rPr>
                        <w:rFonts w:ascii="Cambria Math"/>
                        <w:sz w:val="24"/>
                        <w:szCs w:val="24"/>
                      </w:rPr>
                      <m:t>(</m:t>
                    </m:r>
                    <m:ctrlPr>
                      <w:rPr>
                        <w:rFonts w:ascii="Cambria Math" w:hAnsi="Cambria Math"/>
                        <w:i/>
                        <w:sz w:val="24"/>
                        <w:szCs w:val="24"/>
                      </w:rPr>
                    </m:ctrlPr>
                  </m:e>
                </m:func>
                <m:sSub>
                  <m:sSubPr>
                    <m:ctrlPr>
                      <w:rPr>
                        <w:rFonts w:ascii="Cambria Math" w:hAnsi="Cambria Math"/>
                        <w:i/>
                        <w:sz w:val="24"/>
                        <w:szCs w:val="24"/>
                      </w:rPr>
                    </m:ctrlPr>
                  </m:sSubPr>
                  <m:e>
                    <m:r>
                      <m:rPr/>
                      <w:rPr>
                        <w:rFonts w:ascii="Cambria Math"/>
                        <w:sz w:val="24"/>
                        <w:szCs w:val="24"/>
                      </w:rPr>
                      <m:t>r</m:t>
                    </m:r>
                    <m:ctrlPr>
                      <w:rPr>
                        <w:rFonts w:ascii="Cambria Math" w:hAnsi="Cambria Math"/>
                        <w:i/>
                        <w:sz w:val="24"/>
                        <w:szCs w:val="24"/>
                      </w:rPr>
                    </m:ctrlPr>
                  </m:e>
                  <m:sub>
                    <m:r>
                      <m:rPr/>
                      <w:rPr>
                        <w:rFonts w:ascii="Cambria Math"/>
                        <w:sz w:val="24"/>
                        <w:szCs w:val="24"/>
                      </w:rPr>
                      <m:t>2</m:t>
                    </m:r>
                    <m:ctrlPr>
                      <w:rPr>
                        <w:rFonts w:ascii="Cambria Math" w:hAnsi="Cambria Math"/>
                        <w:i/>
                        <w:sz w:val="24"/>
                        <w:szCs w:val="24"/>
                      </w:rPr>
                    </m:ctrlPr>
                  </m:sub>
                </m:sSub>
                <m:r>
                  <m:rPr/>
                  <w:rPr>
                    <w:rFonts w:ascii="Cambria Math"/>
                    <w:sz w:val="24"/>
                    <w:szCs w:val="24"/>
                  </w:rPr>
                  <m:t>/</m:t>
                </m:r>
                <m:sSub>
                  <m:sSubPr>
                    <m:ctrlPr>
                      <w:rPr>
                        <w:rFonts w:ascii="Cambria Math" w:hAnsi="Cambria Math"/>
                        <w:i/>
                        <w:sz w:val="24"/>
                        <w:szCs w:val="24"/>
                      </w:rPr>
                    </m:ctrlPr>
                  </m:sSubPr>
                  <m:e>
                    <m:r>
                      <m:rPr/>
                      <w:rPr>
                        <w:rFonts w:ascii="Cambria Math"/>
                        <w:sz w:val="24"/>
                        <w:szCs w:val="24"/>
                      </w:rPr>
                      <m:t>r</m:t>
                    </m:r>
                    <m:ctrlPr>
                      <w:rPr>
                        <w:rFonts w:ascii="Cambria Math" w:hAnsi="Cambria Math"/>
                        <w:i/>
                        <w:sz w:val="24"/>
                        <w:szCs w:val="24"/>
                      </w:rPr>
                    </m:ctrlPr>
                  </m:e>
                  <m:sub>
                    <m:r>
                      <m:rPr/>
                      <w:rPr>
                        <w:rFonts w:ascii="Cambria Math"/>
                        <w:sz w:val="24"/>
                        <w:szCs w:val="24"/>
                      </w:rPr>
                      <m:t>1</m:t>
                    </m:r>
                    <m:ctrlPr>
                      <w:rPr>
                        <w:rFonts w:ascii="Cambria Math" w:hAnsi="Cambria Math"/>
                        <w:i/>
                        <w:sz w:val="24"/>
                        <w:szCs w:val="24"/>
                      </w:rPr>
                    </m:ctrlPr>
                  </m:sub>
                </m:sSub>
                <m:r>
                  <m:rPr/>
                  <w:rPr>
                    <w:rFonts w:ascii="Cambria Math"/>
                    <w:sz w:val="24"/>
                    <w:szCs w:val="24"/>
                  </w:rPr>
                  <m:t>)</m:t>
                </m:r>
              </m:oMath>
            </m:oMathPara>
          </w:p>
          <w:p w14:paraId="75CCE08E">
            <w:pPr>
              <w:spacing w:line="360" w:lineRule="auto"/>
              <w:ind w:firstLine="480" w:firstLineChars="200"/>
              <w:rPr>
                <w:rFonts w:hint="eastAsia"/>
                <w:sz w:val="24"/>
                <w:szCs w:val="24"/>
              </w:rPr>
            </w:pPr>
            <w:r>
              <w:rPr>
                <w:sz w:val="24"/>
                <w:szCs w:val="24"/>
              </w:rPr>
              <w:t>式中：</w:t>
            </w:r>
            <w:r>
              <w:rPr>
                <w:rFonts w:hint="eastAsia"/>
                <w:i/>
                <w:sz w:val="24"/>
                <w:szCs w:val="24"/>
              </w:rPr>
              <w:t>L</w:t>
            </w:r>
            <w:r>
              <w:rPr>
                <w:rFonts w:hint="eastAsia"/>
                <w:i/>
                <w:sz w:val="24"/>
                <w:szCs w:val="24"/>
                <w:vertAlign w:val="subscript"/>
              </w:rPr>
              <w:t>1</w:t>
            </w:r>
            <w:r>
              <w:rPr>
                <w:sz w:val="24"/>
                <w:szCs w:val="24"/>
              </w:rPr>
              <w:t>—距声源为</w:t>
            </w:r>
            <w:r>
              <w:rPr>
                <w:rFonts w:hint="eastAsia"/>
                <w:i/>
                <w:sz w:val="24"/>
                <w:szCs w:val="24"/>
              </w:rPr>
              <w:t>r</w:t>
            </w:r>
            <w:r>
              <w:rPr>
                <w:rFonts w:hint="eastAsia"/>
                <w:i/>
                <w:sz w:val="24"/>
                <w:szCs w:val="24"/>
                <w:vertAlign w:val="subscript"/>
              </w:rPr>
              <w:t>1</w:t>
            </w:r>
            <w:r>
              <w:rPr>
                <w:sz w:val="24"/>
                <w:szCs w:val="24"/>
              </w:rPr>
              <w:t>处的声压级，</w:t>
            </w:r>
            <w:r>
              <w:rPr>
                <w:rFonts w:hint="eastAsia"/>
                <w:sz w:val="24"/>
                <w:szCs w:val="24"/>
              </w:rPr>
              <w:t>dB(A)</w:t>
            </w:r>
            <w:r>
              <w:rPr>
                <w:sz w:val="24"/>
                <w:szCs w:val="24"/>
              </w:rPr>
              <w:t>；r</w:t>
            </w:r>
            <w:r>
              <w:rPr>
                <w:sz w:val="24"/>
                <w:szCs w:val="24"/>
                <w:vertAlign w:val="subscript"/>
              </w:rPr>
              <w:t>2</w:t>
            </w:r>
            <w:r>
              <w:rPr>
                <w:sz w:val="24"/>
                <w:szCs w:val="24"/>
              </w:rPr>
              <w:t>＞r</w:t>
            </w:r>
            <w:r>
              <w:rPr>
                <w:sz w:val="24"/>
                <w:szCs w:val="24"/>
                <w:vertAlign w:val="subscript"/>
              </w:rPr>
              <w:t>1</w:t>
            </w:r>
            <w:r>
              <w:rPr>
                <w:rFonts w:hint="eastAsia"/>
                <w:sz w:val="24"/>
                <w:szCs w:val="24"/>
              </w:rPr>
              <w:t>。</w:t>
            </w:r>
          </w:p>
          <w:p w14:paraId="384D1633">
            <w:pPr>
              <w:spacing w:line="360" w:lineRule="auto"/>
              <w:ind w:firstLine="1200" w:firstLineChars="500"/>
              <w:rPr>
                <w:sz w:val="24"/>
                <w:szCs w:val="24"/>
              </w:rPr>
            </w:pPr>
            <w:r>
              <w:rPr>
                <w:rFonts w:hint="eastAsia"/>
                <w:i/>
                <w:sz w:val="24"/>
                <w:szCs w:val="24"/>
              </w:rPr>
              <w:t>L</w:t>
            </w:r>
            <w:r>
              <w:rPr>
                <w:rFonts w:hint="eastAsia"/>
                <w:i/>
                <w:sz w:val="24"/>
                <w:szCs w:val="24"/>
                <w:vertAlign w:val="subscript"/>
              </w:rPr>
              <w:t>2</w:t>
            </w:r>
            <w:r>
              <w:rPr>
                <w:sz w:val="24"/>
                <w:szCs w:val="24"/>
              </w:rPr>
              <w:t>—距声源为</w:t>
            </w:r>
            <w:r>
              <w:rPr>
                <w:rFonts w:hint="eastAsia"/>
                <w:i/>
                <w:sz w:val="24"/>
                <w:szCs w:val="24"/>
              </w:rPr>
              <w:t>r</w:t>
            </w:r>
            <w:r>
              <w:rPr>
                <w:rFonts w:hint="eastAsia"/>
                <w:i/>
                <w:sz w:val="24"/>
                <w:szCs w:val="24"/>
                <w:vertAlign w:val="subscript"/>
              </w:rPr>
              <w:t>2</w:t>
            </w:r>
            <w:r>
              <w:rPr>
                <w:sz w:val="24"/>
                <w:szCs w:val="24"/>
                <w:lang w:val="en-GB"/>
              </w:rPr>
              <w:t>处</w:t>
            </w:r>
            <w:r>
              <w:rPr>
                <w:sz w:val="24"/>
                <w:szCs w:val="24"/>
              </w:rPr>
              <w:t>的声压级，</w:t>
            </w:r>
            <w:r>
              <w:rPr>
                <w:rFonts w:hint="eastAsia"/>
                <w:sz w:val="24"/>
                <w:szCs w:val="24"/>
              </w:rPr>
              <w:t>dB(A)</w:t>
            </w:r>
            <w:r>
              <w:rPr>
                <w:sz w:val="24"/>
                <w:szCs w:val="24"/>
              </w:rPr>
              <w:t>；</w:t>
            </w:r>
          </w:p>
          <w:p w14:paraId="17161EE9">
            <w:pPr>
              <w:spacing w:line="360" w:lineRule="auto"/>
              <w:ind w:firstLine="1200" w:firstLineChars="500"/>
              <w:rPr>
                <w:sz w:val="24"/>
                <w:szCs w:val="24"/>
              </w:rPr>
            </w:pPr>
            <w:r>
              <w:rPr>
                <w:rFonts w:hint="eastAsia"/>
                <w:i/>
                <w:sz w:val="24"/>
                <w:szCs w:val="24"/>
              </w:rPr>
              <w:t>r</w:t>
            </w:r>
            <w:r>
              <w:rPr>
                <w:rFonts w:hint="eastAsia"/>
                <w:i/>
                <w:sz w:val="24"/>
                <w:szCs w:val="24"/>
                <w:vertAlign w:val="subscript"/>
              </w:rPr>
              <w:t>1</w:t>
            </w:r>
            <w:r>
              <w:rPr>
                <w:rFonts w:hint="eastAsia"/>
                <w:i/>
                <w:sz w:val="24"/>
                <w:szCs w:val="24"/>
              </w:rPr>
              <w:t>、r</w:t>
            </w:r>
            <w:r>
              <w:rPr>
                <w:rFonts w:hint="eastAsia"/>
                <w:i/>
                <w:sz w:val="24"/>
                <w:szCs w:val="24"/>
                <w:vertAlign w:val="subscript"/>
              </w:rPr>
              <w:t>2</w:t>
            </w:r>
            <w:r>
              <w:rPr>
                <w:sz w:val="24"/>
                <w:szCs w:val="24"/>
              </w:rPr>
              <w:t>—分别为测点1、2与声源的距离，m。</w:t>
            </w:r>
          </w:p>
          <w:p w14:paraId="1042B2E5">
            <w:pPr>
              <w:spacing w:line="360" w:lineRule="auto"/>
              <w:ind w:firstLine="480" w:firstLineChars="200"/>
              <w:rPr>
                <w:sz w:val="24"/>
              </w:rPr>
            </w:pPr>
            <w:r>
              <w:rPr>
                <w:rFonts w:hint="eastAsia"/>
                <w:sz w:val="24"/>
              </w:rPr>
              <w:t>在同一受声点接受来自多个点声源的声能，可通过叠加得出该受声点的声压级。噪声叠加公式如下：</w:t>
            </w:r>
          </w:p>
          <w:p w14:paraId="1A95B962">
            <w:pPr>
              <w:pStyle w:val="14"/>
              <w:jc w:val="center"/>
            </w:pPr>
            <w:r>
              <w:rPr>
                <w:kern w:val="0"/>
                <w:sz w:val="24"/>
              </w:rPr>
              <w:drawing>
                <wp:inline distT="0" distB="0" distL="0" distR="0">
                  <wp:extent cx="1440815" cy="448310"/>
                  <wp:effectExtent l="0" t="0" r="0" b="0"/>
                  <wp:docPr id="44" name="图片 152"/>
                  <wp:cNvGraphicFramePr/>
                  <a:graphic xmlns:a="http://schemas.openxmlformats.org/drawingml/2006/main">
                    <a:graphicData uri="http://schemas.openxmlformats.org/drawingml/2006/picture">
                      <pic:pic xmlns:pic="http://schemas.openxmlformats.org/drawingml/2006/picture">
                        <pic:nvPicPr>
                          <pic:cNvPr id="44" name="图片 152"/>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440815" cy="448310"/>
                          </a:xfrm>
                          <a:prstGeom prst="rect">
                            <a:avLst/>
                          </a:prstGeom>
                          <a:noFill/>
                          <a:ln>
                            <a:noFill/>
                          </a:ln>
                          <a:effectLst/>
                        </pic:spPr>
                      </pic:pic>
                    </a:graphicData>
                  </a:graphic>
                </wp:inline>
              </w:drawing>
            </w:r>
          </w:p>
          <w:p w14:paraId="0A9C1378">
            <w:pPr>
              <w:spacing w:line="360" w:lineRule="auto"/>
              <w:ind w:firstLine="482"/>
              <w:rPr>
                <w:sz w:val="24"/>
                <w:szCs w:val="24"/>
              </w:rPr>
            </w:pPr>
            <w:r>
              <w:rPr>
                <w:rFonts w:hint="eastAsia"/>
                <w:sz w:val="24"/>
                <w:szCs w:val="24"/>
              </w:rPr>
              <w:t>式中：</w:t>
            </w:r>
            <w:r>
              <w:rPr>
                <w:i/>
                <w:iCs/>
                <w:sz w:val="24"/>
                <w:szCs w:val="24"/>
              </w:rPr>
              <w:t>L</w:t>
            </w:r>
            <w:r>
              <w:rPr>
                <w:sz w:val="24"/>
                <w:szCs w:val="24"/>
                <w:vertAlign w:val="subscript"/>
              </w:rPr>
              <w:t>i</w:t>
            </w:r>
            <w:r>
              <w:rPr>
                <w:sz w:val="24"/>
                <w:szCs w:val="24"/>
              </w:rPr>
              <w:t>——</w:t>
            </w:r>
            <w:r>
              <w:rPr>
                <w:rFonts w:hint="eastAsia"/>
                <w:sz w:val="24"/>
                <w:szCs w:val="24"/>
              </w:rPr>
              <w:t>第</w:t>
            </w:r>
            <w:r>
              <w:rPr>
                <w:sz w:val="24"/>
                <w:szCs w:val="24"/>
              </w:rPr>
              <w:t>i</w:t>
            </w:r>
            <w:r>
              <w:rPr>
                <w:rFonts w:hint="eastAsia"/>
                <w:sz w:val="24"/>
                <w:szCs w:val="24"/>
              </w:rPr>
              <w:t>个声源的贡献值，dB(A)；</w:t>
            </w:r>
          </w:p>
          <w:p w14:paraId="46B3D737">
            <w:pPr>
              <w:spacing w:line="360" w:lineRule="auto"/>
              <w:ind w:firstLine="1200" w:firstLineChars="500"/>
              <w:rPr>
                <w:sz w:val="24"/>
                <w:szCs w:val="24"/>
              </w:rPr>
            </w:pPr>
            <w:r>
              <w:rPr>
                <w:i/>
                <w:iCs/>
                <w:sz w:val="24"/>
                <w:szCs w:val="24"/>
              </w:rPr>
              <w:t>L</w:t>
            </w:r>
            <w:r>
              <w:rPr>
                <w:sz w:val="24"/>
                <w:szCs w:val="24"/>
              </w:rPr>
              <w:t>——</w:t>
            </w:r>
            <w:r>
              <w:rPr>
                <w:rFonts w:hint="eastAsia"/>
                <w:sz w:val="24"/>
                <w:szCs w:val="24"/>
              </w:rPr>
              <w:t>总声压级，dB(A)；</w:t>
            </w:r>
          </w:p>
          <w:p w14:paraId="53459DD9">
            <w:pPr>
              <w:spacing w:line="360" w:lineRule="auto"/>
              <w:ind w:firstLine="1200" w:firstLineChars="500"/>
              <w:rPr>
                <w:sz w:val="24"/>
                <w:szCs w:val="24"/>
              </w:rPr>
            </w:pPr>
            <w:r>
              <w:rPr>
                <w:i/>
                <w:iCs/>
                <w:sz w:val="24"/>
                <w:szCs w:val="24"/>
              </w:rPr>
              <w:t>n</w:t>
            </w:r>
            <w:r>
              <w:rPr>
                <w:sz w:val="24"/>
                <w:szCs w:val="24"/>
              </w:rPr>
              <w:t>——</w:t>
            </w:r>
            <w:r>
              <w:rPr>
                <w:rFonts w:hint="eastAsia"/>
                <w:sz w:val="24"/>
                <w:szCs w:val="24"/>
              </w:rPr>
              <w:t>噪声源数。</w:t>
            </w:r>
          </w:p>
          <w:p w14:paraId="5E4857E3">
            <w:pPr>
              <w:spacing w:line="360" w:lineRule="auto"/>
              <w:ind w:firstLine="480" w:firstLineChars="200"/>
              <w:rPr>
                <w:sz w:val="24"/>
              </w:rPr>
            </w:pPr>
            <w:r>
              <w:rPr>
                <w:rFonts w:hint="eastAsia"/>
                <w:sz w:val="24"/>
              </w:rPr>
              <w:t>③声源贡献值预测结果</w:t>
            </w:r>
          </w:p>
          <w:p w14:paraId="2CAB7F88">
            <w:pPr>
              <w:spacing w:line="360" w:lineRule="auto"/>
              <w:ind w:firstLine="480" w:firstLineChars="200"/>
              <w:rPr>
                <w:rFonts w:hint="eastAsia"/>
                <w:snapToGrid w:val="0"/>
                <w:kern w:val="0"/>
                <w:sz w:val="24"/>
              </w:rPr>
            </w:pPr>
            <w:r>
              <w:rPr>
                <w:rFonts w:hint="eastAsia" w:ascii="宋体" w:cs="宋体"/>
                <w:sz w:val="24"/>
                <w:szCs w:val="24"/>
              </w:rPr>
              <w:t>各施工阶段主要噪声源在不同距离处的平均等效声级计算结果详见下表</w:t>
            </w:r>
            <w:r>
              <w:rPr>
                <w:rFonts w:hint="eastAsia"/>
                <w:sz w:val="24"/>
              </w:rPr>
              <w:t>。</w:t>
            </w:r>
          </w:p>
          <w:p w14:paraId="567CF25B">
            <w:pPr>
              <w:adjustRightInd w:val="0"/>
              <w:snapToGrid w:val="0"/>
              <w:spacing w:line="360" w:lineRule="auto"/>
              <w:jc w:val="center"/>
              <w:rPr>
                <w:rFonts w:hint="eastAsia"/>
                <w:b/>
                <w:bCs/>
                <w:snapToGrid w:val="0"/>
                <w:kern w:val="0"/>
                <w:sz w:val="24"/>
                <w:szCs w:val="24"/>
              </w:rPr>
            </w:pPr>
            <w:r>
              <w:rPr>
                <w:b/>
                <w:bCs/>
                <w:snapToGrid w:val="0"/>
                <w:kern w:val="0"/>
                <w:sz w:val="24"/>
                <w:szCs w:val="24"/>
              </w:rPr>
              <w:t>表4</w:t>
            </w:r>
            <w:r>
              <w:rPr>
                <w:rFonts w:hint="eastAsia"/>
                <w:b/>
                <w:bCs/>
                <w:snapToGrid w:val="0"/>
                <w:kern w:val="0"/>
                <w:sz w:val="24"/>
                <w:szCs w:val="24"/>
              </w:rPr>
              <w:t xml:space="preserve">.1.3-2  施工期各阶段噪声设备在不同距离的贡献值 </w:t>
            </w:r>
            <w:r>
              <w:rPr>
                <w:b/>
                <w:bCs/>
                <w:snapToGrid w:val="0"/>
                <w:kern w:val="0"/>
                <w:sz w:val="24"/>
                <w:szCs w:val="24"/>
              </w:rPr>
              <w:t xml:space="preserve"> 单位：</w:t>
            </w:r>
            <w:bookmarkStart w:id="138" w:name="OLE_LINK58"/>
            <w:r>
              <w:rPr>
                <w:rFonts w:hint="eastAsia"/>
                <w:b/>
                <w:bCs/>
                <w:snapToGrid w:val="0"/>
                <w:kern w:val="0"/>
                <w:sz w:val="24"/>
                <w:szCs w:val="24"/>
              </w:rPr>
              <w:t>dB(A)</w:t>
            </w:r>
            <w:bookmarkEnd w:id="138"/>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06"/>
              <w:gridCol w:w="2270"/>
              <w:gridCol w:w="567"/>
              <w:gridCol w:w="567"/>
              <w:gridCol w:w="567"/>
              <w:gridCol w:w="567"/>
              <w:gridCol w:w="567"/>
              <w:gridCol w:w="567"/>
              <w:gridCol w:w="565"/>
              <w:gridCol w:w="567"/>
              <w:gridCol w:w="567"/>
              <w:gridCol w:w="563"/>
            </w:tblGrid>
            <w:tr w14:paraId="3BB6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tblHeader/>
                <w:jc w:val="center"/>
              </w:trPr>
              <w:tc>
                <w:tcPr>
                  <w:tcW w:w="409" w:type="pct"/>
                  <w:vMerge w:val="restart"/>
                  <w:vAlign w:val="center"/>
                </w:tcPr>
                <w:p w14:paraId="7D79B9DF">
                  <w:pPr>
                    <w:adjustRightInd w:val="0"/>
                    <w:snapToGrid w:val="0"/>
                    <w:jc w:val="center"/>
                    <w:rPr>
                      <w:b/>
                      <w:bCs/>
                      <w:color w:val="000000"/>
                    </w:rPr>
                  </w:pPr>
                  <w:r>
                    <w:rPr>
                      <w:b/>
                      <w:bCs/>
                      <w:color w:val="000000"/>
                    </w:rPr>
                    <w:t>施工阶段</w:t>
                  </w:r>
                </w:p>
              </w:tc>
              <w:tc>
                <w:tcPr>
                  <w:tcW w:w="1314" w:type="pct"/>
                  <w:vMerge w:val="restart"/>
                  <w:vAlign w:val="center"/>
                </w:tcPr>
                <w:p w14:paraId="0987C4A2">
                  <w:pPr>
                    <w:adjustRightInd w:val="0"/>
                    <w:snapToGrid w:val="0"/>
                    <w:jc w:val="center"/>
                    <w:rPr>
                      <w:b/>
                      <w:bCs/>
                      <w:color w:val="000000"/>
                    </w:rPr>
                  </w:pPr>
                  <w:r>
                    <w:rPr>
                      <w:b/>
                      <w:bCs/>
                      <w:color w:val="000000"/>
                    </w:rPr>
                    <w:t>设备名称</w:t>
                  </w:r>
                </w:p>
              </w:tc>
              <w:tc>
                <w:tcPr>
                  <w:tcW w:w="328" w:type="pct"/>
                  <w:vMerge w:val="restart"/>
                  <w:vAlign w:val="center"/>
                </w:tcPr>
                <w:p w14:paraId="10841CBC">
                  <w:pPr>
                    <w:adjustRightInd w:val="0"/>
                    <w:snapToGrid w:val="0"/>
                    <w:jc w:val="center"/>
                    <w:rPr>
                      <w:b/>
                      <w:bCs/>
                      <w:color w:val="000000"/>
                    </w:rPr>
                  </w:pPr>
                  <w:r>
                    <w:rPr>
                      <w:b/>
                      <w:bCs/>
                      <w:color w:val="000000"/>
                    </w:rPr>
                    <w:t>源强</w:t>
                  </w:r>
                </w:p>
              </w:tc>
              <w:tc>
                <w:tcPr>
                  <w:tcW w:w="2949" w:type="pct"/>
                  <w:gridSpan w:val="9"/>
                  <w:vAlign w:val="center"/>
                </w:tcPr>
                <w:p w14:paraId="605DCD13">
                  <w:pPr>
                    <w:adjustRightInd w:val="0"/>
                    <w:snapToGrid w:val="0"/>
                    <w:jc w:val="center"/>
                    <w:rPr>
                      <w:b/>
                      <w:bCs/>
                      <w:color w:val="000000"/>
                    </w:rPr>
                  </w:pPr>
                  <w:r>
                    <w:rPr>
                      <w:rFonts w:hint="eastAsia"/>
                      <w:b/>
                      <w:bCs/>
                      <w:color w:val="000000"/>
                    </w:rPr>
                    <w:t>距离（单位m）</w:t>
                  </w:r>
                </w:p>
              </w:tc>
            </w:tr>
            <w:tr w14:paraId="65EB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tblHeader/>
                <w:jc w:val="center"/>
              </w:trPr>
              <w:tc>
                <w:tcPr>
                  <w:tcW w:w="409" w:type="pct"/>
                  <w:vMerge w:val="continue"/>
                  <w:vAlign w:val="center"/>
                </w:tcPr>
                <w:p w14:paraId="60E0B343">
                  <w:pPr>
                    <w:adjustRightInd w:val="0"/>
                    <w:snapToGrid w:val="0"/>
                    <w:jc w:val="center"/>
                    <w:rPr>
                      <w:b/>
                      <w:bCs/>
                      <w:color w:val="000000"/>
                    </w:rPr>
                  </w:pPr>
                </w:p>
              </w:tc>
              <w:tc>
                <w:tcPr>
                  <w:tcW w:w="1314" w:type="pct"/>
                  <w:vMerge w:val="continue"/>
                  <w:vAlign w:val="center"/>
                </w:tcPr>
                <w:p w14:paraId="4C3A2DA1">
                  <w:pPr>
                    <w:adjustRightInd w:val="0"/>
                    <w:snapToGrid w:val="0"/>
                    <w:jc w:val="center"/>
                    <w:rPr>
                      <w:b/>
                      <w:bCs/>
                      <w:color w:val="000000"/>
                    </w:rPr>
                  </w:pPr>
                </w:p>
              </w:tc>
              <w:tc>
                <w:tcPr>
                  <w:tcW w:w="328" w:type="pct"/>
                  <w:vMerge w:val="continue"/>
                  <w:vAlign w:val="center"/>
                </w:tcPr>
                <w:p w14:paraId="320BA026">
                  <w:pPr>
                    <w:adjustRightInd w:val="0"/>
                    <w:snapToGrid w:val="0"/>
                    <w:jc w:val="center"/>
                    <w:rPr>
                      <w:b/>
                      <w:bCs/>
                      <w:color w:val="000000"/>
                    </w:rPr>
                  </w:pPr>
                </w:p>
              </w:tc>
              <w:tc>
                <w:tcPr>
                  <w:tcW w:w="328" w:type="pct"/>
                  <w:vAlign w:val="center"/>
                </w:tcPr>
                <w:p w14:paraId="5F5BC730">
                  <w:pPr>
                    <w:adjustRightInd w:val="0"/>
                    <w:snapToGrid w:val="0"/>
                    <w:jc w:val="center"/>
                    <w:rPr>
                      <w:b/>
                      <w:bCs/>
                      <w:color w:val="000000"/>
                    </w:rPr>
                  </w:pPr>
                  <w:r>
                    <w:rPr>
                      <w:b/>
                      <w:bCs/>
                      <w:color w:val="000000"/>
                    </w:rPr>
                    <w:t>5</w:t>
                  </w:r>
                </w:p>
              </w:tc>
              <w:tc>
                <w:tcPr>
                  <w:tcW w:w="328" w:type="pct"/>
                  <w:vAlign w:val="center"/>
                </w:tcPr>
                <w:p w14:paraId="6F5E6ED4">
                  <w:pPr>
                    <w:adjustRightInd w:val="0"/>
                    <w:snapToGrid w:val="0"/>
                    <w:jc w:val="center"/>
                    <w:rPr>
                      <w:b/>
                      <w:bCs/>
                      <w:color w:val="000000"/>
                    </w:rPr>
                  </w:pPr>
                  <w:r>
                    <w:rPr>
                      <w:b/>
                      <w:bCs/>
                      <w:color w:val="000000"/>
                    </w:rPr>
                    <w:t>10</w:t>
                  </w:r>
                </w:p>
              </w:tc>
              <w:tc>
                <w:tcPr>
                  <w:tcW w:w="328" w:type="pct"/>
                  <w:vAlign w:val="center"/>
                </w:tcPr>
                <w:p w14:paraId="5734D01D">
                  <w:pPr>
                    <w:adjustRightInd w:val="0"/>
                    <w:snapToGrid w:val="0"/>
                    <w:jc w:val="center"/>
                    <w:rPr>
                      <w:b/>
                      <w:bCs/>
                      <w:color w:val="000000"/>
                    </w:rPr>
                  </w:pPr>
                  <w:r>
                    <w:rPr>
                      <w:b/>
                      <w:bCs/>
                      <w:color w:val="000000"/>
                    </w:rPr>
                    <w:t>20</w:t>
                  </w:r>
                </w:p>
              </w:tc>
              <w:tc>
                <w:tcPr>
                  <w:tcW w:w="328" w:type="pct"/>
                  <w:vAlign w:val="center"/>
                </w:tcPr>
                <w:p w14:paraId="35D57BF6">
                  <w:pPr>
                    <w:adjustRightInd w:val="0"/>
                    <w:snapToGrid w:val="0"/>
                    <w:jc w:val="center"/>
                    <w:rPr>
                      <w:b/>
                      <w:bCs/>
                      <w:color w:val="000000"/>
                    </w:rPr>
                  </w:pPr>
                  <w:r>
                    <w:rPr>
                      <w:b/>
                      <w:bCs/>
                      <w:color w:val="000000"/>
                    </w:rPr>
                    <w:t>30</w:t>
                  </w:r>
                </w:p>
              </w:tc>
              <w:tc>
                <w:tcPr>
                  <w:tcW w:w="328" w:type="pct"/>
                  <w:vAlign w:val="center"/>
                </w:tcPr>
                <w:p w14:paraId="71CCDC63">
                  <w:pPr>
                    <w:adjustRightInd w:val="0"/>
                    <w:snapToGrid w:val="0"/>
                    <w:jc w:val="center"/>
                    <w:rPr>
                      <w:b/>
                      <w:bCs/>
                      <w:color w:val="000000"/>
                    </w:rPr>
                  </w:pPr>
                  <w:r>
                    <w:rPr>
                      <w:b/>
                      <w:bCs/>
                      <w:color w:val="000000"/>
                    </w:rPr>
                    <w:t>40</w:t>
                  </w:r>
                </w:p>
              </w:tc>
              <w:tc>
                <w:tcPr>
                  <w:tcW w:w="327" w:type="pct"/>
                  <w:vAlign w:val="center"/>
                </w:tcPr>
                <w:p w14:paraId="6D686FB4">
                  <w:pPr>
                    <w:adjustRightInd w:val="0"/>
                    <w:snapToGrid w:val="0"/>
                    <w:jc w:val="center"/>
                    <w:rPr>
                      <w:b/>
                      <w:bCs/>
                      <w:color w:val="000000"/>
                    </w:rPr>
                  </w:pPr>
                  <w:r>
                    <w:rPr>
                      <w:b/>
                      <w:bCs/>
                      <w:color w:val="000000"/>
                    </w:rPr>
                    <w:t>50</w:t>
                  </w:r>
                </w:p>
              </w:tc>
              <w:tc>
                <w:tcPr>
                  <w:tcW w:w="328" w:type="pct"/>
                  <w:vAlign w:val="center"/>
                </w:tcPr>
                <w:p w14:paraId="548E351C">
                  <w:pPr>
                    <w:adjustRightInd w:val="0"/>
                    <w:snapToGrid w:val="0"/>
                    <w:jc w:val="center"/>
                    <w:rPr>
                      <w:b/>
                      <w:bCs/>
                      <w:color w:val="000000"/>
                    </w:rPr>
                  </w:pPr>
                  <w:r>
                    <w:rPr>
                      <w:b/>
                      <w:bCs/>
                      <w:color w:val="000000"/>
                    </w:rPr>
                    <w:t>100</w:t>
                  </w:r>
                </w:p>
              </w:tc>
              <w:tc>
                <w:tcPr>
                  <w:tcW w:w="328" w:type="pct"/>
                  <w:vAlign w:val="center"/>
                </w:tcPr>
                <w:p w14:paraId="1A034BD3">
                  <w:pPr>
                    <w:adjustRightInd w:val="0"/>
                    <w:snapToGrid w:val="0"/>
                    <w:jc w:val="center"/>
                    <w:rPr>
                      <w:b/>
                      <w:bCs/>
                      <w:color w:val="000000"/>
                    </w:rPr>
                  </w:pPr>
                  <w:r>
                    <w:rPr>
                      <w:b/>
                      <w:bCs/>
                      <w:color w:val="000000"/>
                    </w:rPr>
                    <w:t>150</w:t>
                  </w:r>
                </w:p>
              </w:tc>
              <w:tc>
                <w:tcPr>
                  <w:tcW w:w="325" w:type="pct"/>
                  <w:vAlign w:val="center"/>
                </w:tcPr>
                <w:p w14:paraId="53872B80">
                  <w:pPr>
                    <w:adjustRightInd w:val="0"/>
                    <w:snapToGrid w:val="0"/>
                    <w:jc w:val="center"/>
                    <w:rPr>
                      <w:b/>
                      <w:bCs/>
                      <w:color w:val="000000"/>
                    </w:rPr>
                  </w:pPr>
                  <w:r>
                    <w:rPr>
                      <w:b/>
                      <w:bCs/>
                      <w:color w:val="000000"/>
                    </w:rPr>
                    <w:t>200</w:t>
                  </w:r>
                </w:p>
              </w:tc>
            </w:tr>
            <w:tr w14:paraId="7F68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restart"/>
                  <w:vAlign w:val="center"/>
                </w:tcPr>
                <w:p w14:paraId="2CA6BFA3">
                  <w:pPr>
                    <w:pStyle w:val="95"/>
                    <w:spacing w:before="0" w:after="0"/>
                    <w:rPr>
                      <w:color w:val="000000"/>
                    </w:rPr>
                  </w:pPr>
                  <w:r>
                    <w:rPr>
                      <w:rFonts w:hint="eastAsia"/>
                      <w:color w:val="000000"/>
                    </w:rPr>
                    <w:t>土石方阶段</w:t>
                  </w:r>
                </w:p>
              </w:tc>
              <w:tc>
                <w:tcPr>
                  <w:tcW w:w="1314" w:type="pct"/>
                  <w:vAlign w:val="center"/>
                </w:tcPr>
                <w:p w14:paraId="1C91D363">
                  <w:pPr>
                    <w:pStyle w:val="95"/>
                    <w:spacing w:before="0" w:after="0"/>
                    <w:rPr>
                      <w:color w:val="000000"/>
                      <w:sz w:val="18"/>
                      <w:szCs w:val="18"/>
                    </w:rPr>
                  </w:pPr>
                  <w:r>
                    <w:rPr>
                      <w:color w:val="000000"/>
                    </w:rPr>
                    <w:t>推土机</w:t>
                  </w:r>
                </w:p>
              </w:tc>
              <w:tc>
                <w:tcPr>
                  <w:tcW w:w="328" w:type="pct"/>
                  <w:vAlign w:val="center"/>
                </w:tcPr>
                <w:p w14:paraId="6DE62407">
                  <w:pPr>
                    <w:pStyle w:val="95"/>
                    <w:spacing w:before="0" w:after="0"/>
                    <w:rPr>
                      <w:color w:val="000000"/>
                      <w:sz w:val="18"/>
                      <w:szCs w:val="18"/>
                    </w:rPr>
                  </w:pPr>
                  <w:r>
                    <w:rPr>
                      <w:rFonts w:hint="eastAsia"/>
                      <w:color w:val="000000"/>
                    </w:rPr>
                    <w:t>8</w:t>
                  </w:r>
                  <w:r>
                    <w:rPr>
                      <w:color w:val="000000"/>
                    </w:rPr>
                    <w:t>5</w:t>
                  </w:r>
                </w:p>
              </w:tc>
              <w:tc>
                <w:tcPr>
                  <w:tcW w:w="328" w:type="pct"/>
                  <w:vAlign w:val="center"/>
                </w:tcPr>
                <w:p w14:paraId="0907860D">
                  <w:pPr>
                    <w:widowControl/>
                    <w:jc w:val="center"/>
                    <w:textAlignment w:val="center"/>
                    <w:rPr>
                      <w:color w:val="000000"/>
                    </w:rPr>
                  </w:pPr>
                  <w:r>
                    <w:rPr>
                      <w:color w:val="000000"/>
                      <w:kern w:val="0"/>
                      <w:lang w:bidi="ar"/>
                    </w:rPr>
                    <w:t>61</w:t>
                  </w:r>
                </w:p>
              </w:tc>
              <w:tc>
                <w:tcPr>
                  <w:tcW w:w="328" w:type="pct"/>
                  <w:vAlign w:val="center"/>
                </w:tcPr>
                <w:p w14:paraId="2C5DB1E1">
                  <w:pPr>
                    <w:widowControl/>
                    <w:jc w:val="center"/>
                    <w:textAlignment w:val="center"/>
                    <w:rPr>
                      <w:color w:val="000000"/>
                    </w:rPr>
                  </w:pPr>
                  <w:r>
                    <w:rPr>
                      <w:color w:val="000000"/>
                      <w:kern w:val="0"/>
                      <w:lang w:bidi="ar"/>
                    </w:rPr>
                    <w:t>55</w:t>
                  </w:r>
                </w:p>
              </w:tc>
              <w:tc>
                <w:tcPr>
                  <w:tcW w:w="328" w:type="pct"/>
                  <w:vAlign w:val="center"/>
                </w:tcPr>
                <w:p w14:paraId="6A7AF812">
                  <w:pPr>
                    <w:widowControl/>
                    <w:jc w:val="center"/>
                    <w:textAlignment w:val="center"/>
                    <w:rPr>
                      <w:color w:val="000000"/>
                    </w:rPr>
                  </w:pPr>
                  <w:r>
                    <w:rPr>
                      <w:color w:val="000000"/>
                      <w:kern w:val="0"/>
                      <w:lang w:bidi="ar"/>
                    </w:rPr>
                    <w:t>49</w:t>
                  </w:r>
                </w:p>
              </w:tc>
              <w:tc>
                <w:tcPr>
                  <w:tcW w:w="328" w:type="pct"/>
                  <w:vAlign w:val="center"/>
                </w:tcPr>
                <w:p w14:paraId="77CDEE35">
                  <w:pPr>
                    <w:widowControl/>
                    <w:jc w:val="center"/>
                    <w:textAlignment w:val="center"/>
                    <w:rPr>
                      <w:color w:val="000000"/>
                    </w:rPr>
                  </w:pPr>
                  <w:r>
                    <w:rPr>
                      <w:color w:val="000000"/>
                      <w:kern w:val="0"/>
                      <w:lang w:bidi="ar"/>
                    </w:rPr>
                    <w:t>45</w:t>
                  </w:r>
                </w:p>
              </w:tc>
              <w:tc>
                <w:tcPr>
                  <w:tcW w:w="328" w:type="pct"/>
                  <w:vAlign w:val="center"/>
                </w:tcPr>
                <w:p w14:paraId="155DCE20">
                  <w:pPr>
                    <w:widowControl/>
                    <w:jc w:val="center"/>
                    <w:textAlignment w:val="center"/>
                    <w:rPr>
                      <w:color w:val="000000"/>
                    </w:rPr>
                  </w:pPr>
                  <w:r>
                    <w:rPr>
                      <w:color w:val="000000"/>
                      <w:kern w:val="0"/>
                      <w:lang w:bidi="ar"/>
                    </w:rPr>
                    <w:t>43</w:t>
                  </w:r>
                </w:p>
              </w:tc>
              <w:tc>
                <w:tcPr>
                  <w:tcW w:w="327" w:type="pct"/>
                  <w:vAlign w:val="center"/>
                </w:tcPr>
                <w:p w14:paraId="179F0E06">
                  <w:pPr>
                    <w:widowControl/>
                    <w:jc w:val="center"/>
                    <w:textAlignment w:val="center"/>
                    <w:rPr>
                      <w:color w:val="000000"/>
                    </w:rPr>
                  </w:pPr>
                  <w:r>
                    <w:rPr>
                      <w:color w:val="000000"/>
                      <w:kern w:val="0"/>
                      <w:lang w:bidi="ar"/>
                    </w:rPr>
                    <w:t>41</w:t>
                  </w:r>
                </w:p>
              </w:tc>
              <w:tc>
                <w:tcPr>
                  <w:tcW w:w="328" w:type="pct"/>
                  <w:vAlign w:val="center"/>
                </w:tcPr>
                <w:p w14:paraId="5C768151">
                  <w:pPr>
                    <w:widowControl/>
                    <w:jc w:val="center"/>
                    <w:textAlignment w:val="center"/>
                    <w:rPr>
                      <w:color w:val="000000"/>
                    </w:rPr>
                  </w:pPr>
                  <w:r>
                    <w:rPr>
                      <w:color w:val="000000"/>
                      <w:kern w:val="0"/>
                      <w:lang w:bidi="ar"/>
                    </w:rPr>
                    <w:t>35</w:t>
                  </w:r>
                </w:p>
              </w:tc>
              <w:tc>
                <w:tcPr>
                  <w:tcW w:w="328" w:type="pct"/>
                  <w:vAlign w:val="center"/>
                </w:tcPr>
                <w:p w14:paraId="768EEC01">
                  <w:pPr>
                    <w:widowControl/>
                    <w:jc w:val="center"/>
                    <w:textAlignment w:val="center"/>
                    <w:rPr>
                      <w:color w:val="000000"/>
                    </w:rPr>
                  </w:pPr>
                  <w:r>
                    <w:rPr>
                      <w:color w:val="000000"/>
                      <w:kern w:val="0"/>
                      <w:lang w:bidi="ar"/>
                    </w:rPr>
                    <w:t>31</w:t>
                  </w:r>
                </w:p>
              </w:tc>
              <w:tc>
                <w:tcPr>
                  <w:tcW w:w="325" w:type="pct"/>
                  <w:vAlign w:val="center"/>
                </w:tcPr>
                <w:p w14:paraId="73CFA5D9">
                  <w:pPr>
                    <w:widowControl/>
                    <w:jc w:val="center"/>
                    <w:textAlignment w:val="center"/>
                    <w:rPr>
                      <w:color w:val="000000"/>
                    </w:rPr>
                  </w:pPr>
                  <w:r>
                    <w:rPr>
                      <w:color w:val="000000"/>
                      <w:kern w:val="0"/>
                      <w:lang w:bidi="ar"/>
                    </w:rPr>
                    <w:t>29</w:t>
                  </w:r>
                </w:p>
              </w:tc>
            </w:tr>
            <w:tr w14:paraId="721D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continue"/>
                  <w:vAlign w:val="center"/>
                </w:tcPr>
                <w:p w14:paraId="37A7D09C">
                  <w:pPr>
                    <w:pStyle w:val="95"/>
                    <w:spacing w:before="0" w:after="0"/>
                    <w:rPr>
                      <w:color w:val="000000"/>
                    </w:rPr>
                  </w:pPr>
                </w:p>
              </w:tc>
              <w:tc>
                <w:tcPr>
                  <w:tcW w:w="1314" w:type="pct"/>
                  <w:vAlign w:val="center"/>
                </w:tcPr>
                <w:p w14:paraId="6F00E6C6">
                  <w:pPr>
                    <w:pStyle w:val="95"/>
                    <w:spacing w:before="0" w:after="0"/>
                    <w:rPr>
                      <w:color w:val="000000"/>
                      <w:sz w:val="18"/>
                      <w:szCs w:val="18"/>
                    </w:rPr>
                  </w:pPr>
                  <w:r>
                    <w:rPr>
                      <w:color w:val="000000"/>
                    </w:rPr>
                    <w:t>挖掘机</w:t>
                  </w:r>
                </w:p>
              </w:tc>
              <w:tc>
                <w:tcPr>
                  <w:tcW w:w="328" w:type="pct"/>
                  <w:vAlign w:val="center"/>
                </w:tcPr>
                <w:p w14:paraId="5802A00F">
                  <w:pPr>
                    <w:pStyle w:val="95"/>
                    <w:spacing w:before="0" w:after="0"/>
                    <w:rPr>
                      <w:color w:val="000000"/>
                      <w:sz w:val="18"/>
                      <w:szCs w:val="18"/>
                    </w:rPr>
                  </w:pPr>
                  <w:r>
                    <w:rPr>
                      <w:rFonts w:hint="eastAsia"/>
                      <w:color w:val="000000"/>
                    </w:rPr>
                    <w:t>8</w:t>
                  </w:r>
                  <w:r>
                    <w:rPr>
                      <w:color w:val="000000"/>
                    </w:rPr>
                    <w:t>6</w:t>
                  </w:r>
                </w:p>
              </w:tc>
              <w:tc>
                <w:tcPr>
                  <w:tcW w:w="328" w:type="pct"/>
                  <w:vAlign w:val="center"/>
                </w:tcPr>
                <w:p w14:paraId="2A32E7C7">
                  <w:pPr>
                    <w:widowControl/>
                    <w:jc w:val="center"/>
                    <w:textAlignment w:val="center"/>
                    <w:rPr>
                      <w:color w:val="000000"/>
                    </w:rPr>
                  </w:pPr>
                  <w:r>
                    <w:rPr>
                      <w:color w:val="000000"/>
                      <w:kern w:val="0"/>
                      <w:lang w:bidi="ar"/>
                    </w:rPr>
                    <w:t>62</w:t>
                  </w:r>
                </w:p>
              </w:tc>
              <w:tc>
                <w:tcPr>
                  <w:tcW w:w="328" w:type="pct"/>
                  <w:vAlign w:val="center"/>
                </w:tcPr>
                <w:p w14:paraId="059D2971">
                  <w:pPr>
                    <w:widowControl/>
                    <w:jc w:val="center"/>
                    <w:textAlignment w:val="center"/>
                    <w:rPr>
                      <w:color w:val="000000"/>
                    </w:rPr>
                  </w:pPr>
                  <w:r>
                    <w:rPr>
                      <w:color w:val="000000"/>
                      <w:kern w:val="0"/>
                      <w:lang w:bidi="ar"/>
                    </w:rPr>
                    <w:t>56</w:t>
                  </w:r>
                </w:p>
              </w:tc>
              <w:tc>
                <w:tcPr>
                  <w:tcW w:w="328" w:type="pct"/>
                  <w:vAlign w:val="center"/>
                </w:tcPr>
                <w:p w14:paraId="3FDAB7BA">
                  <w:pPr>
                    <w:widowControl/>
                    <w:jc w:val="center"/>
                    <w:textAlignment w:val="center"/>
                    <w:rPr>
                      <w:color w:val="000000"/>
                    </w:rPr>
                  </w:pPr>
                  <w:r>
                    <w:rPr>
                      <w:color w:val="000000"/>
                      <w:kern w:val="0"/>
                      <w:lang w:bidi="ar"/>
                    </w:rPr>
                    <w:t>50</w:t>
                  </w:r>
                </w:p>
              </w:tc>
              <w:tc>
                <w:tcPr>
                  <w:tcW w:w="328" w:type="pct"/>
                  <w:vAlign w:val="center"/>
                </w:tcPr>
                <w:p w14:paraId="62CC6124">
                  <w:pPr>
                    <w:widowControl/>
                    <w:jc w:val="center"/>
                    <w:textAlignment w:val="center"/>
                    <w:rPr>
                      <w:color w:val="000000"/>
                    </w:rPr>
                  </w:pPr>
                  <w:r>
                    <w:rPr>
                      <w:color w:val="000000"/>
                      <w:kern w:val="0"/>
                      <w:lang w:bidi="ar"/>
                    </w:rPr>
                    <w:t>46</w:t>
                  </w:r>
                </w:p>
              </w:tc>
              <w:tc>
                <w:tcPr>
                  <w:tcW w:w="328" w:type="pct"/>
                  <w:vAlign w:val="center"/>
                </w:tcPr>
                <w:p w14:paraId="577F449E">
                  <w:pPr>
                    <w:widowControl/>
                    <w:jc w:val="center"/>
                    <w:textAlignment w:val="center"/>
                    <w:rPr>
                      <w:color w:val="000000"/>
                    </w:rPr>
                  </w:pPr>
                  <w:r>
                    <w:rPr>
                      <w:color w:val="000000"/>
                      <w:kern w:val="0"/>
                      <w:lang w:bidi="ar"/>
                    </w:rPr>
                    <w:t>44</w:t>
                  </w:r>
                </w:p>
              </w:tc>
              <w:tc>
                <w:tcPr>
                  <w:tcW w:w="327" w:type="pct"/>
                  <w:vAlign w:val="center"/>
                </w:tcPr>
                <w:p w14:paraId="5EC1E7D3">
                  <w:pPr>
                    <w:widowControl/>
                    <w:jc w:val="center"/>
                    <w:textAlignment w:val="center"/>
                    <w:rPr>
                      <w:color w:val="000000"/>
                    </w:rPr>
                  </w:pPr>
                  <w:r>
                    <w:rPr>
                      <w:color w:val="000000"/>
                      <w:kern w:val="0"/>
                      <w:lang w:bidi="ar"/>
                    </w:rPr>
                    <w:t>42</w:t>
                  </w:r>
                </w:p>
              </w:tc>
              <w:tc>
                <w:tcPr>
                  <w:tcW w:w="328" w:type="pct"/>
                  <w:vAlign w:val="center"/>
                </w:tcPr>
                <w:p w14:paraId="01534DF7">
                  <w:pPr>
                    <w:widowControl/>
                    <w:jc w:val="center"/>
                    <w:textAlignment w:val="center"/>
                    <w:rPr>
                      <w:color w:val="000000"/>
                    </w:rPr>
                  </w:pPr>
                  <w:r>
                    <w:rPr>
                      <w:color w:val="000000"/>
                      <w:kern w:val="0"/>
                      <w:lang w:bidi="ar"/>
                    </w:rPr>
                    <w:t>36</w:t>
                  </w:r>
                </w:p>
              </w:tc>
              <w:tc>
                <w:tcPr>
                  <w:tcW w:w="328" w:type="pct"/>
                  <w:vAlign w:val="center"/>
                </w:tcPr>
                <w:p w14:paraId="3FB0219A">
                  <w:pPr>
                    <w:widowControl/>
                    <w:jc w:val="center"/>
                    <w:textAlignment w:val="center"/>
                    <w:rPr>
                      <w:color w:val="000000"/>
                    </w:rPr>
                  </w:pPr>
                  <w:r>
                    <w:rPr>
                      <w:color w:val="000000"/>
                      <w:kern w:val="0"/>
                      <w:lang w:bidi="ar"/>
                    </w:rPr>
                    <w:t>32</w:t>
                  </w:r>
                </w:p>
              </w:tc>
              <w:tc>
                <w:tcPr>
                  <w:tcW w:w="325" w:type="pct"/>
                  <w:vAlign w:val="center"/>
                </w:tcPr>
                <w:p w14:paraId="0DB1FB8A">
                  <w:pPr>
                    <w:widowControl/>
                    <w:jc w:val="center"/>
                    <w:textAlignment w:val="center"/>
                    <w:rPr>
                      <w:color w:val="000000"/>
                    </w:rPr>
                  </w:pPr>
                  <w:r>
                    <w:rPr>
                      <w:color w:val="000000"/>
                      <w:kern w:val="0"/>
                      <w:lang w:bidi="ar"/>
                    </w:rPr>
                    <w:t>30</w:t>
                  </w:r>
                </w:p>
              </w:tc>
            </w:tr>
            <w:tr w14:paraId="1CD9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continue"/>
                  <w:vAlign w:val="center"/>
                </w:tcPr>
                <w:p w14:paraId="16802CC2">
                  <w:pPr>
                    <w:pStyle w:val="95"/>
                    <w:spacing w:before="0" w:after="0"/>
                    <w:rPr>
                      <w:color w:val="000000"/>
                    </w:rPr>
                  </w:pPr>
                </w:p>
              </w:tc>
              <w:tc>
                <w:tcPr>
                  <w:tcW w:w="1642" w:type="pct"/>
                  <w:gridSpan w:val="2"/>
                  <w:vAlign w:val="center"/>
                </w:tcPr>
                <w:p w14:paraId="2F57AAB7">
                  <w:pPr>
                    <w:pStyle w:val="95"/>
                    <w:spacing w:before="0" w:after="0"/>
                    <w:rPr>
                      <w:color w:val="000000"/>
                    </w:rPr>
                  </w:pPr>
                  <w:r>
                    <w:rPr>
                      <w:rFonts w:hint="eastAsia"/>
                      <w:color w:val="000000"/>
                    </w:rPr>
                    <w:t>贡献值叠加</w:t>
                  </w:r>
                </w:p>
              </w:tc>
              <w:tc>
                <w:tcPr>
                  <w:tcW w:w="328" w:type="pct"/>
                  <w:vAlign w:val="center"/>
                </w:tcPr>
                <w:p w14:paraId="021D9655">
                  <w:pPr>
                    <w:widowControl/>
                    <w:jc w:val="center"/>
                    <w:textAlignment w:val="center"/>
                    <w:rPr>
                      <w:color w:val="000000"/>
                    </w:rPr>
                  </w:pPr>
                  <w:r>
                    <w:rPr>
                      <w:color w:val="000000"/>
                    </w:rPr>
                    <w:t xml:space="preserve">63 </w:t>
                  </w:r>
                </w:p>
              </w:tc>
              <w:tc>
                <w:tcPr>
                  <w:tcW w:w="328" w:type="pct"/>
                  <w:vAlign w:val="center"/>
                </w:tcPr>
                <w:p w14:paraId="3A9B08F1">
                  <w:pPr>
                    <w:widowControl/>
                    <w:jc w:val="center"/>
                    <w:textAlignment w:val="center"/>
                    <w:rPr>
                      <w:color w:val="000000"/>
                    </w:rPr>
                  </w:pPr>
                  <w:r>
                    <w:rPr>
                      <w:color w:val="000000"/>
                    </w:rPr>
                    <w:t xml:space="preserve">57 </w:t>
                  </w:r>
                </w:p>
              </w:tc>
              <w:tc>
                <w:tcPr>
                  <w:tcW w:w="328" w:type="pct"/>
                  <w:vAlign w:val="center"/>
                </w:tcPr>
                <w:p w14:paraId="2B052186">
                  <w:pPr>
                    <w:widowControl/>
                    <w:jc w:val="center"/>
                    <w:textAlignment w:val="center"/>
                    <w:rPr>
                      <w:color w:val="000000"/>
                    </w:rPr>
                  </w:pPr>
                  <w:r>
                    <w:rPr>
                      <w:color w:val="000000"/>
                    </w:rPr>
                    <w:t xml:space="preserve">51 </w:t>
                  </w:r>
                </w:p>
              </w:tc>
              <w:tc>
                <w:tcPr>
                  <w:tcW w:w="328" w:type="pct"/>
                  <w:vAlign w:val="center"/>
                </w:tcPr>
                <w:p w14:paraId="644CAF5D">
                  <w:pPr>
                    <w:widowControl/>
                    <w:jc w:val="center"/>
                    <w:textAlignment w:val="center"/>
                    <w:rPr>
                      <w:color w:val="000000"/>
                    </w:rPr>
                  </w:pPr>
                  <w:r>
                    <w:rPr>
                      <w:color w:val="000000"/>
                    </w:rPr>
                    <w:t xml:space="preserve">48 </w:t>
                  </w:r>
                </w:p>
              </w:tc>
              <w:tc>
                <w:tcPr>
                  <w:tcW w:w="328" w:type="pct"/>
                  <w:vAlign w:val="center"/>
                </w:tcPr>
                <w:p w14:paraId="285ED0E8">
                  <w:pPr>
                    <w:widowControl/>
                    <w:jc w:val="center"/>
                    <w:textAlignment w:val="center"/>
                    <w:rPr>
                      <w:color w:val="000000"/>
                    </w:rPr>
                  </w:pPr>
                  <w:r>
                    <w:rPr>
                      <w:color w:val="000000"/>
                    </w:rPr>
                    <w:t xml:space="preserve">45 </w:t>
                  </w:r>
                </w:p>
              </w:tc>
              <w:tc>
                <w:tcPr>
                  <w:tcW w:w="327" w:type="pct"/>
                  <w:vAlign w:val="center"/>
                </w:tcPr>
                <w:p w14:paraId="0D47B806">
                  <w:pPr>
                    <w:widowControl/>
                    <w:jc w:val="center"/>
                    <w:textAlignment w:val="center"/>
                    <w:rPr>
                      <w:color w:val="000000"/>
                    </w:rPr>
                  </w:pPr>
                  <w:r>
                    <w:rPr>
                      <w:color w:val="000000"/>
                    </w:rPr>
                    <w:t xml:space="preserve">43 </w:t>
                  </w:r>
                </w:p>
              </w:tc>
              <w:tc>
                <w:tcPr>
                  <w:tcW w:w="328" w:type="pct"/>
                  <w:vAlign w:val="center"/>
                </w:tcPr>
                <w:p w14:paraId="11B85BCB">
                  <w:pPr>
                    <w:widowControl/>
                    <w:jc w:val="center"/>
                    <w:textAlignment w:val="center"/>
                    <w:rPr>
                      <w:color w:val="000000"/>
                    </w:rPr>
                  </w:pPr>
                  <w:r>
                    <w:rPr>
                      <w:color w:val="000000"/>
                    </w:rPr>
                    <w:t xml:space="preserve">37 </w:t>
                  </w:r>
                </w:p>
              </w:tc>
              <w:tc>
                <w:tcPr>
                  <w:tcW w:w="328" w:type="pct"/>
                  <w:vAlign w:val="center"/>
                </w:tcPr>
                <w:p w14:paraId="4E920404">
                  <w:pPr>
                    <w:widowControl/>
                    <w:jc w:val="center"/>
                    <w:textAlignment w:val="center"/>
                    <w:rPr>
                      <w:color w:val="000000"/>
                    </w:rPr>
                  </w:pPr>
                  <w:r>
                    <w:rPr>
                      <w:color w:val="000000"/>
                    </w:rPr>
                    <w:t xml:space="preserve">34 </w:t>
                  </w:r>
                </w:p>
              </w:tc>
              <w:tc>
                <w:tcPr>
                  <w:tcW w:w="325" w:type="pct"/>
                  <w:vAlign w:val="center"/>
                </w:tcPr>
                <w:p w14:paraId="046F8BA4">
                  <w:pPr>
                    <w:widowControl/>
                    <w:jc w:val="center"/>
                    <w:textAlignment w:val="center"/>
                    <w:rPr>
                      <w:color w:val="000000"/>
                    </w:rPr>
                  </w:pPr>
                  <w:r>
                    <w:rPr>
                      <w:color w:val="000000"/>
                    </w:rPr>
                    <w:t xml:space="preserve">31 </w:t>
                  </w:r>
                </w:p>
              </w:tc>
            </w:tr>
            <w:tr w14:paraId="5ADA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restart"/>
                  <w:vAlign w:val="center"/>
                </w:tcPr>
                <w:p w14:paraId="3EC16C82">
                  <w:pPr>
                    <w:pStyle w:val="95"/>
                    <w:spacing w:before="0" w:after="0"/>
                    <w:rPr>
                      <w:color w:val="000000"/>
                    </w:rPr>
                  </w:pPr>
                  <w:r>
                    <w:rPr>
                      <w:rFonts w:hint="eastAsia"/>
                      <w:color w:val="000000"/>
                    </w:rPr>
                    <w:t>基础和主体建设阶段</w:t>
                  </w:r>
                </w:p>
              </w:tc>
              <w:tc>
                <w:tcPr>
                  <w:tcW w:w="1314" w:type="pct"/>
                  <w:vAlign w:val="center"/>
                </w:tcPr>
                <w:p w14:paraId="383DB4C0">
                  <w:pPr>
                    <w:pStyle w:val="95"/>
                    <w:spacing w:before="0" w:after="0"/>
                    <w:rPr>
                      <w:color w:val="000000"/>
                      <w:sz w:val="18"/>
                      <w:szCs w:val="18"/>
                    </w:rPr>
                  </w:pPr>
                  <w:r>
                    <w:rPr>
                      <w:rFonts w:hint="eastAsia"/>
                      <w:color w:val="000000"/>
                    </w:rPr>
                    <w:t>手风钻</w:t>
                  </w:r>
                </w:p>
              </w:tc>
              <w:tc>
                <w:tcPr>
                  <w:tcW w:w="328" w:type="pct"/>
                  <w:vAlign w:val="center"/>
                </w:tcPr>
                <w:p w14:paraId="260A3F24">
                  <w:pPr>
                    <w:pStyle w:val="95"/>
                    <w:spacing w:before="0" w:after="0"/>
                    <w:rPr>
                      <w:color w:val="000000"/>
                    </w:rPr>
                  </w:pPr>
                  <w:r>
                    <w:rPr>
                      <w:rFonts w:hint="eastAsia"/>
                      <w:color w:val="000000"/>
                    </w:rPr>
                    <w:t>9</w:t>
                  </w:r>
                  <w:r>
                    <w:rPr>
                      <w:color w:val="000000"/>
                    </w:rPr>
                    <w:t>0</w:t>
                  </w:r>
                </w:p>
              </w:tc>
              <w:tc>
                <w:tcPr>
                  <w:tcW w:w="328" w:type="pct"/>
                  <w:vAlign w:val="center"/>
                </w:tcPr>
                <w:p w14:paraId="73EE63BD">
                  <w:pPr>
                    <w:widowControl/>
                    <w:jc w:val="center"/>
                    <w:textAlignment w:val="center"/>
                    <w:rPr>
                      <w:color w:val="000000"/>
                    </w:rPr>
                  </w:pPr>
                  <w:r>
                    <w:rPr>
                      <w:color w:val="000000"/>
                      <w:kern w:val="0"/>
                      <w:lang w:bidi="ar"/>
                    </w:rPr>
                    <w:t>66</w:t>
                  </w:r>
                </w:p>
              </w:tc>
              <w:tc>
                <w:tcPr>
                  <w:tcW w:w="328" w:type="pct"/>
                  <w:vAlign w:val="center"/>
                </w:tcPr>
                <w:p w14:paraId="517A6552">
                  <w:pPr>
                    <w:widowControl/>
                    <w:jc w:val="center"/>
                    <w:textAlignment w:val="center"/>
                    <w:rPr>
                      <w:color w:val="000000"/>
                      <w:szCs w:val="24"/>
                    </w:rPr>
                  </w:pPr>
                  <w:r>
                    <w:rPr>
                      <w:color w:val="000000"/>
                      <w:kern w:val="0"/>
                      <w:lang w:bidi="ar"/>
                    </w:rPr>
                    <w:t>60</w:t>
                  </w:r>
                </w:p>
              </w:tc>
              <w:tc>
                <w:tcPr>
                  <w:tcW w:w="328" w:type="pct"/>
                  <w:vAlign w:val="center"/>
                </w:tcPr>
                <w:p w14:paraId="4E878584">
                  <w:pPr>
                    <w:widowControl/>
                    <w:jc w:val="center"/>
                    <w:textAlignment w:val="center"/>
                    <w:rPr>
                      <w:color w:val="000000"/>
                      <w:szCs w:val="24"/>
                    </w:rPr>
                  </w:pPr>
                  <w:r>
                    <w:rPr>
                      <w:color w:val="000000"/>
                      <w:kern w:val="0"/>
                      <w:lang w:bidi="ar"/>
                    </w:rPr>
                    <w:t>54</w:t>
                  </w:r>
                </w:p>
              </w:tc>
              <w:tc>
                <w:tcPr>
                  <w:tcW w:w="328" w:type="pct"/>
                  <w:vAlign w:val="center"/>
                </w:tcPr>
                <w:p w14:paraId="1A4C56B2">
                  <w:pPr>
                    <w:widowControl/>
                    <w:jc w:val="center"/>
                    <w:textAlignment w:val="center"/>
                    <w:rPr>
                      <w:color w:val="000000"/>
                      <w:szCs w:val="24"/>
                    </w:rPr>
                  </w:pPr>
                  <w:r>
                    <w:rPr>
                      <w:color w:val="000000"/>
                      <w:kern w:val="0"/>
                      <w:lang w:bidi="ar"/>
                    </w:rPr>
                    <w:t>50</w:t>
                  </w:r>
                </w:p>
              </w:tc>
              <w:tc>
                <w:tcPr>
                  <w:tcW w:w="328" w:type="pct"/>
                  <w:vAlign w:val="center"/>
                </w:tcPr>
                <w:p w14:paraId="61DA8ADD">
                  <w:pPr>
                    <w:widowControl/>
                    <w:jc w:val="center"/>
                    <w:textAlignment w:val="center"/>
                    <w:rPr>
                      <w:color w:val="000000"/>
                      <w:szCs w:val="24"/>
                    </w:rPr>
                  </w:pPr>
                  <w:r>
                    <w:rPr>
                      <w:color w:val="000000"/>
                      <w:kern w:val="0"/>
                      <w:lang w:bidi="ar"/>
                    </w:rPr>
                    <w:t>48</w:t>
                  </w:r>
                </w:p>
              </w:tc>
              <w:tc>
                <w:tcPr>
                  <w:tcW w:w="327" w:type="pct"/>
                  <w:vAlign w:val="center"/>
                </w:tcPr>
                <w:p w14:paraId="0D00CC6C">
                  <w:pPr>
                    <w:widowControl/>
                    <w:jc w:val="center"/>
                    <w:textAlignment w:val="center"/>
                    <w:rPr>
                      <w:color w:val="000000"/>
                      <w:szCs w:val="24"/>
                    </w:rPr>
                  </w:pPr>
                  <w:r>
                    <w:rPr>
                      <w:color w:val="000000"/>
                      <w:kern w:val="0"/>
                      <w:lang w:bidi="ar"/>
                    </w:rPr>
                    <w:t>46</w:t>
                  </w:r>
                </w:p>
              </w:tc>
              <w:tc>
                <w:tcPr>
                  <w:tcW w:w="328" w:type="pct"/>
                  <w:vAlign w:val="center"/>
                </w:tcPr>
                <w:p w14:paraId="4C3F983D">
                  <w:pPr>
                    <w:widowControl/>
                    <w:jc w:val="center"/>
                    <w:textAlignment w:val="center"/>
                    <w:rPr>
                      <w:color w:val="000000"/>
                      <w:szCs w:val="24"/>
                    </w:rPr>
                  </w:pPr>
                  <w:r>
                    <w:rPr>
                      <w:color w:val="000000"/>
                      <w:kern w:val="0"/>
                      <w:lang w:bidi="ar"/>
                    </w:rPr>
                    <w:t>40</w:t>
                  </w:r>
                </w:p>
              </w:tc>
              <w:tc>
                <w:tcPr>
                  <w:tcW w:w="328" w:type="pct"/>
                  <w:vAlign w:val="center"/>
                </w:tcPr>
                <w:p w14:paraId="4E3CA54B">
                  <w:pPr>
                    <w:widowControl/>
                    <w:jc w:val="center"/>
                    <w:textAlignment w:val="center"/>
                    <w:rPr>
                      <w:color w:val="000000"/>
                      <w:szCs w:val="24"/>
                    </w:rPr>
                  </w:pPr>
                  <w:r>
                    <w:rPr>
                      <w:color w:val="000000"/>
                      <w:kern w:val="0"/>
                      <w:lang w:bidi="ar"/>
                    </w:rPr>
                    <w:t>36</w:t>
                  </w:r>
                </w:p>
              </w:tc>
              <w:tc>
                <w:tcPr>
                  <w:tcW w:w="325" w:type="pct"/>
                  <w:vAlign w:val="center"/>
                </w:tcPr>
                <w:p w14:paraId="0D687E5E">
                  <w:pPr>
                    <w:widowControl/>
                    <w:jc w:val="center"/>
                    <w:textAlignment w:val="center"/>
                    <w:rPr>
                      <w:color w:val="000000"/>
                      <w:szCs w:val="24"/>
                    </w:rPr>
                  </w:pPr>
                  <w:r>
                    <w:rPr>
                      <w:color w:val="000000"/>
                      <w:kern w:val="0"/>
                      <w:lang w:bidi="ar"/>
                    </w:rPr>
                    <w:t>34</w:t>
                  </w:r>
                </w:p>
              </w:tc>
            </w:tr>
            <w:tr w14:paraId="00B6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continue"/>
                  <w:vAlign w:val="center"/>
                </w:tcPr>
                <w:p w14:paraId="1E38BDAF">
                  <w:pPr>
                    <w:pStyle w:val="95"/>
                    <w:spacing w:before="0" w:after="0"/>
                    <w:rPr>
                      <w:color w:val="000000"/>
                    </w:rPr>
                  </w:pPr>
                </w:p>
              </w:tc>
              <w:tc>
                <w:tcPr>
                  <w:tcW w:w="1314" w:type="pct"/>
                  <w:vAlign w:val="center"/>
                </w:tcPr>
                <w:p w14:paraId="4162824E">
                  <w:pPr>
                    <w:pStyle w:val="95"/>
                    <w:spacing w:before="0" w:after="0"/>
                    <w:rPr>
                      <w:color w:val="000000"/>
                      <w:sz w:val="18"/>
                      <w:szCs w:val="18"/>
                    </w:rPr>
                  </w:pPr>
                  <w:r>
                    <w:rPr>
                      <w:rFonts w:hint="eastAsia" w:ascii="宋体" w:cs="宋体"/>
                      <w:color w:val="000000"/>
                    </w:rPr>
                    <w:t>一体式潜孔钻</w:t>
                  </w:r>
                </w:p>
              </w:tc>
              <w:tc>
                <w:tcPr>
                  <w:tcW w:w="328" w:type="pct"/>
                  <w:vAlign w:val="center"/>
                </w:tcPr>
                <w:p w14:paraId="3BBD0583">
                  <w:pPr>
                    <w:pStyle w:val="95"/>
                    <w:spacing w:before="0" w:after="0"/>
                    <w:rPr>
                      <w:color w:val="000000"/>
                    </w:rPr>
                  </w:pPr>
                  <w:r>
                    <w:rPr>
                      <w:rFonts w:hint="eastAsia"/>
                      <w:color w:val="000000"/>
                    </w:rPr>
                    <w:t>9</w:t>
                  </w:r>
                  <w:r>
                    <w:rPr>
                      <w:color w:val="000000"/>
                    </w:rPr>
                    <w:t>0</w:t>
                  </w:r>
                </w:p>
              </w:tc>
              <w:tc>
                <w:tcPr>
                  <w:tcW w:w="328" w:type="pct"/>
                  <w:vAlign w:val="center"/>
                </w:tcPr>
                <w:p w14:paraId="7E4E1CC8">
                  <w:pPr>
                    <w:widowControl/>
                    <w:jc w:val="center"/>
                    <w:textAlignment w:val="center"/>
                    <w:rPr>
                      <w:color w:val="000000"/>
                    </w:rPr>
                  </w:pPr>
                  <w:r>
                    <w:rPr>
                      <w:color w:val="000000"/>
                      <w:kern w:val="0"/>
                      <w:lang w:bidi="ar"/>
                    </w:rPr>
                    <w:t>66</w:t>
                  </w:r>
                </w:p>
              </w:tc>
              <w:tc>
                <w:tcPr>
                  <w:tcW w:w="328" w:type="pct"/>
                  <w:vAlign w:val="center"/>
                </w:tcPr>
                <w:p w14:paraId="6FAA4A15">
                  <w:pPr>
                    <w:widowControl/>
                    <w:jc w:val="center"/>
                    <w:textAlignment w:val="center"/>
                    <w:rPr>
                      <w:color w:val="000000"/>
                      <w:szCs w:val="24"/>
                    </w:rPr>
                  </w:pPr>
                  <w:r>
                    <w:rPr>
                      <w:color w:val="000000"/>
                      <w:kern w:val="0"/>
                      <w:lang w:bidi="ar"/>
                    </w:rPr>
                    <w:t>60</w:t>
                  </w:r>
                </w:p>
              </w:tc>
              <w:tc>
                <w:tcPr>
                  <w:tcW w:w="328" w:type="pct"/>
                  <w:vAlign w:val="center"/>
                </w:tcPr>
                <w:p w14:paraId="28F395C5">
                  <w:pPr>
                    <w:widowControl/>
                    <w:jc w:val="center"/>
                    <w:textAlignment w:val="center"/>
                    <w:rPr>
                      <w:color w:val="000000"/>
                      <w:szCs w:val="24"/>
                    </w:rPr>
                  </w:pPr>
                  <w:r>
                    <w:rPr>
                      <w:color w:val="000000"/>
                      <w:kern w:val="0"/>
                      <w:lang w:bidi="ar"/>
                    </w:rPr>
                    <w:t>54</w:t>
                  </w:r>
                </w:p>
              </w:tc>
              <w:tc>
                <w:tcPr>
                  <w:tcW w:w="328" w:type="pct"/>
                  <w:vAlign w:val="center"/>
                </w:tcPr>
                <w:p w14:paraId="6E2195FC">
                  <w:pPr>
                    <w:widowControl/>
                    <w:jc w:val="center"/>
                    <w:textAlignment w:val="center"/>
                    <w:rPr>
                      <w:color w:val="000000"/>
                      <w:szCs w:val="24"/>
                    </w:rPr>
                  </w:pPr>
                  <w:r>
                    <w:rPr>
                      <w:color w:val="000000"/>
                      <w:kern w:val="0"/>
                      <w:lang w:bidi="ar"/>
                    </w:rPr>
                    <w:t>50</w:t>
                  </w:r>
                </w:p>
              </w:tc>
              <w:tc>
                <w:tcPr>
                  <w:tcW w:w="328" w:type="pct"/>
                  <w:vAlign w:val="center"/>
                </w:tcPr>
                <w:p w14:paraId="697A5D86">
                  <w:pPr>
                    <w:widowControl/>
                    <w:jc w:val="center"/>
                    <w:textAlignment w:val="center"/>
                    <w:rPr>
                      <w:color w:val="000000"/>
                      <w:szCs w:val="24"/>
                    </w:rPr>
                  </w:pPr>
                  <w:r>
                    <w:rPr>
                      <w:color w:val="000000"/>
                      <w:kern w:val="0"/>
                      <w:lang w:bidi="ar"/>
                    </w:rPr>
                    <w:t>48</w:t>
                  </w:r>
                </w:p>
              </w:tc>
              <w:tc>
                <w:tcPr>
                  <w:tcW w:w="327" w:type="pct"/>
                  <w:vAlign w:val="center"/>
                </w:tcPr>
                <w:p w14:paraId="5F8326F8">
                  <w:pPr>
                    <w:widowControl/>
                    <w:jc w:val="center"/>
                    <w:textAlignment w:val="center"/>
                    <w:rPr>
                      <w:color w:val="000000"/>
                      <w:szCs w:val="24"/>
                    </w:rPr>
                  </w:pPr>
                  <w:r>
                    <w:rPr>
                      <w:color w:val="000000"/>
                      <w:kern w:val="0"/>
                      <w:lang w:bidi="ar"/>
                    </w:rPr>
                    <w:t>46</w:t>
                  </w:r>
                </w:p>
              </w:tc>
              <w:tc>
                <w:tcPr>
                  <w:tcW w:w="328" w:type="pct"/>
                  <w:vAlign w:val="center"/>
                </w:tcPr>
                <w:p w14:paraId="3E51F251">
                  <w:pPr>
                    <w:widowControl/>
                    <w:jc w:val="center"/>
                    <w:textAlignment w:val="center"/>
                    <w:rPr>
                      <w:color w:val="000000"/>
                      <w:szCs w:val="24"/>
                    </w:rPr>
                  </w:pPr>
                  <w:r>
                    <w:rPr>
                      <w:color w:val="000000"/>
                      <w:kern w:val="0"/>
                      <w:lang w:bidi="ar"/>
                    </w:rPr>
                    <w:t>40</w:t>
                  </w:r>
                </w:p>
              </w:tc>
              <w:tc>
                <w:tcPr>
                  <w:tcW w:w="328" w:type="pct"/>
                  <w:vAlign w:val="center"/>
                </w:tcPr>
                <w:p w14:paraId="7C467702">
                  <w:pPr>
                    <w:widowControl/>
                    <w:jc w:val="center"/>
                    <w:textAlignment w:val="center"/>
                    <w:rPr>
                      <w:color w:val="000000"/>
                      <w:szCs w:val="24"/>
                    </w:rPr>
                  </w:pPr>
                  <w:r>
                    <w:rPr>
                      <w:color w:val="000000"/>
                      <w:kern w:val="0"/>
                      <w:lang w:bidi="ar"/>
                    </w:rPr>
                    <w:t>36</w:t>
                  </w:r>
                </w:p>
              </w:tc>
              <w:tc>
                <w:tcPr>
                  <w:tcW w:w="325" w:type="pct"/>
                  <w:vAlign w:val="center"/>
                </w:tcPr>
                <w:p w14:paraId="1A57C79F">
                  <w:pPr>
                    <w:widowControl/>
                    <w:jc w:val="center"/>
                    <w:textAlignment w:val="center"/>
                    <w:rPr>
                      <w:color w:val="000000"/>
                      <w:szCs w:val="24"/>
                    </w:rPr>
                  </w:pPr>
                  <w:r>
                    <w:rPr>
                      <w:color w:val="000000"/>
                      <w:kern w:val="0"/>
                      <w:lang w:bidi="ar"/>
                    </w:rPr>
                    <w:t>34</w:t>
                  </w:r>
                </w:p>
              </w:tc>
            </w:tr>
            <w:tr w14:paraId="36E4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continue"/>
                  <w:vAlign w:val="center"/>
                </w:tcPr>
                <w:p w14:paraId="5CEE53DD">
                  <w:pPr>
                    <w:pStyle w:val="95"/>
                    <w:spacing w:before="0" w:after="0"/>
                    <w:rPr>
                      <w:color w:val="000000"/>
                    </w:rPr>
                  </w:pPr>
                </w:p>
              </w:tc>
              <w:tc>
                <w:tcPr>
                  <w:tcW w:w="1314" w:type="pct"/>
                  <w:vAlign w:val="center"/>
                </w:tcPr>
                <w:p w14:paraId="4853709A">
                  <w:pPr>
                    <w:pStyle w:val="95"/>
                    <w:spacing w:before="0" w:after="0"/>
                    <w:rPr>
                      <w:color w:val="000000"/>
                      <w:sz w:val="18"/>
                      <w:szCs w:val="18"/>
                    </w:rPr>
                  </w:pPr>
                  <w:r>
                    <w:rPr>
                      <w:rFonts w:hint="eastAsia" w:ascii="宋体" w:cs="宋体"/>
                      <w:color w:val="000000"/>
                    </w:rPr>
                    <w:t>履带式潜孔钻机</w:t>
                  </w:r>
                </w:p>
              </w:tc>
              <w:tc>
                <w:tcPr>
                  <w:tcW w:w="328" w:type="pct"/>
                  <w:vAlign w:val="center"/>
                </w:tcPr>
                <w:p w14:paraId="7796CF04">
                  <w:pPr>
                    <w:pStyle w:val="95"/>
                    <w:spacing w:before="0" w:after="0"/>
                    <w:rPr>
                      <w:color w:val="000000"/>
                    </w:rPr>
                  </w:pPr>
                  <w:r>
                    <w:rPr>
                      <w:rFonts w:hint="eastAsia"/>
                      <w:color w:val="000000"/>
                    </w:rPr>
                    <w:t>9</w:t>
                  </w:r>
                  <w:r>
                    <w:rPr>
                      <w:color w:val="000000"/>
                    </w:rPr>
                    <w:t>0</w:t>
                  </w:r>
                </w:p>
              </w:tc>
              <w:tc>
                <w:tcPr>
                  <w:tcW w:w="328" w:type="pct"/>
                  <w:vAlign w:val="center"/>
                </w:tcPr>
                <w:p w14:paraId="515DB90B">
                  <w:pPr>
                    <w:widowControl/>
                    <w:jc w:val="center"/>
                    <w:textAlignment w:val="center"/>
                    <w:rPr>
                      <w:color w:val="000000"/>
                    </w:rPr>
                  </w:pPr>
                  <w:r>
                    <w:rPr>
                      <w:color w:val="000000"/>
                      <w:kern w:val="0"/>
                      <w:lang w:bidi="ar"/>
                    </w:rPr>
                    <w:t>66</w:t>
                  </w:r>
                </w:p>
              </w:tc>
              <w:tc>
                <w:tcPr>
                  <w:tcW w:w="328" w:type="pct"/>
                  <w:vAlign w:val="center"/>
                </w:tcPr>
                <w:p w14:paraId="0F18FB11">
                  <w:pPr>
                    <w:widowControl/>
                    <w:jc w:val="center"/>
                    <w:textAlignment w:val="center"/>
                    <w:rPr>
                      <w:color w:val="000000"/>
                      <w:szCs w:val="24"/>
                    </w:rPr>
                  </w:pPr>
                  <w:r>
                    <w:rPr>
                      <w:color w:val="000000"/>
                      <w:kern w:val="0"/>
                      <w:lang w:bidi="ar"/>
                    </w:rPr>
                    <w:t>60</w:t>
                  </w:r>
                </w:p>
              </w:tc>
              <w:tc>
                <w:tcPr>
                  <w:tcW w:w="328" w:type="pct"/>
                  <w:vAlign w:val="center"/>
                </w:tcPr>
                <w:p w14:paraId="09FE88E7">
                  <w:pPr>
                    <w:widowControl/>
                    <w:jc w:val="center"/>
                    <w:textAlignment w:val="center"/>
                    <w:rPr>
                      <w:color w:val="000000"/>
                      <w:szCs w:val="24"/>
                    </w:rPr>
                  </w:pPr>
                  <w:r>
                    <w:rPr>
                      <w:color w:val="000000"/>
                      <w:kern w:val="0"/>
                      <w:lang w:bidi="ar"/>
                    </w:rPr>
                    <w:t>54</w:t>
                  </w:r>
                </w:p>
              </w:tc>
              <w:tc>
                <w:tcPr>
                  <w:tcW w:w="328" w:type="pct"/>
                  <w:vAlign w:val="center"/>
                </w:tcPr>
                <w:p w14:paraId="6662022A">
                  <w:pPr>
                    <w:widowControl/>
                    <w:jc w:val="center"/>
                    <w:textAlignment w:val="center"/>
                    <w:rPr>
                      <w:color w:val="000000"/>
                      <w:szCs w:val="24"/>
                    </w:rPr>
                  </w:pPr>
                  <w:r>
                    <w:rPr>
                      <w:color w:val="000000"/>
                      <w:kern w:val="0"/>
                      <w:lang w:bidi="ar"/>
                    </w:rPr>
                    <w:t>50</w:t>
                  </w:r>
                </w:p>
              </w:tc>
              <w:tc>
                <w:tcPr>
                  <w:tcW w:w="328" w:type="pct"/>
                  <w:vAlign w:val="center"/>
                </w:tcPr>
                <w:p w14:paraId="42A46832">
                  <w:pPr>
                    <w:widowControl/>
                    <w:jc w:val="center"/>
                    <w:textAlignment w:val="center"/>
                    <w:rPr>
                      <w:color w:val="000000"/>
                      <w:szCs w:val="24"/>
                    </w:rPr>
                  </w:pPr>
                  <w:r>
                    <w:rPr>
                      <w:color w:val="000000"/>
                      <w:kern w:val="0"/>
                      <w:lang w:bidi="ar"/>
                    </w:rPr>
                    <w:t>48</w:t>
                  </w:r>
                </w:p>
              </w:tc>
              <w:tc>
                <w:tcPr>
                  <w:tcW w:w="327" w:type="pct"/>
                  <w:vAlign w:val="center"/>
                </w:tcPr>
                <w:p w14:paraId="3AC9A123">
                  <w:pPr>
                    <w:widowControl/>
                    <w:jc w:val="center"/>
                    <w:textAlignment w:val="center"/>
                    <w:rPr>
                      <w:color w:val="000000"/>
                      <w:szCs w:val="24"/>
                    </w:rPr>
                  </w:pPr>
                  <w:r>
                    <w:rPr>
                      <w:color w:val="000000"/>
                      <w:kern w:val="0"/>
                      <w:lang w:bidi="ar"/>
                    </w:rPr>
                    <w:t>46</w:t>
                  </w:r>
                </w:p>
              </w:tc>
              <w:tc>
                <w:tcPr>
                  <w:tcW w:w="328" w:type="pct"/>
                  <w:vAlign w:val="center"/>
                </w:tcPr>
                <w:p w14:paraId="1BEA9CE6">
                  <w:pPr>
                    <w:widowControl/>
                    <w:jc w:val="center"/>
                    <w:textAlignment w:val="center"/>
                    <w:rPr>
                      <w:color w:val="000000"/>
                      <w:szCs w:val="24"/>
                    </w:rPr>
                  </w:pPr>
                  <w:r>
                    <w:rPr>
                      <w:color w:val="000000"/>
                      <w:kern w:val="0"/>
                      <w:lang w:bidi="ar"/>
                    </w:rPr>
                    <w:t>40</w:t>
                  </w:r>
                </w:p>
              </w:tc>
              <w:tc>
                <w:tcPr>
                  <w:tcW w:w="328" w:type="pct"/>
                  <w:vAlign w:val="center"/>
                </w:tcPr>
                <w:p w14:paraId="322ABBFC">
                  <w:pPr>
                    <w:widowControl/>
                    <w:jc w:val="center"/>
                    <w:textAlignment w:val="center"/>
                    <w:rPr>
                      <w:color w:val="000000"/>
                      <w:szCs w:val="24"/>
                    </w:rPr>
                  </w:pPr>
                  <w:r>
                    <w:rPr>
                      <w:color w:val="000000"/>
                      <w:kern w:val="0"/>
                      <w:lang w:bidi="ar"/>
                    </w:rPr>
                    <w:t>36</w:t>
                  </w:r>
                </w:p>
              </w:tc>
              <w:tc>
                <w:tcPr>
                  <w:tcW w:w="325" w:type="pct"/>
                  <w:vAlign w:val="center"/>
                </w:tcPr>
                <w:p w14:paraId="7508893C">
                  <w:pPr>
                    <w:widowControl/>
                    <w:jc w:val="center"/>
                    <w:textAlignment w:val="center"/>
                    <w:rPr>
                      <w:color w:val="000000"/>
                      <w:szCs w:val="24"/>
                    </w:rPr>
                  </w:pPr>
                  <w:r>
                    <w:rPr>
                      <w:color w:val="000000"/>
                      <w:kern w:val="0"/>
                      <w:lang w:bidi="ar"/>
                    </w:rPr>
                    <w:t>34</w:t>
                  </w:r>
                </w:p>
              </w:tc>
            </w:tr>
            <w:tr w14:paraId="61C1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continue"/>
                  <w:vAlign w:val="center"/>
                </w:tcPr>
                <w:p w14:paraId="040241A9">
                  <w:pPr>
                    <w:pStyle w:val="95"/>
                    <w:spacing w:before="0" w:after="0"/>
                    <w:rPr>
                      <w:color w:val="000000"/>
                    </w:rPr>
                  </w:pPr>
                </w:p>
              </w:tc>
              <w:tc>
                <w:tcPr>
                  <w:tcW w:w="1314" w:type="pct"/>
                  <w:vAlign w:val="center"/>
                </w:tcPr>
                <w:p w14:paraId="560B5576">
                  <w:pPr>
                    <w:pStyle w:val="95"/>
                    <w:spacing w:before="0" w:after="0"/>
                    <w:rPr>
                      <w:color w:val="000000"/>
                      <w:sz w:val="18"/>
                      <w:szCs w:val="18"/>
                    </w:rPr>
                  </w:pPr>
                  <w:r>
                    <w:rPr>
                      <w:rFonts w:hint="eastAsia"/>
                      <w:color w:val="000000"/>
                    </w:rPr>
                    <w:t>空压机</w:t>
                  </w:r>
                </w:p>
              </w:tc>
              <w:tc>
                <w:tcPr>
                  <w:tcW w:w="328" w:type="pct"/>
                  <w:vAlign w:val="center"/>
                </w:tcPr>
                <w:p w14:paraId="12F93A39">
                  <w:pPr>
                    <w:pStyle w:val="95"/>
                    <w:spacing w:before="0" w:after="0"/>
                    <w:rPr>
                      <w:color w:val="000000"/>
                    </w:rPr>
                  </w:pPr>
                  <w:r>
                    <w:rPr>
                      <w:rFonts w:hint="eastAsia"/>
                      <w:color w:val="000000"/>
                    </w:rPr>
                    <w:t>8</w:t>
                  </w:r>
                  <w:r>
                    <w:rPr>
                      <w:color w:val="000000"/>
                    </w:rPr>
                    <w:t>5</w:t>
                  </w:r>
                </w:p>
              </w:tc>
              <w:tc>
                <w:tcPr>
                  <w:tcW w:w="328" w:type="pct"/>
                  <w:vAlign w:val="center"/>
                </w:tcPr>
                <w:p w14:paraId="186DE501">
                  <w:pPr>
                    <w:widowControl/>
                    <w:jc w:val="center"/>
                    <w:textAlignment w:val="center"/>
                    <w:rPr>
                      <w:color w:val="000000"/>
                    </w:rPr>
                  </w:pPr>
                  <w:r>
                    <w:rPr>
                      <w:color w:val="000000"/>
                      <w:kern w:val="0"/>
                      <w:lang w:bidi="ar"/>
                    </w:rPr>
                    <w:t>61</w:t>
                  </w:r>
                </w:p>
              </w:tc>
              <w:tc>
                <w:tcPr>
                  <w:tcW w:w="328" w:type="pct"/>
                  <w:vAlign w:val="center"/>
                </w:tcPr>
                <w:p w14:paraId="77A99EFC">
                  <w:pPr>
                    <w:widowControl/>
                    <w:jc w:val="center"/>
                    <w:textAlignment w:val="center"/>
                    <w:rPr>
                      <w:color w:val="000000"/>
                      <w:szCs w:val="24"/>
                    </w:rPr>
                  </w:pPr>
                  <w:r>
                    <w:rPr>
                      <w:color w:val="000000"/>
                      <w:kern w:val="0"/>
                      <w:lang w:bidi="ar"/>
                    </w:rPr>
                    <w:t>55</w:t>
                  </w:r>
                </w:p>
              </w:tc>
              <w:tc>
                <w:tcPr>
                  <w:tcW w:w="328" w:type="pct"/>
                  <w:vAlign w:val="center"/>
                </w:tcPr>
                <w:p w14:paraId="7E19D2C8">
                  <w:pPr>
                    <w:widowControl/>
                    <w:jc w:val="center"/>
                    <w:textAlignment w:val="center"/>
                    <w:rPr>
                      <w:color w:val="000000"/>
                      <w:szCs w:val="24"/>
                    </w:rPr>
                  </w:pPr>
                  <w:r>
                    <w:rPr>
                      <w:color w:val="000000"/>
                      <w:kern w:val="0"/>
                      <w:lang w:bidi="ar"/>
                    </w:rPr>
                    <w:t>49</w:t>
                  </w:r>
                </w:p>
              </w:tc>
              <w:tc>
                <w:tcPr>
                  <w:tcW w:w="328" w:type="pct"/>
                  <w:vAlign w:val="center"/>
                </w:tcPr>
                <w:p w14:paraId="1EABE161">
                  <w:pPr>
                    <w:widowControl/>
                    <w:jc w:val="center"/>
                    <w:textAlignment w:val="center"/>
                    <w:rPr>
                      <w:color w:val="000000"/>
                      <w:szCs w:val="24"/>
                    </w:rPr>
                  </w:pPr>
                  <w:r>
                    <w:rPr>
                      <w:color w:val="000000"/>
                      <w:kern w:val="0"/>
                      <w:lang w:bidi="ar"/>
                    </w:rPr>
                    <w:t>45</w:t>
                  </w:r>
                </w:p>
              </w:tc>
              <w:tc>
                <w:tcPr>
                  <w:tcW w:w="328" w:type="pct"/>
                  <w:vAlign w:val="center"/>
                </w:tcPr>
                <w:p w14:paraId="6D7BFAEA">
                  <w:pPr>
                    <w:widowControl/>
                    <w:jc w:val="center"/>
                    <w:textAlignment w:val="center"/>
                    <w:rPr>
                      <w:color w:val="000000"/>
                      <w:szCs w:val="24"/>
                    </w:rPr>
                  </w:pPr>
                  <w:r>
                    <w:rPr>
                      <w:color w:val="000000"/>
                      <w:kern w:val="0"/>
                      <w:lang w:bidi="ar"/>
                    </w:rPr>
                    <w:t>43</w:t>
                  </w:r>
                </w:p>
              </w:tc>
              <w:tc>
                <w:tcPr>
                  <w:tcW w:w="327" w:type="pct"/>
                  <w:vAlign w:val="center"/>
                </w:tcPr>
                <w:p w14:paraId="245A654F">
                  <w:pPr>
                    <w:widowControl/>
                    <w:jc w:val="center"/>
                    <w:textAlignment w:val="center"/>
                    <w:rPr>
                      <w:color w:val="000000"/>
                      <w:szCs w:val="24"/>
                    </w:rPr>
                  </w:pPr>
                  <w:r>
                    <w:rPr>
                      <w:color w:val="000000"/>
                      <w:kern w:val="0"/>
                      <w:lang w:bidi="ar"/>
                    </w:rPr>
                    <w:t>41</w:t>
                  </w:r>
                </w:p>
              </w:tc>
              <w:tc>
                <w:tcPr>
                  <w:tcW w:w="328" w:type="pct"/>
                  <w:vAlign w:val="center"/>
                </w:tcPr>
                <w:p w14:paraId="4E42FBA8">
                  <w:pPr>
                    <w:widowControl/>
                    <w:jc w:val="center"/>
                    <w:textAlignment w:val="center"/>
                    <w:rPr>
                      <w:color w:val="000000"/>
                      <w:szCs w:val="24"/>
                    </w:rPr>
                  </w:pPr>
                  <w:r>
                    <w:rPr>
                      <w:color w:val="000000"/>
                      <w:kern w:val="0"/>
                      <w:lang w:bidi="ar"/>
                    </w:rPr>
                    <w:t>35</w:t>
                  </w:r>
                </w:p>
              </w:tc>
              <w:tc>
                <w:tcPr>
                  <w:tcW w:w="328" w:type="pct"/>
                  <w:vAlign w:val="center"/>
                </w:tcPr>
                <w:p w14:paraId="3809AD9D">
                  <w:pPr>
                    <w:widowControl/>
                    <w:jc w:val="center"/>
                    <w:textAlignment w:val="center"/>
                    <w:rPr>
                      <w:color w:val="000000"/>
                      <w:szCs w:val="24"/>
                    </w:rPr>
                  </w:pPr>
                  <w:r>
                    <w:rPr>
                      <w:color w:val="000000"/>
                      <w:kern w:val="0"/>
                      <w:lang w:bidi="ar"/>
                    </w:rPr>
                    <w:t>31</w:t>
                  </w:r>
                </w:p>
              </w:tc>
              <w:tc>
                <w:tcPr>
                  <w:tcW w:w="325" w:type="pct"/>
                  <w:vAlign w:val="center"/>
                </w:tcPr>
                <w:p w14:paraId="4C494E80">
                  <w:pPr>
                    <w:widowControl/>
                    <w:jc w:val="center"/>
                    <w:textAlignment w:val="center"/>
                    <w:rPr>
                      <w:color w:val="000000"/>
                      <w:szCs w:val="24"/>
                    </w:rPr>
                  </w:pPr>
                  <w:r>
                    <w:rPr>
                      <w:color w:val="000000"/>
                      <w:kern w:val="0"/>
                      <w:lang w:bidi="ar"/>
                    </w:rPr>
                    <w:t>29</w:t>
                  </w:r>
                </w:p>
              </w:tc>
            </w:tr>
            <w:tr w14:paraId="2459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continue"/>
                  <w:vAlign w:val="center"/>
                </w:tcPr>
                <w:p w14:paraId="2FD8394F">
                  <w:pPr>
                    <w:pStyle w:val="95"/>
                    <w:spacing w:before="0" w:after="0"/>
                    <w:rPr>
                      <w:color w:val="000000"/>
                    </w:rPr>
                  </w:pPr>
                </w:p>
              </w:tc>
              <w:tc>
                <w:tcPr>
                  <w:tcW w:w="1314" w:type="pct"/>
                  <w:vAlign w:val="center"/>
                </w:tcPr>
                <w:p w14:paraId="28CA789C">
                  <w:pPr>
                    <w:pStyle w:val="95"/>
                    <w:spacing w:before="0" w:after="0"/>
                    <w:rPr>
                      <w:color w:val="000000"/>
                      <w:sz w:val="18"/>
                      <w:szCs w:val="18"/>
                    </w:rPr>
                  </w:pPr>
                  <w:r>
                    <w:rPr>
                      <w:rFonts w:hint="eastAsia"/>
                      <w:color w:val="000000"/>
                    </w:rPr>
                    <w:t>混凝土插入式振动器</w:t>
                  </w:r>
                </w:p>
              </w:tc>
              <w:tc>
                <w:tcPr>
                  <w:tcW w:w="328" w:type="pct"/>
                  <w:vAlign w:val="center"/>
                </w:tcPr>
                <w:p w14:paraId="3B552CA9">
                  <w:pPr>
                    <w:pStyle w:val="95"/>
                    <w:spacing w:before="0" w:after="0"/>
                    <w:rPr>
                      <w:color w:val="000000"/>
                    </w:rPr>
                  </w:pPr>
                  <w:r>
                    <w:rPr>
                      <w:rFonts w:hint="eastAsia"/>
                      <w:color w:val="000000"/>
                    </w:rPr>
                    <w:t>8</w:t>
                  </w:r>
                  <w:r>
                    <w:rPr>
                      <w:color w:val="000000"/>
                    </w:rPr>
                    <w:t>3</w:t>
                  </w:r>
                </w:p>
              </w:tc>
              <w:tc>
                <w:tcPr>
                  <w:tcW w:w="328" w:type="pct"/>
                  <w:vAlign w:val="center"/>
                </w:tcPr>
                <w:p w14:paraId="426DFA3B">
                  <w:pPr>
                    <w:widowControl/>
                    <w:jc w:val="center"/>
                    <w:textAlignment w:val="center"/>
                    <w:rPr>
                      <w:color w:val="000000"/>
                    </w:rPr>
                  </w:pPr>
                  <w:r>
                    <w:rPr>
                      <w:color w:val="000000"/>
                      <w:kern w:val="0"/>
                      <w:lang w:bidi="ar"/>
                    </w:rPr>
                    <w:t>59</w:t>
                  </w:r>
                </w:p>
              </w:tc>
              <w:tc>
                <w:tcPr>
                  <w:tcW w:w="328" w:type="pct"/>
                  <w:vAlign w:val="center"/>
                </w:tcPr>
                <w:p w14:paraId="194A1839">
                  <w:pPr>
                    <w:widowControl/>
                    <w:jc w:val="center"/>
                    <w:textAlignment w:val="center"/>
                    <w:rPr>
                      <w:color w:val="000000"/>
                      <w:szCs w:val="24"/>
                    </w:rPr>
                  </w:pPr>
                  <w:r>
                    <w:rPr>
                      <w:color w:val="000000"/>
                      <w:kern w:val="0"/>
                      <w:lang w:bidi="ar"/>
                    </w:rPr>
                    <w:t>53</w:t>
                  </w:r>
                </w:p>
              </w:tc>
              <w:tc>
                <w:tcPr>
                  <w:tcW w:w="328" w:type="pct"/>
                  <w:vAlign w:val="center"/>
                </w:tcPr>
                <w:p w14:paraId="7E405A48">
                  <w:pPr>
                    <w:widowControl/>
                    <w:jc w:val="center"/>
                    <w:textAlignment w:val="center"/>
                    <w:rPr>
                      <w:color w:val="000000"/>
                      <w:szCs w:val="24"/>
                    </w:rPr>
                  </w:pPr>
                  <w:r>
                    <w:rPr>
                      <w:color w:val="000000"/>
                      <w:kern w:val="0"/>
                      <w:lang w:bidi="ar"/>
                    </w:rPr>
                    <w:t>47</w:t>
                  </w:r>
                </w:p>
              </w:tc>
              <w:tc>
                <w:tcPr>
                  <w:tcW w:w="328" w:type="pct"/>
                  <w:vAlign w:val="center"/>
                </w:tcPr>
                <w:p w14:paraId="1F91B05A">
                  <w:pPr>
                    <w:widowControl/>
                    <w:jc w:val="center"/>
                    <w:textAlignment w:val="center"/>
                    <w:rPr>
                      <w:color w:val="000000"/>
                      <w:szCs w:val="24"/>
                    </w:rPr>
                  </w:pPr>
                  <w:r>
                    <w:rPr>
                      <w:color w:val="000000"/>
                      <w:kern w:val="0"/>
                      <w:lang w:bidi="ar"/>
                    </w:rPr>
                    <w:t>43</w:t>
                  </w:r>
                </w:p>
              </w:tc>
              <w:tc>
                <w:tcPr>
                  <w:tcW w:w="328" w:type="pct"/>
                  <w:vAlign w:val="center"/>
                </w:tcPr>
                <w:p w14:paraId="3E554F87">
                  <w:pPr>
                    <w:widowControl/>
                    <w:jc w:val="center"/>
                    <w:textAlignment w:val="center"/>
                    <w:rPr>
                      <w:color w:val="000000"/>
                      <w:szCs w:val="24"/>
                    </w:rPr>
                  </w:pPr>
                  <w:r>
                    <w:rPr>
                      <w:color w:val="000000"/>
                      <w:kern w:val="0"/>
                      <w:lang w:bidi="ar"/>
                    </w:rPr>
                    <w:t>41</w:t>
                  </w:r>
                </w:p>
              </w:tc>
              <w:tc>
                <w:tcPr>
                  <w:tcW w:w="327" w:type="pct"/>
                  <w:vAlign w:val="center"/>
                </w:tcPr>
                <w:p w14:paraId="58E296BE">
                  <w:pPr>
                    <w:widowControl/>
                    <w:jc w:val="center"/>
                    <w:textAlignment w:val="center"/>
                    <w:rPr>
                      <w:color w:val="000000"/>
                      <w:szCs w:val="24"/>
                    </w:rPr>
                  </w:pPr>
                  <w:r>
                    <w:rPr>
                      <w:color w:val="000000"/>
                      <w:kern w:val="0"/>
                      <w:lang w:bidi="ar"/>
                    </w:rPr>
                    <w:t>39</w:t>
                  </w:r>
                </w:p>
              </w:tc>
              <w:tc>
                <w:tcPr>
                  <w:tcW w:w="328" w:type="pct"/>
                  <w:vAlign w:val="center"/>
                </w:tcPr>
                <w:p w14:paraId="50F3E0B3">
                  <w:pPr>
                    <w:widowControl/>
                    <w:jc w:val="center"/>
                    <w:textAlignment w:val="center"/>
                    <w:rPr>
                      <w:color w:val="000000"/>
                      <w:szCs w:val="24"/>
                    </w:rPr>
                  </w:pPr>
                  <w:r>
                    <w:rPr>
                      <w:color w:val="000000"/>
                      <w:kern w:val="0"/>
                      <w:lang w:bidi="ar"/>
                    </w:rPr>
                    <w:t>33</w:t>
                  </w:r>
                </w:p>
              </w:tc>
              <w:tc>
                <w:tcPr>
                  <w:tcW w:w="328" w:type="pct"/>
                  <w:vAlign w:val="center"/>
                </w:tcPr>
                <w:p w14:paraId="38ED5B63">
                  <w:pPr>
                    <w:widowControl/>
                    <w:jc w:val="center"/>
                    <w:textAlignment w:val="center"/>
                    <w:rPr>
                      <w:color w:val="000000"/>
                      <w:szCs w:val="24"/>
                    </w:rPr>
                  </w:pPr>
                  <w:r>
                    <w:rPr>
                      <w:color w:val="000000"/>
                      <w:kern w:val="0"/>
                      <w:lang w:bidi="ar"/>
                    </w:rPr>
                    <w:t>29</w:t>
                  </w:r>
                </w:p>
              </w:tc>
              <w:tc>
                <w:tcPr>
                  <w:tcW w:w="325" w:type="pct"/>
                  <w:vAlign w:val="center"/>
                </w:tcPr>
                <w:p w14:paraId="121AF690">
                  <w:pPr>
                    <w:widowControl/>
                    <w:jc w:val="center"/>
                    <w:textAlignment w:val="center"/>
                    <w:rPr>
                      <w:color w:val="000000"/>
                      <w:szCs w:val="24"/>
                    </w:rPr>
                  </w:pPr>
                  <w:r>
                    <w:rPr>
                      <w:color w:val="000000"/>
                      <w:kern w:val="0"/>
                      <w:lang w:bidi="ar"/>
                    </w:rPr>
                    <w:t>27</w:t>
                  </w:r>
                </w:p>
              </w:tc>
            </w:tr>
            <w:tr w14:paraId="32B5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continue"/>
                  <w:vAlign w:val="center"/>
                </w:tcPr>
                <w:p w14:paraId="1AB4BD59">
                  <w:pPr>
                    <w:pStyle w:val="95"/>
                    <w:spacing w:before="0" w:after="0"/>
                    <w:rPr>
                      <w:color w:val="000000"/>
                    </w:rPr>
                  </w:pPr>
                </w:p>
              </w:tc>
              <w:tc>
                <w:tcPr>
                  <w:tcW w:w="1642" w:type="pct"/>
                  <w:gridSpan w:val="2"/>
                  <w:vAlign w:val="center"/>
                </w:tcPr>
                <w:p w14:paraId="6013DF28">
                  <w:pPr>
                    <w:pStyle w:val="95"/>
                    <w:spacing w:before="0" w:after="0"/>
                    <w:rPr>
                      <w:rFonts w:hint="eastAsia"/>
                      <w:color w:val="000000"/>
                    </w:rPr>
                  </w:pPr>
                  <w:r>
                    <w:rPr>
                      <w:rFonts w:hint="eastAsia"/>
                      <w:color w:val="000000"/>
                    </w:rPr>
                    <w:t>贡献值叠加</w:t>
                  </w:r>
                </w:p>
              </w:tc>
              <w:tc>
                <w:tcPr>
                  <w:tcW w:w="328" w:type="pct"/>
                  <w:vAlign w:val="center"/>
                </w:tcPr>
                <w:p w14:paraId="46988960">
                  <w:pPr>
                    <w:widowControl/>
                    <w:jc w:val="center"/>
                    <w:textAlignment w:val="center"/>
                    <w:rPr>
                      <w:color w:val="000000"/>
                    </w:rPr>
                  </w:pPr>
                  <w:r>
                    <w:rPr>
                      <w:color w:val="000000"/>
                      <w:kern w:val="0"/>
                      <w:lang w:bidi="ar"/>
                    </w:rPr>
                    <w:t>71</w:t>
                  </w:r>
                </w:p>
              </w:tc>
              <w:tc>
                <w:tcPr>
                  <w:tcW w:w="328" w:type="pct"/>
                  <w:vAlign w:val="center"/>
                </w:tcPr>
                <w:p w14:paraId="414C7473">
                  <w:pPr>
                    <w:widowControl/>
                    <w:jc w:val="center"/>
                    <w:textAlignment w:val="center"/>
                    <w:rPr>
                      <w:color w:val="000000"/>
                      <w:szCs w:val="24"/>
                    </w:rPr>
                  </w:pPr>
                  <w:r>
                    <w:rPr>
                      <w:color w:val="000000"/>
                      <w:kern w:val="0"/>
                      <w:lang w:bidi="ar"/>
                    </w:rPr>
                    <w:t>65</w:t>
                  </w:r>
                </w:p>
              </w:tc>
              <w:tc>
                <w:tcPr>
                  <w:tcW w:w="328" w:type="pct"/>
                  <w:vAlign w:val="center"/>
                </w:tcPr>
                <w:p w14:paraId="4495AD82">
                  <w:pPr>
                    <w:widowControl/>
                    <w:jc w:val="center"/>
                    <w:textAlignment w:val="center"/>
                    <w:rPr>
                      <w:color w:val="000000"/>
                      <w:szCs w:val="24"/>
                    </w:rPr>
                  </w:pPr>
                  <w:r>
                    <w:rPr>
                      <w:color w:val="000000"/>
                      <w:kern w:val="0"/>
                      <w:lang w:bidi="ar"/>
                    </w:rPr>
                    <w:t>59</w:t>
                  </w:r>
                </w:p>
              </w:tc>
              <w:tc>
                <w:tcPr>
                  <w:tcW w:w="328" w:type="pct"/>
                  <w:vAlign w:val="center"/>
                </w:tcPr>
                <w:p w14:paraId="40B858D1">
                  <w:pPr>
                    <w:widowControl/>
                    <w:jc w:val="center"/>
                    <w:textAlignment w:val="center"/>
                    <w:rPr>
                      <w:color w:val="000000"/>
                      <w:szCs w:val="24"/>
                    </w:rPr>
                  </w:pPr>
                  <w:r>
                    <w:rPr>
                      <w:color w:val="000000"/>
                      <w:kern w:val="0"/>
                      <w:lang w:bidi="ar"/>
                    </w:rPr>
                    <w:t>56</w:t>
                  </w:r>
                </w:p>
              </w:tc>
              <w:tc>
                <w:tcPr>
                  <w:tcW w:w="328" w:type="pct"/>
                  <w:vAlign w:val="center"/>
                </w:tcPr>
                <w:p w14:paraId="695A28F8">
                  <w:pPr>
                    <w:widowControl/>
                    <w:jc w:val="center"/>
                    <w:textAlignment w:val="center"/>
                    <w:rPr>
                      <w:color w:val="000000"/>
                      <w:szCs w:val="24"/>
                    </w:rPr>
                  </w:pPr>
                  <w:r>
                    <w:rPr>
                      <w:color w:val="000000"/>
                      <w:kern w:val="0"/>
                      <w:lang w:bidi="ar"/>
                    </w:rPr>
                    <w:t>53</w:t>
                  </w:r>
                </w:p>
              </w:tc>
              <w:tc>
                <w:tcPr>
                  <w:tcW w:w="327" w:type="pct"/>
                  <w:vAlign w:val="center"/>
                </w:tcPr>
                <w:p w14:paraId="72804C29">
                  <w:pPr>
                    <w:widowControl/>
                    <w:jc w:val="center"/>
                    <w:textAlignment w:val="center"/>
                    <w:rPr>
                      <w:color w:val="000000"/>
                      <w:szCs w:val="24"/>
                    </w:rPr>
                  </w:pPr>
                  <w:r>
                    <w:rPr>
                      <w:color w:val="000000"/>
                      <w:kern w:val="0"/>
                      <w:lang w:bidi="ar"/>
                    </w:rPr>
                    <w:t>51</w:t>
                  </w:r>
                </w:p>
              </w:tc>
              <w:tc>
                <w:tcPr>
                  <w:tcW w:w="328" w:type="pct"/>
                  <w:vAlign w:val="center"/>
                </w:tcPr>
                <w:p w14:paraId="21E8B041">
                  <w:pPr>
                    <w:widowControl/>
                    <w:jc w:val="center"/>
                    <w:textAlignment w:val="center"/>
                    <w:rPr>
                      <w:color w:val="000000"/>
                      <w:szCs w:val="24"/>
                    </w:rPr>
                  </w:pPr>
                  <w:r>
                    <w:rPr>
                      <w:color w:val="000000"/>
                      <w:kern w:val="0"/>
                      <w:lang w:bidi="ar"/>
                    </w:rPr>
                    <w:t>45</w:t>
                  </w:r>
                </w:p>
              </w:tc>
              <w:tc>
                <w:tcPr>
                  <w:tcW w:w="328" w:type="pct"/>
                  <w:vAlign w:val="center"/>
                </w:tcPr>
                <w:p w14:paraId="205CAED7">
                  <w:pPr>
                    <w:widowControl/>
                    <w:jc w:val="center"/>
                    <w:textAlignment w:val="center"/>
                    <w:rPr>
                      <w:color w:val="000000"/>
                      <w:szCs w:val="24"/>
                    </w:rPr>
                  </w:pPr>
                  <w:r>
                    <w:rPr>
                      <w:color w:val="000000"/>
                      <w:kern w:val="0"/>
                      <w:lang w:bidi="ar"/>
                    </w:rPr>
                    <w:t>42</w:t>
                  </w:r>
                </w:p>
              </w:tc>
              <w:tc>
                <w:tcPr>
                  <w:tcW w:w="325" w:type="pct"/>
                  <w:vAlign w:val="center"/>
                </w:tcPr>
                <w:p w14:paraId="0C8BF15C">
                  <w:pPr>
                    <w:widowControl/>
                    <w:jc w:val="center"/>
                    <w:textAlignment w:val="center"/>
                    <w:rPr>
                      <w:color w:val="000000"/>
                      <w:szCs w:val="24"/>
                    </w:rPr>
                  </w:pPr>
                  <w:r>
                    <w:rPr>
                      <w:color w:val="000000"/>
                      <w:kern w:val="0"/>
                      <w:lang w:bidi="ar"/>
                    </w:rPr>
                    <w:t>39</w:t>
                  </w:r>
                </w:p>
              </w:tc>
            </w:tr>
            <w:tr w14:paraId="20C3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restart"/>
                  <w:vAlign w:val="center"/>
                </w:tcPr>
                <w:p w14:paraId="4517CE6F">
                  <w:pPr>
                    <w:pStyle w:val="95"/>
                    <w:spacing w:before="0" w:after="0"/>
                    <w:rPr>
                      <w:color w:val="000000"/>
                    </w:rPr>
                  </w:pPr>
                  <w:r>
                    <w:rPr>
                      <w:rFonts w:hint="eastAsia"/>
                      <w:color w:val="000000"/>
                    </w:rPr>
                    <w:t>配套设施建设阶段</w:t>
                  </w:r>
                </w:p>
              </w:tc>
              <w:tc>
                <w:tcPr>
                  <w:tcW w:w="1314" w:type="pct"/>
                  <w:vAlign w:val="center"/>
                </w:tcPr>
                <w:p w14:paraId="20879DE8">
                  <w:pPr>
                    <w:pStyle w:val="95"/>
                    <w:spacing w:before="0" w:after="0"/>
                    <w:rPr>
                      <w:color w:val="000000"/>
                      <w:sz w:val="18"/>
                      <w:szCs w:val="18"/>
                    </w:rPr>
                  </w:pPr>
                  <w:r>
                    <w:rPr>
                      <w:rFonts w:hint="eastAsia" w:ascii="宋体" w:cs="宋体"/>
                      <w:color w:val="000000"/>
                    </w:rPr>
                    <w:t>手工电弧焊机</w:t>
                  </w:r>
                </w:p>
              </w:tc>
              <w:tc>
                <w:tcPr>
                  <w:tcW w:w="328" w:type="pct"/>
                  <w:vAlign w:val="center"/>
                </w:tcPr>
                <w:p w14:paraId="40E316EA">
                  <w:pPr>
                    <w:pStyle w:val="95"/>
                    <w:spacing w:before="0" w:after="0"/>
                    <w:rPr>
                      <w:color w:val="000000"/>
                      <w:sz w:val="18"/>
                      <w:szCs w:val="18"/>
                    </w:rPr>
                  </w:pPr>
                  <w:r>
                    <w:rPr>
                      <w:rFonts w:hint="eastAsia"/>
                      <w:color w:val="000000"/>
                    </w:rPr>
                    <w:t>6</w:t>
                  </w:r>
                  <w:r>
                    <w:rPr>
                      <w:color w:val="000000"/>
                    </w:rPr>
                    <w:t>5</w:t>
                  </w:r>
                </w:p>
              </w:tc>
              <w:tc>
                <w:tcPr>
                  <w:tcW w:w="328" w:type="pct"/>
                  <w:vAlign w:val="center"/>
                </w:tcPr>
                <w:p w14:paraId="281C1A1E">
                  <w:pPr>
                    <w:widowControl/>
                    <w:jc w:val="center"/>
                    <w:textAlignment w:val="center"/>
                    <w:rPr>
                      <w:color w:val="000000"/>
                    </w:rPr>
                  </w:pPr>
                  <w:r>
                    <w:rPr>
                      <w:color w:val="000000"/>
                      <w:kern w:val="0"/>
                      <w:lang w:bidi="ar"/>
                    </w:rPr>
                    <w:t>41</w:t>
                  </w:r>
                </w:p>
              </w:tc>
              <w:tc>
                <w:tcPr>
                  <w:tcW w:w="328" w:type="pct"/>
                  <w:vAlign w:val="center"/>
                </w:tcPr>
                <w:p w14:paraId="6DF1E284">
                  <w:pPr>
                    <w:widowControl/>
                    <w:jc w:val="center"/>
                    <w:textAlignment w:val="center"/>
                    <w:rPr>
                      <w:color w:val="000000"/>
                    </w:rPr>
                  </w:pPr>
                  <w:r>
                    <w:rPr>
                      <w:color w:val="000000"/>
                      <w:kern w:val="0"/>
                      <w:lang w:bidi="ar"/>
                    </w:rPr>
                    <w:t>35</w:t>
                  </w:r>
                </w:p>
              </w:tc>
              <w:tc>
                <w:tcPr>
                  <w:tcW w:w="328" w:type="pct"/>
                  <w:vAlign w:val="center"/>
                </w:tcPr>
                <w:p w14:paraId="448C876E">
                  <w:pPr>
                    <w:widowControl/>
                    <w:jc w:val="center"/>
                    <w:textAlignment w:val="center"/>
                    <w:rPr>
                      <w:color w:val="000000"/>
                    </w:rPr>
                  </w:pPr>
                  <w:r>
                    <w:rPr>
                      <w:color w:val="000000"/>
                      <w:kern w:val="0"/>
                      <w:lang w:bidi="ar"/>
                    </w:rPr>
                    <w:t>29</w:t>
                  </w:r>
                </w:p>
              </w:tc>
              <w:tc>
                <w:tcPr>
                  <w:tcW w:w="328" w:type="pct"/>
                  <w:vAlign w:val="center"/>
                </w:tcPr>
                <w:p w14:paraId="03D5BFC9">
                  <w:pPr>
                    <w:widowControl/>
                    <w:jc w:val="center"/>
                    <w:textAlignment w:val="center"/>
                    <w:rPr>
                      <w:color w:val="000000"/>
                    </w:rPr>
                  </w:pPr>
                  <w:r>
                    <w:rPr>
                      <w:color w:val="000000"/>
                      <w:kern w:val="0"/>
                      <w:lang w:bidi="ar"/>
                    </w:rPr>
                    <w:t>25</w:t>
                  </w:r>
                </w:p>
              </w:tc>
              <w:tc>
                <w:tcPr>
                  <w:tcW w:w="328" w:type="pct"/>
                  <w:vAlign w:val="center"/>
                </w:tcPr>
                <w:p w14:paraId="7548FBCB">
                  <w:pPr>
                    <w:widowControl/>
                    <w:jc w:val="center"/>
                    <w:textAlignment w:val="center"/>
                    <w:rPr>
                      <w:color w:val="000000"/>
                    </w:rPr>
                  </w:pPr>
                  <w:r>
                    <w:rPr>
                      <w:color w:val="000000"/>
                      <w:kern w:val="0"/>
                      <w:lang w:bidi="ar"/>
                    </w:rPr>
                    <w:t>23</w:t>
                  </w:r>
                </w:p>
              </w:tc>
              <w:tc>
                <w:tcPr>
                  <w:tcW w:w="327" w:type="pct"/>
                  <w:vAlign w:val="center"/>
                </w:tcPr>
                <w:p w14:paraId="44CC230D">
                  <w:pPr>
                    <w:widowControl/>
                    <w:jc w:val="center"/>
                    <w:textAlignment w:val="center"/>
                    <w:rPr>
                      <w:color w:val="000000"/>
                    </w:rPr>
                  </w:pPr>
                  <w:r>
                    <w:rPr>
                      <w:color w:val="000000"/>
                      <w:kern w:val="0"/>
                      <w:lang w:bidi="ar"/>
                    </w:rPr>
                    <w:t>21</w:t>
                  </w:r>
                </w:p>
              </w:tc>
              <w:tc>
                <w:tcPr>
                  <w:tcW w:w="328" w:type="pct"/>
                  <w:vAlign w:val="center"/>
                </w:tcPr>
                <w:p w14:paraId="2F68FF16">
                  <w:pPr>
                    <w:widowControl/>
                    <w:jc w:val="center"/>
                    <w:textAlignment w:val="center"/>
                    <w:rPr>
                      <w:color w:val="000000"/>
                    </w:rPr>
                  </w:pPr>
                  <w:r>
                    <w:rPr>
                      <w:color w:val="000000"/>
                      <w:kern w:val="0"/>
                      <w:lang w:bidi="ar"/>
                    </w:rPr>
                    <w:t>15</w:t>
                  </w:r>
                </w:p>
              </w:tc>
              <w:tc>
                <w:tcPr>
                  <w:tcW w:w="328" w:type="pct"/>
                  <w:vAlign w:val="center"/>
                </w:tcPr>
                <w:p w14:paraId="7A47FEA8">
                  <w:pPr>
                    <w:widowControl/>
                    <w:jc w:val="center"/>
                    <w:textAlignment w:val="center"/>
                    <w:rPr>
                      <w:color w:val="000000"/>
                    </w:rPr>
                  </w:pPr>
                  <w:r>
                    <w:rPr>
                      <w:color w:val="000000"/>
                      <w:kern w:val="0"/>
                      <w:lang w:bidi="ar"/>
                    </w:rPr>
                    <w:t>11</w:t>
                  </w:r>
                </w:p>
              </w:tc>
              <w:tc>
                <w:tcPr>
                  <w:tcW w:w="325" w:type="pct"/>
                  <w:vAlign w:val="center"/>
                </w:tcPr>
                <w:p w14:paraId="4976589C">
                  <w:pPr>
                    <w:widowControl/>
                    <w:jc w:val="center"/>
                    <w:textAlignment w:val="center"/>
                    <w:rPr>
                      <w:color w:val="000000"/>
                    </w:rPr>
                  </w:pPr>
                  <w:r>
                    <w:rPr>
                      <w:color w:val="000000"/>
                      <w:kern w:val="0"/>
                      <w:lang w:bidi="ar"/>
                    </w:rPr>
                    <w:t>9</w:t>
                  </w:r>
                </w:p>
              </w:tc>
            </w:tr>
            <w:tr w14:paraId="5C1E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continue"/>
                  <w:vAlign w:val="center"/>
                </w:tcPr>
                <w:p w14:paraId="57B51D5C">
                  <w:pPr>
                    <w:pStyle w:val="95"/>
                    <w:spacing w:before="0" w:after="0"/>
                    <w:rPr>
                      <w:color w:val="000000"/>
                    </w:rPr>
                  </w:pPr>
                </w:p>
              </w:tc>
              <w:tc>
                <w:tcPr>
                  <w:tcW w:w="1314" w:type="pct"/>
                  <w:vAlign w:val="center"/>
                </w:tcPr>
                <w:p w14:paraId="11E89F51">
                  <w:pPr>
                    <w:pStyle w:val="95"/>
                    <w:spacing w:before="0" w:after="0"/>
                    <w:rPr>
                      <w:color w:val="000000"/>
                    </w:rPr>
                  </w:pPr>
                  <w:r>
                    <w:rPr>
                      <w:rFonts w:hint="eastAsia" w:ascii="宋体" w:cs="宋体"/>
                      <w:color w:val="000000"/>
                    </w:rPr>
                    <w:t>钢筋调直切断机</w:t>
                  </w:r>
                </w:p>
              </w:tc>
              <w:tc>
                <w:tcPr>
                  <w:tcW w:w="328" w:type="pct"/>
                  <w:vAlign w:val="center"/>
                </w:tcPr>
                <w:p w14:paraId="5DC68100">
                  <w:pPr>
                    <w:pStyle w:val="95"/>
                    <w:spacing w:before="0" w:after="0"/>
                    <w:rPr>
                      <w:color w:val="000000"/>
                      <w:sz w:val="18"/>
                      <w:szCs w:val="18"/>
                    </w:rPr>
                  </w:pPr>
                  <w:r>
                    <w:rPr>
                      <w:rFonts w:hint="eastAsia"/>
                      <w:color w:val="000000"/>
                    </w:rPr>
                    <w:t>8</w:t>
                  </w:r>
                  <w:r>
                    <w:rPr>
                      <w:color w:val="000000"/>
                    </w:rPr>
                    <w:t>9</w:t>
                  </w:r>
                </w:p>
              </w:tc>
              <w:tc>
                <w:tcPr>
                  <w:tcW w:w="328" w:type="pct"/>
                  <w:vAlign w:val="center"/>
                </w:tcPr>
                <w:p w14:paraId="060A8C39">
                  <w:pPr>
                    <w:widowControl/>
                    <w:jc w:val="center"/>
                    <w:textAlignment w:val="center"/>
                    <w:rPr>
                      <w:color w:val="000000"/>
                    </w:rPr>
                  </w:pPr>
                  <w:r>
                    <w:rPr>
                      <w:color w:val="000000"/>
                      <w:kern w:val="0"/>
                      <w:lang w:bidi="ar"/>
                    </w:rPr>
                    <w:t>65</w:t>
                  </w:r>
                </w:p>
              </w:tc>
              <w:tc>
                <w:tcPr>
                  <w:tcW w:w="328" w:type="pct"/>
                  <w:vAlign w:val="center"/>
                </w:tcPr>
                <w:p w14:paraId="441C820D">
                  <w:pPr>
                    <w:widowControl/>
                    <w:jc w:val="center"/>
                    <w:textAlignment w:val="center"/>
                    <w:rPr>
                      <w:color w:val="000000"/>
                    </w:rPr>
                  </w:pPr>
                  <w:r>
                    <w:rPr>
                      <w:color w:val="000000"/>
                      <w:kern w:val="0"/>
                      <w:lang w:bidi="ar"/>
                    </w:rPr>
                    <w:t>59</w:t>
                  </w:r>
                </w:p>
              </w:tc>
              <w:tc>
                <w:tcPr>
                  <w:tcW w:w="328" w:type="pct"/>
                  <w:vAlign w:val="center"/>
                </w:tcPr>
                <w:p w14:paraId="156ECE36">
                  <w:pPr>
                    <w:widowControl/>
                    <w:jc w:val="center"/>
                    <w:textAlignment w:val="center"/>
                    <w:rPr>
                      <w:color w:val="000000"/>
                    </w:rPr>
                  </w:pPr>
                  <w:r>
                    <w:rPr>
                      <w:color w:val="000000"/>
                      <w:kern w:val="0"/>
                      <w:lang w:bidi="ar"/>
                    </w:rPr>
                    <w:t>53</w:t>
                  </w:r>
                </w:p>
              </w:tc>
              <w:tc>
                <w:tcPr>
                  <w:tcW w:w="328" w:type="pct"/>
                  <w:vAlign w:val="center"/>
                </w:tcPr>
                <w:p w14:paraId="645FF0B7">
                  <w:pPr>
                    <w:widowControl/>
                    <w:jc w:val="center"/>
                    <w:textAlignment w:val="center"/>
                    <w:rPr>
                      <w:color w:val="000000"/>
                    </w:rPr>
                  </w:pPr>
                  <w:r>
                    <w:rPr>
                      <w:color w:val="000000"/>
                      <w:kern w:val="0"/>
                      <w:lang w:bidi="ar"/>
                    </w:rPr>
                    <w:t>49</w:t>
                  </w:r>
                </w:p>
              </w:tc>
              <w:tc>
                <w:tcPr>
                  <w:tcW w:w="328" w:type="pct"/>
                  <w:vAlign w:val="center"/>
                </w:tcPr>
                <w:p w14:paraId="3CCD7542">
                  <w:pPr>
                    <w:widowControl/>
                    <w:jc w:val="center"/>
                    <w:textAlignment w:val="center"/>
                    <w:rPr>
                      <w:color w:val="000000"/>
                    </w:rPr>
                  </w:pPr>
                  <w:r>
                    <w:rPr>
                      <w:color w:val="000000"/>
                      <w:kern w:val="0"/>
                      <w:lang w:bidi="ar"/>
                    </w:rPr>
                    <w:t>47</w:t>
                  </w:r>
                </w:p>
              </w:tc>
              <w:tc>
                <w:tcPr>
                  <w:tcW w:w="327" w:type="pct"/>
                  <w:vAlign w:val="center"/>
                </w:tcPr>
                <w:p w14:paraId="20B0D2C2">
                  <w:pPr>
                    <w:widowControl/>
                    <w:jc w:val="center"/>
                    <w:textAlignment w:val="center"/>
                    <w:rPr>
                      <w:color w:val="000000"/>
                    </w:rPr>
                  </w:pPr>
                  <w:r>
                    <w:rPr>
                      <w:color w:val="000000"/>
                      <w:kern w:val="0"/>
                      <w:lang w:bidi="ar"/>
                    </w:rPr>
                    <w:t>45</w:t>
                  </w:r>
                </w:p>
              </w:tc>
              <w:tc>
                <w:tcPr>
                  <w:tcW w:w="328" w:type="pct"/>
                  <w:vAlign w:val="center"/>
                </w:tcPr>
                <w:p w14:paraId="65EA9358">
                  <w:pPr>
                    <w:widowControl/>
                    <w:jc w:val="center"/>
                    <w:textAlignment w:val="center"/>
                    <w:rPr>
                      <w:color w:val="000000"/>
                    </w:rPr>
                  </w:pPr>
                  <w:r>
                    <w:rPr>
                      <w:color w:val="000000"/>
                      <w:kern w:val="0"/>
                      <w:lang w:bidi="ar"/>
                    </w:rPr>
                    <w:t>39</w:t>
                  </w:r>
                </w:p>
              </w:tc>
              <w:tc>
                <w:tcPr>
                  <w:tcW w:w="328" w:type="pct"/>
                  <w:vAlign w:val="center"/>
                </w:tcPr>
                <w:p w14:paraId="483D35B2">
                  <w:pPr>
                    <w:widowControl/>
                    <w:jc w:val="center"/>
                    <w:textAlignment w:val="center"/>
                    <w:rPr>
                      <w:color w:val="000000"/>
                    </w:rPr>
                  </w:pPr>
                  <w:r>
                    <w:rPr>
                      <w:color w:val="000000"/>
                      <w:kern w:val="0"/>
                      <w:lang w:bidi="ar"/>
                    </w:rPr>
                    <w:t>35</w:t>
                  </w:r>
                </w:p>
              </w:tc>
              <w:tc>
                <w:tcPr>
                  <w:tcW w:w="325" w:type="pct"/>
                  <w:vAlign w:val="center"/>
                </w:tcPr>
                <w:p w14:paraId="28742613">
                  <w:pPr>
                    <w:widowControl/>
                    <w:jc w:val="center"/>
                    <w:textAlignment w:val="center"/>
                    <w:rPr>
                      <w:color w:val="000000"/>
                    </w:rPr>
                  </w:pPr>
                  <w:r>
                    <w:rPr>
                      <w:color w:val="000000"/>
                      <w:kern w:val="0"/>
                      <w:lang w:bidi="ar"/>
                    </w:rPr>
                    <w:t>33</w:t>
                  </w:r>
                </w:p>
              </w:tc>
            </w:tr>
            <w:tr w14:paraId="0853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continue"/>
                  <w:vAlign w:val="center"/>
                </w:tcPr>
                <w:p w14:paraId="28F034E3">
                  <w:pPr>
                    <w:pStyle w:val="95"/>
                    <w:spacing w:before="0" w:after="0"/>
                    <w:rPr>
                      <w:color w:val="000000"/>
                    </w:rPr>
                  </w:pPr>
                </w:p>
              </w:tc>
              <w:tc>
                <w:tcPr>
                  <w:tcW w:w="1314" w:type="pct"/>
                  <w:vAlign w:val="center"/>
                </w:tcPr>
                <w:p w14:paraId="5D1568B6">
                  <w:pPr>
                    <w:pStyle w:val="95"/>
                    <w:spacing w:before="0" w:after="0"/>
                    <w:rPr>
                      <w:color w:val="000000"/>
                      <w:sz w:val="18"/>
                      <w:szCs w:val="18"/>
                    </w:rPr>
                  </w:pPr>
                  <w:r>
                    <w:rPr>
                      <w:rFonts w:hint="eastAsia" w:ascii="宋体" w:cs="宋体"/>
                      <w:color w:val="000000"/>
                    </w:rPr>
                    <w:t>液压升降小车</w:t>
                  </w:r>
                </w:p>
              </w:tc>
              <w:tc>
                <w:tcPr>
                  <w:tcW w:w="328" w:type="pct"/>
                  <w:vAlign w:val="center"/>
                </w:tcPr>
                <w:p w14:paraId="7D30923B">
                  <w:pPr>
                    <w:pStyle w:val="95"/>
                    <w:spacing w:before="0" w:after="0"/>
                    <w:rPr>
                      <w:color w:val="000000"/>
                      <w:sz w:val="18"/>
                      <w:szCs w:val="18"/>
                    </w:rPr>
                  </w:pPr>
                  <w:r>
                    <w:rPr>
                      <w:rFonts w:hint="eastAsia"/>
                      <w:color w:val="000000"/>
                    </w:rPr>
                    <w:t>7</w:t>
                  </w:r>
                  <w:r>
                    <w:rPr>
                      <w:color w:val="000000"/>
                    </w:rPr>
                    <w:t>5</w:t>
                  </w:r>
                </w:p>
              </w:tc>
              <w:tc>
                <w:tcPr>
                  <w:tcW w:w="328" w:type="pct"/>
                  <w:vAlign w:val="center"/>
                </w:tcPr>
                <w:p w14:paraId="1DDAE1C2">
                  <w:pPr>
                    <w:widowControl/>
                    <w:jc w:val="center"/>
                    <w:textAlignment w:val="center"/>
                    <w:rPr>
                      <w:color w:val="000000"/>
                    </w:rPr>
                  </w:pPr>
                  <w:r>
                    <w:rPr>
                      <w:color w:val="000000"/>
                      <w:kern w:val="0"/>
                      <w:lang w:bidi="ar"/>
                    </w:rPr>
                    <w:t>51</w:t>
                  </w:r>
                </w:p>
              </w:tc>
              <w:tc>
                <w:tcPr>
                  <w:tcW w:w="328" w:type="pct"/>
                  <w:vAlign w:val="center"/>
                </w:tcPr>
                <w:p w14:paraId="11AD7CAC">
                  <w:pPr>
                    <w:widowControl/>
                    <w:jc w:val="center"/>
                    <w:textAlignment w:val="center"/>
                    <w:rPr>
                      <w:color w:val="000000"/>
                    </w:rPr>
                  </w:pPr>
                  <w:r>
                    <w:rPr>
                      <w:color w:val="000000"/>
                      <w:kern w:val="0"/>
                      <w:lang w:bidi="ar"/>
                    </w:rPr>
                    <w:t>45</w:t>
                  </w:r>
                </w:p>
              </w:tc>
              <w:tc>
                <w:tcPr>
                  <w:tcW w:w="328" w:type="pct"/>
                  <w:vAlign w:val="center"/>
                </w:tcPr>
                <w:p w14:paraId="4D8D685A">
                  <w:pPr>
                    <w:widowControl/>
                    <w:jc w:val="center"/>
                    <w:textAlignment w:val="center"/>
                    <w:rPr>
                      <w:color w:val="000000"/>
                    </w:rPr>
                  </w:pPr>
                  <w:r>
                    <w:rPr>
                      <w:color w:val="000000"/>
                      <w:kern w:val="0"/>
                      <w:lang w:bidi="ar"/>
                    </w:rPr>
                    <w:t>39</w:t>
                  </w:r>
                </w:p>
              </w:tc>
              <w:tc>
                <w:tcPr>
                  <w:tcW w:w="328" w:type="pct"/>
                  <w:vAlign w:val="center"/>
                </w:tcPr>
                <w:p w14:paraId="1F8D44BB">
                  <w:pPr>
                    <w:widowControl/>
                    <w:jc w:val="center"/>
                    <w:textAlignment w:val="center"/>
                    <w:rPr>
                      <w:color w:val="000000"/>
                    </w:rPr>
                  </w:pPr>
                  <w:r>
                    <w:rPr>
                      <w:color w:val="000000"/>
                      <w:kern w:val="0"/>
                      <w:lang w:bidi="ar"/>
                    </w:rPr>
                    <w:t>35</w:t>
                  </w:r>
                </w:p>
              </w:tc>
              <w:tc>
                <w:tcPr>
                  <w:tcW w:w="328" w:type="pct"/>
                  <w:vAlign w:val="center"/>
                </w:tcPr>
                <w:p w14:paraId="21CB79FC">
                  <w:pPr>
                    <w:widowControl/>
                    <w:jc w:val="center"/>
                    <w:textAlignment w:val="center"/>
                    <w:rPr>
                      <w:color w:val="000000"/>
                    </w:rPr>
                  </w:pPr>
                  <w:r>
                    <w:rPr>
                      <w:color w:val="000000"/>
                      <w:kern w:val="0"/>
                      <w:lang w:bidi="ar"/>
                    </w:rPr>
                    <w:t>33</w:t>
                  </w:r>
                </w:p>
              </w:tc>
              <w:tc>
                <w:tcPr>
                  <w:tcW w:w="327" w:type="pct"/>
                  <w:vAlign w:val="center"/>
                </w:tcPr>
                <w:p w14:paraId="7FBCEC86">
                  <w:pPr>
                    <w:widowControl/>
                    <w:jc w:val="center"/>
                    <w:textAlignment w:val="center"/>
                    <w:rPr>
                      <w:color w:val="000000"/>
                    </w:rPr>
                  </w:pPr>
                  <w:r>
                    <w:rPr>
                      <w:color w:val="000000"/>
                      <w:kern w:val="0"/>
                      <w:lang w:bidi="ar"/>
                    </w:rPr>
                    <w:t>31</w:t>
                  </w:r>
                </w:p>
              </w:tc>
              <w:tc>
                <w:tcPr>
                  <w:tcW w:w="328" w:type="pct"/>
                  <w:vAlign w:val="center"/>
                </w:tcPr>
                <w:p w14:paraId="78B53019">
                  <w:pPr>
                    <w:widowControl/>
                    <w:jc w:val="center"/>
                    <w:textAlignment w:val="center"/>
                    <w:rPr>
                      <w:color w:val="000000"/>
                    </w:rPr>
                  </w:pPr>
                  <w:r>
                    <w:rPr>
                      <w:color w:val="000000"/>
                      <w:kern w:val="0"/>
                      <w:lang w:bidi="ar"/>
                    </w:rPr>
                    <w:t>25</w:t>
                  </w:r>
                </w:p>
              </w:tc>
              <w:tc>
                <w:tcPr>
                  <w:tcW w:w="328" w:type="pct"/>
                  <w:vAlign w:val="center"/>
                </w:tcPr>
                <w:p w14:paraId="13B92F82">
                  <w:pPr>
                    <w:widowControl/>
                    <w:jc w:val="center"/>
                    <w:textAlignment w:val="center"/>
                    <w:rPr>
                      <w:color w:val="000000"/>
                    </w:rPr>
                  </w:pPr>
                  <w:r>
                    <w:rPr>
                      <w:color w:val="000000"/>
                      <w:kern w:val="0"/>
                      <w:lang w:bidi="ar"/>
                    </w:rPr>
                    <w:t>21</w:t>
                  </w:r>
                </w:p>
              </w:tc>
              <w:tc>
                <w:tcPr>
                  <w:tcW w:w="325" w:type="pct"/>
                  <w:vAlign w:val="center"/>
                </w:tcPr>
                <w:p w14:paraId="57A68706">
                  <w:pPr>
                    <w:widowControl/>
                    <w:jc w:val="center"/>
                    <w:textAlignment w:val="center"/>
                    <w:rPr>
                      <w:color w:val="000000"/>
                    </w:rPr>
                  </w:pPr>
                  <w:r>
                    <w:rPr>
                      <w:color w:val="000000"/>
                      <w:kern w:val="0"/>
                      <w:lang w:bidi="ar"/>
                    </w:rPr>
                    <w:t>19</w:t>
                  </w:r>
                </w:p>
              </w:tc>
            </w:tr>
            <w:tr w14:paraId="61DD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continue"/>
                  <w:vAlign w:val="center"/>
                </w:tcPr>
                <w:p w14:paraId="376E7697">
                  <w:pPr>
                    <w:pStyle w:val="95"/>
                    <w:spacing w:before="0" w:after="0"/>
                    <w:rPr>
                      <w:color w:val="000000"/>
                    </w:rPr>
                  </w:pPr>
                </w:p>
              </w:tc>
              <w:tc>
                <w:tcPr>
                  <w:tcW w:w="1642" w:type="pct"/>
                  <w:gridSpan w:val="2"/>
                  <w:vAlign w:val="center"/>
                </w:tcPr>
                <w:p w14:paraId="0DB4B09A">
                  <w:pPr>
                    <w:pStyle w:val="95"/>
                    <w:spacing w:before="0" w:after="0"/>
                    <w:rPr>
                      <w:color w:val="000000"/>
                    </w:rPr>
                  </w:pPr>
                  <w:r>
                    <w:rPr>
                      <w:rFonts w:hint="eastAsia"/>
                      <w:color w:val="000000"/>
                    </w:rPr>
                    <w:t>贡献值叠加</w:t>
                  </w:r>
                </w:p>
              </w:tc>
              <w:tc>
                <w:tcPr>
                  <w:tcW w:w="328" w:type="pct"/>
                  <w:vAlign w:val="center"/>
                </w:tcPr>
                <w:p w14:paraId="320F533B">
                  <w:pPr>
                    <w:widowControl/>
                    <w:jc w:val="center"/>
                    <w:textAlignment w:val="center"/>
                    <w:rPr>
                      <w:color w:val="000000"/>
                    </w:rPr>
                  </w:pPr>
                  <w:r>
                    <w:rPr>
                      <w:color w:val="000000"/>
                      <w:kern w:val="0"/>
                      <w:lang w:bidi="ar"/>
                    </w:rPr>
                    <w:t>65</w:t>
                  </w:r>
                </w:p>
              </w:tc>
              <w:tc>
                <w:tcPr>
                  <w:tcW w:w="328" w:type="pct"/>
                  <w:vAlign w:val="center"/>
                </w:tcPr>
                <w:p w14:paraId="64D398A4">
                  <w:pPr>
                    <w:widowControl/>
                    <w:jc w:val="center"/>
                    <w:textAlignment w:val="center"/>
                    <w:rPr>
                      <w:color w:val="000000"/>
                    </w:rPr>
                  </w:pPr>
                  <w:r>
                    <w:rPr>
                      <w:color w:val="000000"/>
                      <w:kern w:val="0"/>
                      <w:lang w:bidi="ar"/>
                    </w:rPr>
                    <w:t>59</w:t>
                  </w:r>
                </w:p>
              </w:tc>
              <w:tc>
                <w:tcPr>
                  <w:tcW w:w="328" w:type="pct"/>
                  <w:vAlign w:val="center"/>
                </w:tcPr>
                <w:p w14:paraId="6585184F">
                  <w:pPr>
                    <w:widowControl/>
                    <w:jc w:val="center"/>
                    <w:textAlignment w:val="center"/>
                    <w:rPr>
                      <w:color w:val="000000"/>
                    </w:rPr>
                  </w:pPr>
                  <w:r>
                    <w:rPr>
                      <w:color w:val="000000"/>
                      <w:kern w:val="0"/>
                      <w:lang w:bidi="ar"/>
                    </w:rPr>
                    <w:t>53</w:t>
                  </w:r>
                </w:p>
              </w:tc>
              <w:tc>
                <w:tcPr>
                  <w:tcW w:w="328" w:type="pct"/>
                  <w:vAlign w:val="center"/>
                </w:tcPr>
                <w:p w14:paraId="2B63C0F3">
                  <w:pPr>
                    <w:widowControl/>
                    <w:jc w:val="center"/>
                    <w:textAlignment w:val="center"/>
                    <w:rPr>
                      <w:color w:val="000000"/>
                    </w:rPr>
                  </w:pPr>
                  <w:r>
                    <w:rPr>
                      <w:color w:val="000000"/>
                      <w:kern w:val="0"/>
                      <w:lang w:bidi="ar"/>
                    </w:rPr>
                    <w:t>50</w:t>
                  </w:r>
                </w:p>
              </w:tc>
              <w:tc>
                <w:tcPr>
                  <w:tcW w:w="328" w:type="pct"/>
                  <w:vAlign w:val="center"/>
                </w:tcPr>
                <w:p w14:paraId="0A75175F">
                  <w:pPr>
                    <w:widowControl/>
                    <w:jc w:val="center"/>
                    <w:textAlignment w:val="center"/>
                    <w:rPr>
                      <w:color w:val="000000"/>
                    </w:rPr>
                  </w:pPr>
                  <w:r>
                    <w:rPr>
                      <w:color w:val="000000"/>
                      <w:kern w:val="0"/>
                      <w:lang w:bidi="ar"/>
                    </w:rPr>
                    <w:t>47</w:t>
                  </w:r>
                </w:p>
              </w:tc>
              <w:tc>
                <w:tcPr>
                  <w:tcW w:w="327" w:type="pct"/>
                  <w:vAlign w:val="center"/>
                </w:tcPr>
                <w:p w14:paraId="0253F704">
                  <w:pPr>
                    <w:widowControl/>
                    <w:jc w:val="center"/>
                    <w:textAlignment w:val="center"/>
                    <w:rPr>
                      <w:color w:val="000000"/>
                    </w:rPr>
                  </w:pPr>
                  <w:r>
                    <w:rPr>
                      <w:color w:val="000000"/>
                      <w:kern w:val="0"/>
                      <w:lang w:bidi="ar"/>
                    </w:rPr>
                    <w:t>45</w:t>
                  </w:r>
                </w:p>
              </w:tc>
              <w:tc>
                <w:tcPr>
                  <w:tcW w:w="328" w:type="pct"/>
                  <w:vAlign w:val="center"/>
                </w:tcPr>
                <w:p w14:paraId="6533A451">
                  <w:pPr>
                    <w:widowControl/>
                    <w:jc w:val="center"/>
                    <w:textAlignment w:val="center"/>
                    <w:rPr>
                      <w:color w:val="000000"/>
                    </w:rPr>
                  </w:pPr>
                  <w:r>
                    <w:rPr>
                      <w:color w:val="000000"/>
                      <w:kern w:val="0"/>
                      <w:lang w:bidi="ar"/>
                    </w:rPr>
                    <w:t>39</w:t>
                  </w:r>
                </w:p>
              </w:tc>
              <w:tc>
                <w:tcPr>
                  <w:tcW w:w="328" w:type="pct"/>
                  <w:vAlign w:val="center"/>
                </w:tcPr>
                <w:p w14:paraId="18439EE5">
                  <w:pPr>
                    <w:widowControl/>
                    <w:jc w:val="center"/>
                    <w:textAlignment w:val="center"/>
                    <w:rPr>
                      <w:color w:val="000000"/>
                    </w:rPr>
                  </w:pPr>
                  <w:r>
                    <w:rPr>
                      <w:color w:val="000000"/>
                      <w:kern w:val="0"/>
                      <w:lang w:bidi="ar"/>
                    </w:rPr>
                    <w:t>36</w:t>
                  </w:r>
                </w:p>
              </w:tc>
              <w:tc>
                <w:tcPr>
                  <w:tcW w:w="325" w:type="pct"/>
                  <w:vAlign w:val="center"/>
                </w:tcPr>
                <w:p w14:paraId="1AEC0071">
                  <w:pPr>
                    <w:widowControl/>
                    <w:jc w:val="center"/>
                    <w:textAlignment w:val="center"/>
                    <w:rPr>
                      <w:color w:val="000000"/>
                    </w:rPr>
                  </w:pPr>
                  <w:r>
                    <w:rPr>
                      <w:color w:val="000000"/>
                      <w:kern w:val="0"/>
                      <w:lang w:bidi="ar"/>
                    </w:rPr>
                    <w:t>33</w:t>
                  </w:r>
                </w:p>
              </w:tc>
            </w:tr>
            <w:tr w14:paraId="482C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restart"/>
                  <w:vAlign w:val="center"/>
                </w:tcPr>
                <w:p w14:paraId="237AEB4A">
                  <w:pPr>
                    <w:pStyle w:val="95"/>
                    <w:spacing w:before="0" w:after="0"/>
                    <w:rPr>
                      <w:color w:val="000000"/>
                    </w:rPr>
                  </w:pPr>
                  <w:r>
                    <w:rPr>
                      <w:rFonts w:hint="eastAsia"/>
                      <w:color w:val="000000"/>
                    </w:rPr>
                    <w:t>交通运输车辆噪声</w:t>
                  </w:r>
                </w:p>
              </w:tc>
              <w:tc>
                <w:tcPr>
                  <w:tcW w:w="1314" w:type="pct"/>
                  <w:vAlign w:val="center"/>
                </w:tcPr>
                <w:p w14:paraId="24310DAD">
                  <w:pPr>
                    <w:pStyle w:val="95"/>
                    <w:spacing w:before="0" w:after="0"/>
                    <w:rPr>
                      <w:rFonts w:ascii="宋体" w:cs="宋体"/>
                      <w:color w:val="000000"/>
                    </w:rPr>
                  </w:pPr>
                  <w:r>
                    <w:rPr>
                      <w:rFonts w:hint="eastAsia"/>
                      <w:color w:val="000000"/>
                    </w:rPr>
                    <w:t>自卸式运输车</w:t>
                  </w:r>
                </w:p>
              </w:tc>
              <w:tc>
                <w:tcPr>
                  <w:tcW w:w="328" w:type="pct"/>
                  <w:vAlign w:val="center"/>
                </w:tcPr>
                <w:p w14:paraId="1536A127">
                  <w:pPr>
                    <w:pStyle w:val="95"/>
                    <w:spacing w:before="0" w:after="0"/>
                    <w:rPr>
                      <w:color w:val="000000"/>
                    </w:rPr>
                  </w:pPr>
                  <w:r>
                    <w:rPr>
                      <w:rFonts w:hint="eastAsia"/>
                      <w:color w:val="000000"/>
                    </w:rPr>
                    <w:t>8</w:t>
                  </w:r>
                  <w:r>
                    <w:rPr>
                      <w:color w:val="000000"/>
                    </w:rPr>
                    <w:t>0</w:t>
                  </w:r>
                </w:p>
              </w:tc>
              <w:tc>
                <w:tcPr>
                  <w:tcW w:w="328" w:type="pct"/>
                  <w:vAlign w:val="center"/>
                </w:tcPr>
                <w:p w14:paraId="7685D7AE">
                  <w:pPr>
                    <w:widowControl/>
                    <w:jc w:val="center"/>
                    <w:textAlignment w:val="center"/>
                    <w:rPr>
                      <w:color w:val="000000"/>
                    </w:rPr>
                  </w:pPr>
                  <w:r>
                    <w:rPr>
                      <w:color w:val="000000"/>
                      <w:kern w:val="0"/>
                      <w:lang w:bidi="ar"/>
                    </w:rPr>
                    <w:t>58</w:t>
                  </w:r>
                </w:p>
              </w:tc>
              <w:tc>
                <w:tcPr>
                  <w:tcW w:w="328" w:type="pct"/>
                  <w:vAlign w:val="center"/>
                </w:tcPr>
                <w:p w14:paraId="2C42E34F">
                  <w:pPr>
                    <w:widowControl/>
                    <w:jc w:val="center"/>
                    <w:textAlignment w:val="center"/>
                    <w:rPr>
                      <w:color w:val="000000"/>
                    </w:rPr>
                  </w:pPr>
                  <w:r>
                    <w:rPr>
                      <w:color w:val="000000"/>
                      <w:kern w:val="0"/>
                      <w:lang w:bidi="ar"/>
                    </w:rPr>
                    <w:t>52</w:t>
                  </w:r>
                </w:p>
              </w:tc>
              <w:tc>
                <w:tcPr>
                  <w:tcW w:w="328" w:type="pct"/>
                  <w:vAlign w:val="center"/>
                </w:tcPr>
                <w:p w14:paraId="62EE0307">
                  <w:pPr>
                    <w:widowControl/>
                    <w:jc w:val="center"/>
                    <w:textAlignment w:val="center"/>
                    <w:rPr>
                      <w:color w:val="000000"/>
                    </w:rPr>
                  </w:pPr>
                  <w:r>
                    <w:rPr>
                      <w:color w:val="000000"/>
                      <w:kern w:val="0"/>
                      <w:lang w:bidi="ar"/>
                    </w:rPr>
                    <w:t>46</w:t>
                  </w:r>
                </w:p>
              </w:tc>
              <w:tc>
                <w:tcPr>
                  <w:tcW w:w="328" w:type="pct"/>
                  <w:vAlign w:val="center"/>
                </w:tcPr>
                <w:p w14:paraId="58E4F6B7">
                  <w:pPr>
                    <w:widowControl/>
                    <w:jc w:val="center"/>
                    <w:textAlignment w:val="center"/>
                    <w:rPr>
                      <w:color w:val="000000"/>
                    </w:rPr>
                  </w:pPr>
                  <w:r>
                    <w:rPr>
                      <w:color w:val="000000"/>
                      <w:kern w:val="0"/>
                      <w:lang w:bidi="ar"/>
                    </w:rPr>
                    <w:t>42</w:t>
                  </w:r>
                </w:p>
              </w:tc>
              <w:tc>
                <w:tcPr>
                  <w:tcW w:w="328" w:type="pct"/>
                  <w:vAlign w:val="center"/>
                </w:tcPr>
                <w:p w14:paraId="12CE41AF">
                  <w:pPr>
                    <w:widowControl/>
                    <w:jc w:val="center"/>
                    <w:textAlignment w:val="center"/>
                    <w:rPr>
                      <w:color w:val="000000"/>
                    </w:rPr>
                  </w:pPr>
                  <w:r>
                    <w:rPr>
                      <w:color w:val="000000"/>
                      <w:kern w:val="0"/>
                      <w:lang w:bidi="ar"/>
                    </w:rPr>
                    <w:t>40</w:t>
                  </w:r>
                </w:p>
              </w:tc>
              <w:tc>
                <w:tcPr>
                  <w:tcW w:w="327" w:type="pct"/>
                  <w:vAlign w:val="center"/>
                </w:tcPr>
                <w:p w14:paraId="74D22107">
                  <w:pPr>
                    <w:widowControl/>
                    <w:jc w:val="center"/>
                    <w:textAlignment w:val="center"/>
                    <w:rPr>
                      <w:color w:val="000000"/>
                    </w:rPr>
                  </w:pPr>
                  <w:r>
                    <w:rPr>
                      <w:color w:val="000000"/>
                      <w:kern w:val="0"/>
                      <w:lang w:bidi="ar"/>
                    </w:rPr>
                    <w:t>38</w:t>
                  </w:r>
                </w:p>
              </w:tc>
              <w:tc>
                <w:tcPr>
                  <w:tcW w:w="328" w:type="pct"/>
                  <w:vAlign w:val="center"/>
                </w:tcPr>
                <w:p w14:paraId="69B7455F">
                  <w:pPr>
                    <w:widowControl/>
                    <w:jc w:val="center"/>
                    <w:textAlignment w:val="center"/>
                    <w:rPr>
                      <w:color w:val="000000"/>
                    </w:rPr>
                  </w:pPr>
                  <w:r>
                    <w:rPr>
                      <w:color w:val="000000"/>
                      <w:kern w:val="0"/>
                      <w:lang w:bidi="ar"/>
                    </w:rPr>
                    <w:t>32</w:t>
                  </w:r>
                </w:p>
              </w:tc>
              <w:tc>
                <w:tcPr>
                  <w:tcW w:w="328" w:type="pct"/>
                  <w:vAlign w:val="center"/>
                </w:tcPr>
                <w:p w14:paraId="3EC99E85">
                  <w:pPr>
                    <w:widowControl/>
                    <w:jc w:val="center"/>
                    <w:textAlignment w:val="center"/>
                    <w:rPr>
                      <w:color w:val="000000"/>
                    </w:rPr>
                  </w:pPr>
                  <w:r>
                    <w:rPr>
                      <w:color w:val="000000"/>
                      <w:kern w:val="0"/>
                      <w:lang w:bidi="ar"/>
                    </w:rPr>
                    <w:t>28</w:t>
                  </w:r>
                </w:p>
              </w:tc>
              <w:tc>
                <w:tcPr>
                  <w:tcW w:w="325" w:type="pct"/>
                  <w:vAlign w:val="center"/>
                </w:tcPr>
                <w:p w14:paraId="50DEF17C">
                  <w:pPr>
                    <w:widowControl/>
                    <w:jc w:val="center"/>
                    <w:textAlignment w:val="center"/>
                    <w:rPr>
                      <w:color w:val="000000"/>
                    </w:rPr>
                  </w:pPr>
                  <w:r>
                    <w:rPr>
                      <w:color w:val="000000"/>
                      <w:kern w:val="0"/>
                      <w:lang w:bidi="ar"/>
                    </w:rPr>
                    <w:t>26</w:t>
                  </w:r>
                </w:p>
              </w:tc>
            </w:tr>
            <w:tr w14:paraId="587F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continue"/>
                  <w:vAlign w:val="center"/>
                </w:tcPr>
                <w:p w14:paraId="7F221C84">
                  <w:pPr>
                    <w:pStyle w:val="95"/>
                    <w:spacing w:before="0" w:after="0"/>
                    <w:rPr>
                      <w:color w:val="000000"/>
                    </w:rPr>
                  </w:pPr>
                </w:p>
              </w:tc>
              <w:tc>
                <w:tcPr>
                  <w:tcW w:w="1314" w:type="pct"/>
                  <w:vAlign w:val="center"/>
                </w:tcPr>
                <w:p w14:paraId="2DBF3394">
                  <w:pPr>
                    <w:pStyle w:val="95"/>
                    <w:spacing w:before="0" w:after="0"/>
                    <w:rPr>
                      <w:rFonts w:ascii="宋体" w:cs="宋体"/>
                      <w:color w:val="000000"/>
                    </w:rPr>
                  </w:pPr>
                  <w:r>
                    <w:rPr>
                      <w:rFonts w:hint="eastAsia"/>
                      <w:color w:val="000000"/>
                    </w:rPr>
                    <w:t>压路机</w:t>
                  </w:r>
                </w:p>
              </w:tc>
              <w:tc>
                <w:tcPr>
                  <w:tcW w:w="328" w:type="pct"/>
                  <w:vAlign w:val="center"/>
                </w:tcPr>
                <w:p w14:paraId="05785EDA">
                  <w:pPr>
                    <w:pStyle w:val="95"/>
                    <w:spacing w:before="0" w:after="0"/>
                    <w:rPr>
                      <w:color w:val="000000"/>
                    </w:rPr>
                  </w:pPr>
                  <w:r>
                    <w:rPr>
                      <w:rFonts w:hint="eastAsia"/>
                      <w:color w:val="000000"/>
                    </w:rPr>
                    <w:t>8</w:t>
                  </w:r>
                  <w:r>
                    <w:rPr>
                      <w:color w:val="000000"/>
                    </w:rPr>
                    <w:t>1</w:t>
                  </w:r>
                </w:p>
              </w:tc>
              <w:tc>
                <w:tcPr>
                  <w:tcW w:w="328" w:type="pct"/>
                  <w:vAlign w:val="center"/>
                </w:tcPr>
                <w:p w14:paraId="612CB5C0">
                  <w:pPr>
                    <w:widowControl/>
                    <w:jc w:val="center"/>
                    <w:textAlignment w:val="center"/>
                    <w:rPr>
                      <w:color w:val="000000"/>
                    </w:rPr>
                  </w:pPr>
                  <w:r>
                    <w:rPr>
                      <w:color w:val="000000"/>
                      <w:kern w:val="0"/>
                      <w:lang w:bidi="ar"/>
                    </w:rPr>
                    <w:t>57</w:t>
                  </w:r>
                </w:p>
              </w:tc>
              <w:tc>
                <w:tcPr>
                  <w:tcW w:w="328" w:type="pct"/>
                  <w:vAlign w:val="center"/>
                </w:tcPr>
                <w:p w14:paraId="1465D30D">
                  <w:pPr>
                    <w:widowControl/>
                    <w:jc w:val="center"/>
                    <w:textAlignment w:val="center"/>
                    <w:rPr>
                      <w:color w:val="000000"/>
                    </w:rPr>
                  </w:pPr>
                  <w:r>
                    <w:rPr>
                      <w:color w:val="000000"/>
                      <w:kern w:val="0"/>
                      <w:lang w:bidi="ar"/>
                    </w:rPr>
                    <w:t>51</w:t>
                  </w:r>
                </w:p>
              </w:tc>
              <w:tc>
                <w:tcPr>
                  <w:tcW w:w="328" w:type="pct"/>
                  <w:vAlign w:val="center"/>
                </w:tcPr>
                <w:p w14:paraId="3BF77BB2">
                  <w:pPr>
                    <w:widowControl/>
                    <w:jc w:val="center"/>
                    <w:textAlignment w:val="center"/>
                    <w:rPr>
                      <w:color w:val="000000"/>
                    </w:rPr>
                  </w:pPr>
                  <w:r>
                    <w:rPr>
                      <w:color w:val="000000"/>
                      <w:kern w:val="0"/>
                      <w:lang w:bidi="ar"/>
                    </w:rPr>
                    <w:t>45</w:t>
                  </w:r>
                </w:p>
              </w:tc>
              <w:tc>
                <w:tcPr>
                  <w:tcW w:w="328" w:type="pct"/>
                  <w:vAlign w:val="center"/>
                </w:tcPr>
                <w:p w14:paraId="05B24622">
                  <w:pPr>
                    <w:widowControl/>
                    <w:jc w:val="center"/>
                    <w:textAlignment w:val="center"/>
                    <w:rPr>
                      <w:color w:val="000000"/>
                    </w:rPr>
                  </w:pPr>
                  <w:r>
                    <w:rPr>
                      <w:color w:val="000000"/>
                      <w:kern w:val="0"/>
                      <w:lang w:bidi="ar"/>
                    </w:rPr>
                    <w:t>41</w:t>
                  </w:r>
                </w:p>
              </w:tc>
              <w:tc>
                <w:tcPr>
                  <w:tcW w:w="328" w:type="pct"/>
                  <w:vAlign w:val="center"/>
                </w:tcPr>
                <w:p w14:paraId="6CCC887B">
                  <w:pPr>
                    <w:widowControl/>
                    <w:jc w:val="center"/>
                    <w:textAlignment w:val="center"/>
                    <w:rPr>
                      <w:color w:val="000000"/>
                    </w:rPr>
                  </w:pPr>
                  <w:r>
                    <w:rPr>
                      <w:color w:val="000000"/>
                      <w:kern w:val="0"/>
                      <w:lang w:bidi="ar"/>
                    </w:rPr>
                    <w:t>39</w:t>
                  </w:r>
                </w:p>
              </w:tc>
              <w:tc>
                <w:tcPr>
                  <w:tcW w:w="327" w:type="pct"/>
                  <w:vAlign w:val="center"/>
                </w:tcPr>
                <w:p w14:paraId="6F41B30C">
                  <w:pPr>
                    <w:widowControl/>
                    <w:jc w:val="center"/>
                    <w:textAlignment w:val="center"/>
                    <w:rPr>
                      <w:color w:val="000000"/>
                    </w:rPr>
                  </w:pPr>
                  <w:r>
                    <w:rPr>
                      <w:color w:val="000000"/>
                      <w:kern w:val="0"/>
                      <w:lang w:bidi="ar"/>
                    </w:rPr>
                    <w:t>37</w:t>
                  </w:r>
                </w:p>
              </w:tc>
              <w:tc>
                <w:tcPr>
                  <w:tcW w:w="328" w:type="pct"/>
                  <w:vAlign w:val="center"/>
                </w:tcPr>
                <w:p w14:paraId="3DC737CC">
                  <w:pPr>
                    <w:widowControl/>
                    <w:jc w:val="center"/>
                    <w:textAlignment w:val="center"/>
                    <w:rPr>
                      <w:color w:val="000000"/>
                    </w:rPr>
                  </w:pPr>
                  <w:r>
                    <w:rPr>
                      <w:color w:val="000000"/>
                      <w:kern w:val="0"/>
                      <w:lang w:bidi="ar"/>
                    </w:rPr>
                    <w:t>31</w:t>
                  </w:r>
                </w:p>
              </w:tc>
              <w:tc>
                <w:tcPr>
                  <w:tcW w:w="328" w:type="pct"/>
                  <w:vAlign w:val="center"/>
                </w:tcPr>
                <w:p w14:paraId="23D64B7B">
                  <w:pPr>
                    <w:widowControl/>
                    <w:jc w:val="center"/>
                    <w:textAlignment w:val="center"/>
                    <w:rPr>
                      <w:color w:val="000000"/>
                    </w:rPr>
                  </w:pPr>
                  <w:r>
                    <w:rPr>
                      <w:color w:val="000000"/>
                      <w:kern w:val="0"/>
                      <w:lang w:bidi="ar"/>
                    </w:rPr>
                    <w:t>27</w:t>
                  </w:r>
                </w:p>
              </w:tc>
              <w:tc>
                <w:tcPr>
                  <w:tcW w:w="325" w:type="pct"/>
                  <w:vAlign w:val="center"/>
                </w:tcPr>
                <w:p w14:paraId="752A0878">
                  <w:pPr>
                    <w:widowControl/>
                    <w:jc w:val="center"/>
                    <w:textAlignment w:val="center"/>
                    <w:rPr>
                      <w:color w:val="000000"/>
                    </w:rPr>
                  </w:pPr>
                  <w:r>
                    <w:rPr>
                      <w:color w:val="000000"/>
                      <w:kern w:val="0"/>
                      <w:lang w:bidi="ar"/>
                    </w:rPr>
                    <w:t>25</w:t>
                  </w:r>
                </w:p>
              </w:tc>
            </w:tr>
            <w:tr w14:paraId="65DE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continue"/>
                  <w:vAlign w:val="center"/>
                </w:tcPr>
                <w:p w14:paraId="24A83EB4">
                  <w:pPr>
                    <w:pStyle w:val="95"/>
                    <w:spacing w:before="0" w:after="0"/>
                    <w:rPr>
                      <w:color w:val="000000"/>
                    </w:rPr>
                  </w:pPr>
                </w:p>
              </w:tc>
              <w:tc>
                <w:tcPr>
                  <w:tcW w:w="1314" w:type="pct"/>
                  <w:vAlign w:val="center"/>
                </w:tcPr>
                <w:p w14:paraId="4CDE9DDD">
                  <w:pPr>
                    <w:pStyle w:val="95"/>
                    <w:spacing w:before="0" w:after="0"/>
                    <w:rPr>
                      <w:rFonts w:ascii="宋体" w:cs="宋体"/>
                      <w:color w:val="000000"/>
                    </w:rPr>
                  </w:pPr>
                  <w:r>
                    <w:rPr>
                      <w:rFonts w:hint="eastAsia"/>
                      <w:color w:val="000000"/>
                    </w:rPr>
                    <w:t>运水车</w:t>
                  </w:r>
                </w:p>
              </w:tc>
              <w:tc>
                <w:tcPr>
                  <w:tcW w:w="328" w:type="pct"/>
                  <w:vAlign w:val="center"/>
                </w:tcPr>
                <w:p w14:paraId="38A6C00D">
                  <w:pPr>
                    <w:pStyle w:val="95"/>
                    <w:spacing w:before="0" w:after="0"/>
                    <w:rPr>
                      <w:color w:val="000000"/>
                    </w:rPr>
                  </w:pPr>
                  <w:r>
                    <w:rPr>
                      <w:rFonts w:hint="eastAsia"/>
                      <w:color w:val="000000"/>
                    </w:rPr>
                    <w:t>7</w:t>
                  </w:r>
                  <w:r>
                    <w:rPr>
                      <w:color w:val="000000"/>
                    </w:rPr>
                    <w:t>5</w:t>
                  </w:r>
                </w:p>
              </w:tc>
              <w:tc>
                <w:tcPr>
                  <w:tcW w:w="328" w:type="pct"/>
                  <w:vAlign w:val="center"/>
                </w:tcPr>
                <w:p w14:paraId="0962EEB0">
                  <w:pPr>
                    <w:widowControl/>
                    <w:jc w:val="center"/>
                    <w:textAlignment w:val="center"/>
                    <w:rPr>
                      <w:color w:val="000000"/>
                    </w:rPr>
                  </w:pPr>
                  <w:r>
                    <w:rPr>
                      <w:color w:val="000000"/>
                      <w:kern w:val="0"/>
                      <w:lang w:bidi="ar"/>
                    </w:rPr>
                    <w:t>51</w:t>
                  </w:r>
                </w:p>
              </w:tc>
              <w:tc>
                <w:tcPr>
                  <w:tcW w:w="328" w:type="pct"/>
                  <w:vAlign w:val="center"/>
                </w:tcPr>
                <w:p w14:paraId="3B6ED96C">
                  <w:pPr>
                    <w:widowControl/>
                    <w:jc w:val="center"/>
                    <w:textAlignment w:val="center"/>
                    <w:rPr>
                      <w:color w:val="000000"/>
                    </w:rPr>
                  </w:pPr>
                  <w:r>
                    <w:rPr>
                      <w:color w:val="000000"/>
                      <w:kern w:val="0"/>
                      <w:lang w:bidi="ar"/>
                    </w:rPr>
                    <w:t>45</w:t>
                  </w:r>
                </w:p>
              </w:tc>
              <w:tc>
                <w:tcPr>
                  <w:tcW w:w="328" w:type="pct"/>
                  <w:vAlign w:val="center"/>
                </w:tcPr>
                <w:p w14:paraId="12047E90">
                  <w:pPr>
                    <w:widowControl/>
                    <w:jc w:val="center"/>
                    <w:textAlignment w:val="center"/>
                    <w:rPr>
                      <w:color w:val="000000"/>
                    </w:rPr>
                  </w:pPr>
                  <w:r>
                    <w:rPr>
                      <w:color w:val="000000"/>
                      <w:kern w:val="0"/>
                      <w:lang w:bidi="ar"/>
                    </w:rPr>
                    <w:t>39</w:t>
                  </w:r>
                </w:p>
              </w:tc>
              <w:tc>
                <w:tcPr>
                  <w:tcW w:w="328" w:type="pct"/>
                  <w:vAlign w:val="center"/>
                </w:tcPr>
                <w:p w14:paraId="10FCDF27">
                  <w:pPr>
                    <w:widowControl/>
                    <w:jc w:val="center"/>
                    <w:textAlignment w:val="center"/>
                    <w:rPr>
                      <w:color w:val="000000"/>
                    </w:rPr>
                  </w:pPr>
                  <w:r>
                    <w:rPr>
                      <w:color w:val="000000"/>
                      <w:kern w:val="0"/>
                      <w:lang w:bidi="ar"/>
                    </w:rPr>
                    <w:t>35</w:t>
                  </w:r>
                </w:p>
              </w:tc>
              <w:tc>
                <w:tcPr>
                  <w:tcW w:w="328" w:type="pct"/>
                  <w:vAlign w:val="center"/>
                </w:tcPr>
                <w:p w14:paraId="77F3C250">
                  <w:pPr>
                    <w:widowControl/>
                    <w:jc w:val="center"/>
                    <w:textAlignment w:val="center"/>
                    <w:rPr>
                      <w:color w:val="000000"/>
                    </w:rPr>
                  </w:pPr>
                  <w:r>
                    <w:rPr>
                      <w:color w:val="000000"/>
                      <w:kern w:val="0"/>
                      <w:lang w:bidi="ar"/>
                    </w:rPr>
                    <w:t>33</w:t>
                  </w:r>
                </w:p>
              </w:tc>
              <w:tc>
                <w:tcPr>
                  <w:tcW w:w="327" w:type="pct"/>
                  <w:vAlign w:val="center"/>
                </w:tcPr>
                <w:p w14:paraId="530128AD">
                  <w:pPr>
                    <w:widowControl/>
                    <w:jc w:val="center"/>
                    <w:textAlignment w:val="center"/>
                    <w:rPr>
                      <w:color w:val="000000"/>
                    </w:rPr>
                  </w:pPr>
                  <w:r>
                    <w:rPr>
                      <w:color w:val="000000"/>
                      <w:kern w:val="0"/>
                      <w:lang w:bidi="ar"/>
                    </w:rPr>
                    <w:t>31</w:t>
                  </w:r>
                </w:p>
              </w:tc>
              <w:tc>
                <w:tcPr>
                  <w:tcW w:w="328" w:type="pct"/>
                  <w:vAlign w:val="center"/>
                </w:tcPr>
                <w:p w14:paraId="1DBB4F65">
                  <w:pPr>
                    <w:widowControl/>
                    <w:jc w:val="center"/>
                    <w:textAlignment w:val="center"/>
                    <w:rPr>
                      <w:color w:val="000000"/>
                    </w:rPr>
                  </w:pPr>
                  <w:r>
                    <w:rPr>
                      <w:color w:val="000000"/>
                      <w:kern w:val="0"/>
                      <w:lang w:bidi="ar"/>
                    </w:rPr>
                    <w:t>25</w:t>
                  </w:r>
                </w:p>
              </w:tc>
              <w:tc>
                <w:tcPr>
                  <w:tcW w:w="328" w:type="pct"/>
                  <w:vAlign w:val="center"/>
                </w:tcPr>
                <w:p w14:paraId="04AA6AA9">
                  <w:pPr>
                    <w:widowControl/>
                    <w:jc w:val="center"/>
                    <w:textAlignment w:val="center"/>
                    <w:rPr>
                      <w:color w:val="000000"/>
                    </w:rPr>
                  </w:pPr>
                  <w:r>
                    <w:rPr>
                      <w:color w:val="000000"/>
                      <w:kern w:val="0"/>
                      <w:lang w:bidi="ar"/>
                    </w:rPr>
                    <w:t>21</w:t>
                  </w:r>
                </w:p>
              </w:tc>
              <w:tc>
                <w:tcPr>
                  <w:tcW w:w="325" w:type="pct"/>
                  <w:vAlign w:val="center"/>
                </w:tcPr>
                <w:p w14:paraId="458FF423">
                  <w:pPr>
                    <w:widowControl/>
                    <w:jc w:val="center"/>
                    <w:textAlignment w:val="center"/>
                    <w:rPr>
                      <w:color w:val="000000"/>
                    </w:rPr>
                  </w:pPr>
                  <w:r>
                    <w:rPr>
                      <w:color w:val="000000"/>
                      <w:kern w:val="0"/>
                      <w:lang w:bidi="ar"/>
                    </w:rPr>
                    <w:t>19</w:t>
                  </w:r>
                </w:p>
              </w:tc>
            </w:tr>
            <w:tr w14:paraId="4039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continue"/>
                  <w:vAlign w:val="center"/>
                </w:tcPr>
                <w:p w14:paraId="08F19C11">
                  <w:pPr>
                    <w:pStyle w:val="95"/>
                    <w:spacing w:before="0" w:after="0"/>
                    <w:rPr>
                      <w:color w:val="000000"/>
                    </w:rPr>
                  </w:pPr>
                </w:p>
              </w:tc>
              <w:tc>
                <w:tcPr>
                  <w:tcW w:w="1314" w:type="pct"/>
                  <w:vAlign w:val="center"/>
                </w:tcPr>
                <w:p w14:paraId="109C7ADD">
                  <w:pPr>
                    <w:pStyle w:val="95"/>
                    <w:spacing w:before="0" w:after="0"/>
                    <w:rPr>
                      <w:rFonts w:ascii="宋体" w:cs="宋体"/>
                      <w:color w:val="000000"/>
                    </w:rPr>
                  </w:pPr>
                  <w:r>
                    <w:rPr>
                      <w:color w:val="000000"/>
                    </w:rPr>
                    <w:t>30T</w:t>
                  </w:r>
                  <w:r>
                    <w:rPr>
                      <w:rFonts w:hint="eastAsia"/>
                      <w:color w:val="000000"/>
                    </w:rPr>
                    <w:t>汽车吊</w:t>
                  </w:r>
                </w:p>
              </w:tc>
              <w:tc>
                <w:tcPr>
                  <w:tcW w:w="328" w:type="pct"/>
                  <w:vAlign w:val="center"/>
                </w:tcPr>
                <w:p w14:paraId="614D7C4A">
                  <w:pPr>
                    <w:pStyle w:val="95"/>
                    <w:spacing w:before="0" w:after="0"/>
                    <w:rPr>
                      <w:color w:val="000000"/>
                    </w:rPr>
                  </w:pPr>
                  <w:r>
                    <w:rPr>
                      <w:rFonts w:hint="eastAsia"/>
                      <w:color w:val="000000"/>
                    </w:rPr>
                    <w:t>8</w:t>
                  </w:r>
                  <w:r>
                    <w:rPr>
                      <w:color w:val="000000"/>
                    </w:rPr>
                    <w:t>5</w:t>
                  </w:r>
                </w:p>
              </w:tc>
              <w:tc>
                <w:tcPr>
                  <w:tcW w:w="328" w:type="pct"/>
                  <w:vAlign w:val="center"/>
                </w:tcPr>
                <w:p w14:paraId="6059CAB7">
                  <w:pPr>
                    <w:widowControl/>
                    <w:jc w:val="center"/>
                    <w:textAlignment w:val="center"/>
                    <w:rPr>
                      <w:color w:val="000000"/>
                    </w:rPr>
                  </w:pPr>
                  <w:r>
                    <w:rPr>
                      <w:color w:val="000000"/>
                      <w:kern w:val="0"/>
                      <w:lang w:bidi="ar"/>
                    </w:rPr>
                    <w:t>61</w:t>
                  </w:r>
                </w:p>
              </w:tc>
              <w:tc>
                <w:tcPr>
                  <w:tcW w:w="328" w:type="pct"/>
                  <w:vAlign w:val="center"/>
                </w:tcPr>
                <w:p w14:paraId="04FEA6A6">
                  <w:pPr>
                    <w:widowControl/>
                    <w:jc w:val="center"/>
                    <w:textAlignment w:val="center"/>
                    <w:rPr>
                      <w:color w:val="000000"/>
                    </w:rPr>
                  </w:pPr>
                  <w:r>
                    <w:rPr>
                      <w:color w:val="000000"/>
                      <w:kern w:val="0"/>
                      <w:lang w:bidi="ar"/>
                    </w:rPr>
                    <w:t>55</w:t>
                  </w:r>
                </w:p>
              </w:tc>
              <w:tc>
                <w:tcPr>
                  <w:tcW w:w="328" w:type="pct"/>
                  <w:vAlign w:val="center"/>
                </w:tcPr>
                <w:p w14:paraId="55F5CFF4">
                  <w:pPr>
                    <w:widowControl/>
                    <w:jc w:val="center"/>
                    <w:textAlignment w:val="center"/>
                    <w:rPr>
                      <w:color w:val="000000"/>
                    </w:rPr>
                  </w:pPr>
                  <w:r>
                    <w:rPr>
                      <w:color w:val="000000"/>
                      <w:kern w:val="0"/>
                      <w:lang w:bidi="ar"/>
                    </w:rPr>
                    <w:t>49</w:t>
                  </w:r>
                </w:p>
              </w:tc>
              <w:tc>
                <w:tcPr>
                  <w:tcW w:w="328" w:type="pct"/>
                  <w:vAlign w:val="center"/>
                </w:tcPr>
                <w:p w14:paraId="6462CF05">
                  <w:pPr>
                    <w:widowControl/>
                    <w:jc w:val="center"/>
                    <w:textAlignment w:val="center"/>
                    <w:rPr>
                      <w:color w:val="000000"/>
                    </w:rPr>
                  </w:pPr>
                  <w:r>
                    <w:rPr>
                      <w:color w:val="000000"/>
                      <w:kern w:val="0"/>
                      <w:lang w:bidi="ar"/>
                    </w:rPr>
                    <w:t>45</w:t>
                  </w:r>
                </w:p>
              </w:tc>
              <w:tc>
                <w:tcPr>
                  <w:tcW w:w="328" w:type="pct"/>
                  <w:vAlign w:val="center"/>
                </w:tcPr>
                <w:p w14:paraId="5E114EFE">
                  <w:pPr>
                    <w:widowControl/>
                    <w:jc w:val="center"/>
                    <w:textAlignment w:val="center"/>
                    <w:rPr>
                      <w:color w:val="000000"/>
                    </w:rPr>
                  </w:pPr>
                  <w:r>
                    <w:rPr>
                      <w:color w:val="000000"/>
                      <w:kern w:val="0"/>
                      <w:lang w:bidi="ar"/>
                    </w:rPr>
                    <w:t>43</w:t>
                  </w:r>
                </w:p>
              </w:tc>
              <w:tc>
                <w:tcPr>
                  <w:tcW w:w="327" w:type="pct"/>
                  <w:vAlign w:val="center"/>
                </w:tcPr>
                <w:p w14:paraId="40363DDC">
                  <w:pPr>
                    <w:widowControl/>
                    <w:jc w:val="center"/>
                    <w:textAlignment w:val="center"/>
                    <w:rPr>
                      <w:color w:val="000000"/>
                    </w:rPr>
                  </w:pPr>
                  <w:r>
                    <w:rPr>
                      <w:color w:val="000000"/>
                      <w:kern w:val="0"/>
                      <w:lang w:bidi="ar"/>
                    </w:rPr>
                    <w:t>41</w:t>
                  </w:r>
                </w:p>
              </w:tc>
              <w:tc>
                <w:tcPr>
                  <w:tcW w:w="328" w:type="pct"/>
                  <w:vAlign w:val="center"/>
                </w:tcPr>
                <w:p w14:paraId="58A21C74">
                  <w:pPr>
                    <w:widowControl/>
                    <w:jc w:val="center"/>
                    <w:textAlignment w:val="center"/>
                    <w:rPr>
                      <w:color w:val="000000"/>
                    </w:rPr>
                  </w:pPr>
                  <w:r>
                    <w:rPr>
                      <w:color w:val="000000"/>
                      <w:kern w:val="0"/>
                      <w:lang w:bidi="ar"/>
                    </w:rPr>
                    <w:t>35</w:t>
                  </w:r>
                </w:p>
              </w:tc>
              <w:tc>
                <w:tcPr>
                  <w:tcW w:w="328" w:type="pct"/>
                  <w:vAlign w:val="center"/>
                </w:tcPr>
                <w:p w14:paraId="30EF2D75">
                  <w:pPr>
                    <w:widowControl/>
                    <w:jc w:val="center"/>
                    <w:textAlignment w:val="center"/>
                    <w:rPr>
                      <w:color w:val="000000"/>
                    </w:rPr>
                  </w:pPr>
                  <w:r>
                    <w:rPr>
                      <w:color w:val="000000"/>
                      <w:kern w:val="0"/>
                      <w:lang w:bidi="ar"/>
                    </w:rPr>
                    <w:t>31</w:t>
                  </w:r>
                </w:p>
              </w:tc>
              <w:tc>
                <w:tcPr>
                  <w:tcW w:w="325" w:type="pct"/>
                  <w:vAlign w:val="center"/>
                </w:tcPr>
                <w:p w14:paraId="5DD99594">
                  <w:pPr>
                    <w:widowControl/>
                    <w:jc w:val="center"/>
                    <w:textAlignment w:val="center"/>
                    <w:rPr>
                      <w:color w:val="000000"/>
                    </w:rPr>
                  </w:pPr>
                  <w:r>
                    <w:rPr>
                      <w:color w:val="000000"/>
                      <w:kern w:val="0"/>
                      <w:lang w:bidi="ar"/>
                    </w:rPr>
                    <w:t>29</w:t>
                  </w:r>
                </w:p>
              </w:tc>
            </w:tr>
            <w:tr w14:paraId="0911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09" w:type="pct"/>
                  <w:vMerge w:val="continue"/>
                  <w:vAlign w:val="center"/>
                </w:tcPr>
                <w:p w14:paraId="5470FC27">
                  <w:pPr>
                    <w:pStyle w:val="95"/>
                    <w:spacing w:before="0" w:after="0"/>
                    <w:rPr>
                      <w:color w:val="000000"/>
                    </w:rPr>
                  </w:pPr>
                </w:p>
              </w:tc>
              <w:tc>
                <w:tcPr>
                  <w:tcW w:w="1642" w:type="pct"/>
                  <w:gridSpan w:val="2"/>
                  <w:vAlign w:val="center"/>
                </w:tcPr>
                <w:p w14:paraId="524F74EA">
                  <w:pPr>
                    <w:pStyle w:val="95"/>
                    <w:spacing w:before="0" w:after="0"/>
                    <w:rPr>
                      <w:color w:val="000000"/>
                    </w:rPr>
                  </w:pPr>
                  <w:r>
                    <w:rPr>
                      <w:rFonts w:hint="eastAsia"/>
                      <w:color w:val="000000"/>
                    </w:rPr>
                    <w:t>贡献值叠加</w:t>
                  </w:r>
                </w:p>
              </w:tc>
              <w:tc>
                <w:tcPr>
                  <w:tcW w:w="328" w:type="pct"/>
                  <w:vAlign w:val="center"/>
                </w:tcPr>
                <w:p w14:paraId="7018CE7A">
                  <w:pPr>
                    <w:widowControl/>
                    <w:jc w:val="center"/>
                    <w:textAlignment w:val="center"/>
                    <w:rPr>
                      <w:color w:val="000000"/>
                    </w:rPr>
                  </w:pPr>
                  <w:r>
                    <w:rPr>
                      <w:color w:val="000000"/>
                      <w:kern w:val="0"/>
                      <w:lang w:bidi="ar"/>
                    </w:rPr>
                    <w:t>64</w:t>
                  </w:r>
                </w:p>
              </w:tc>
              <w:tc>
                <w:tcPr>
                  <w:tcW w:w="328" w:type="pct"/>
                  <w:vAlign w:val="center"/>
                </w:tcPr>
                <w:p w14:paraId="4C26C4D0">
                  <w:pPr>
                    <w:widowControl/>
                    <w:jc w:val="center"/>
                    <w:textAlignment w:val="center"/>
                    <w:rPr>
                      <w:color w:val="000000"/>
                    </w:rPr>
                  </w:pPr>
                  <w:r>
                    <w:rPr>
                      <w:color w:val="000000"/>
                      <w:kern w:val="0"/>
                      <w:lang w:bidi="ar"/>
                    </w:rPr>
                    <w:t>58</w:t>
                  </w:r>
                </w:p>
              </w:tc>
              <w:tc>
                <w:tcPr>
                  <w:tcW w:w="328" w:type="pct"/>
                  <w:vAlign w:val="center"/>
                </w:tcPr>
                <w:p w14:paraId="251C8486">
                  <w:pPr>
                    <w:widowControl/>
                    <w:jc w:val="center"/>
                    <w:textAlignment w:val="center"/>
                    <w:rPr>
                      <w:color w:val="000000"/>
                    </w:rPr>
                  </w:pPr>
                  <w:r>
                    <w:rPr>
                      <w:color w:val="000000"/>
                      <w:kern w:val="0"/>
                      <w:lang w:bidi="ar"/>
                    </w:rPr>
                    <w:t>52</w:t>
                  </w:r>
                </w:p>
              </w:tc>
              <w:tc>
                <w:tcPr>
                  <w:tcW w:w="328" w:type="pct"/>
                  <w:vAlign w:val="center"/>
                </w:tcPr>
                <w:p w14:paraId="2204A6B2">
                  <w:pPr>
                    <w:widowControl/>
                    <w:jc w:val="center"/>
                    <w:textAlignment w:val="center"/>
                    <w:rPr>
                      <w:color w:val="000000"/>
                    </w:rPr>
                  </w:pPr>
                  <w:r>
                    <w:rPr>
                      <w:color w:val="000000"/>
                      <w:kern w:val="0"/>
                      <w:lang w:bidi="ar"/>
                    </w:rPr>
                    <w:t>48</w:t>
                  </w:r>
                </w:p>
              </w:tc>
              <w:tc>
                <w:tcPr>
                  <w:tcW w:w="328" w:type="pct"/>
                  <w:vAlign w:val="center"/>
                </w:tcPr>
                <w:p w14:paraId="04E416AC">
                  <w:pPr>
                    <w:widowControl/>
                    <w:jc w:val="center"/>
                    <w:textAlignment w:val="center"/>
                    <w:rPr>
                      <w:color w:val="000000"/>
                    </w:rPr>
                  </w:pPr>
                  <w:r>
                    <w:rPr>
                      <w:color w:val="000000"/>
                      <w:kern w:val="0"/>
                      <w:lang w:bidi="ar"/>
                    </w:rPr>
                    <w:t>46</w:t>
                  </w:r>
                </w:p>
              </w:tc>
              <w:tc>
                <w:tcPr>
                  <w:tcW w:w="327" w:type="pct"/>
                  <w:vAlign w:val="center"/>
                </w:tcPr>
                <w:p w14:paraId="4067DE51">
                  <w:pPr>
                    <w:widowControl/>
                    <w:jc w:val="center"/>
                    <w:textAlignment w:val="center"/>
                    <w:rPr>
                      <w:color w:val="000000"/>
                    </w:rPr>
                  </w:pPr>
                  <w:r>
                    <w:rPr>
                      <w:color w:val="000000"/>
                      <w:kern w:val="0"/>
                      <w:lang w:bidi="ar"/>
                    </w:rPr>
                    <w:t>44</w:t>
                  </w:r>
                </w:p>
              </w:tc>
              <w:tc>
                <w:tcPr>
                  <w:tcW w:w="328" w:type="pct"/>
                  <w:vAlign w:val="center"/>
                </w:tcPr>
                <w:p w14:paraId="051168DA">
                  <w:pPr>
                    <w:widowControl/>
                    <w:jc w:val="center"/>
                    <w:textAlignment w:val="center"/>
                    <w:rPr>
                      <w:color w:val="000000"/>
                    </w:rPr>
                  </w:pPr>
                  <w:r>
                    <w:rPr>
                      <w:color w:val="000000"/>
                      <w:kern w:val="0"/>
                      <w:lang w:bidi="ar"/>
                    </w:rPr>
                    <w:t>38</w:t>
                  </w:r>
                </w:p>
              </w:tc>
              <w:tc>
                <w:tcPr>
                  <w:tcW w:w="328" w:type="pct"/>
                  <w:vAlign w:val="center"/>
                </w:tcPr>
                <w:p w14:paraId="7E9209A1">
                  <w:pPr>
                    <w:widowControl/>
                    <w:jc w:val="center"/>
                    <w:textAlignment w:val="center"/>
                    <w:rPr>
                      <w:color w:val="000000"/>
                    </w:rPr>
                  </w:pPr>
                  <w:r>
                    <w:rPr>
                      <w:color w:val="000000"/>
                      <w:kern w:val="0"/>
                      <w:lang w:bidi="ar"/>
                    </w:rPr>
                    <w:t>34</w:t>
                  </w:r>
                </w:p>
              </w:tc>
              <w:tc>
                <w:tcPr>
                  <w:tcW w:w="325" w:type="pct"/>
                  <w:vAlign w:val="center"/>
                </w:tcPr>
                <w:p w14:paraId="5564C8C8">
                  <w:pPr>
                    <w:widowControl/>
                    <w:jc w:val="center"/>
                    <w:textAlignment w:val="center"/>
                    <w:rPr>
                      <w:color w:val="000000"/>
                    </w:rPr>
                  </w:pPr>
                  <w:r>
                    <w:rPr>
                      <w:color w:val="000000"/>
                      <w:kern w:val="0"/>
                      <w:lang w:bidi="ar"/>
                    </w:rPr>
                    <w:t>32</w:t>
                  </w:r>
                </w:p>
              </w:tc>
            </w:tr>
          </w:tbl>
          <w:p w14:paraId="0AA23DCF">
            <w:pPr>
              <w:adjustRightInd w:val="0"/>
              <w:snapToGrid w:val="0"/>
              <w:spacing w:line="360" w:lineRule="auto"/>
              <w:ind w:firstLine="480" w:firstLineChars="200"/>
              <w:rPr>
                <w:rFonts w:hint="eastAsia"/>
              </w:rPr>
            </w:pPr>
            <w:r>
              <w:rPr>
                <w:rFonts w:hint="eastAsia" w:cs="Arial"/>
                <w:sz w:val="24"/>
                <w:szCs w:val="22"/>
              </w:rPr>
              <w:t>经叠加贡献值计算，昼间噪声在距场界外10m、夜间噪声在距场界外30m处，可满足《建筑施工噪声排放标准》（GB 12523-2025）规定的昼间70dB(</w:t>
            </w:r>
            <w:r>
              <w:rPr>
                <w:rFonts w:hint="eastAsia"/>
                <w:sz w:val="24"/>
                <w:szCs w:val="24"/>
              </w:rPr>
              <w:t>A)</w:t>
            </w:r>
            <w:r>
              <w:rPr>
                <w:rFonts w:hint="eastAsia" w:cs="Arial"/>
                <w:sz w:val="24"/>
                <w:szCs w:val="22"/>
              </w:rPr>
              <w:t>、夜间55dB</w:t>
            </w:r>
            <w:r>
              <w:rPr>
                <w:rFonts w:cs="Arial"/>
                <w:sz w:val="24"/>
                <w:szCs w:val="22"/>
              </w:rPr>
              <w:t>(</w:t>
            </w:r>
            <w:r>
              <w:rPr>
                <w:rFonts w:hint="eastAsia"/>
                <w:sz w:val="24"/>
                <w:szCs w:val="24"/>
              </w:rPr>
              <w:t>A</w:t>
            </w:r>
            <w:r>
              <w:rPr>
                <w:sz w:val="24"/>
                <w:szCs w:val="24"/>
              </w:rPr>
              <w:t>)</w:t>
            </w:r>
            <w:r>
              <w:rPr>
                <w:rFonts w:hint="eastAsia" w:cs="Arial"/>
                <w:sz w:val="24"/>
                <w:szCs w:val="22"/>
              </w:rPr>
              <w:t>要求。</w:t>
            </w:r>
          </w:p>
          <w:p w14:paraId="7AED22CA">
            <w:pPr>
              <w:spacing w:line="360" w:lineRule="auto"/>
              <w:ind w:firstLine="482" w:firstLineChars="200"/>
              <w:rPr>
                <w:b/>
                <w:bCs/>
                <w:sz w:val="24"/>
              </w:rPr>
            </w:pPr>
            <w:r>
              <w:rPr>
                <w:rFonts w:hint="eastAsia"/>
                <w:b/>
                <w:bCs/>
                <w:sz w:val="24"/>
              </w:rPr>
              <w:t>2）环境保护目标噪声影响分析</w:t>
            </w:r>
          </w:p>
          <w:p w14:paraId="254B40DF">
            <w:pPr>
              <w:spacing w:line="360" w:lineRule="auto"/>
              <w:ind w:firstLine="480" w:firstLineChars="200"/>
              <w:rPr>
                <w:rFonts w:ascii="宋体" w:cs="宋体"/>
                <w:sz w:val="24"/>
                <w:szCs w:val="24"/>
              </w:rPr>
            </w:pPr>
            <w:r>
              <w:rPr>
                <w:rFonts w:hint="eastAsia"/>
                <w:sz w:val="24"/>
                <w:szCs w:val="24"/>
              </w:rPr>
              <w:t>根据现状调查，部分光伏场区距离村庄住户较近，进行噪声预测。现状值取各环境保护目标处最大噪声监测值，施工期间由于施工设备较分散，噪声贡献值取环境保护目标距离光伏厂界相应距离处的不同施工阶段噪声贡献值的最大值。各环境保护目标</w:t>
            </w:r>
            <w:r>
              <w:rPr>
                <w:rFonts w:hint="eastAsia" w:ascii="宋体" w:cs="宋体"/>
                <w:sz w:val="24"/>
                <w:szCs w:val="24"/>
              </w:rPr>
              <w:t>预测结果见</w:t>
            </w:r>
            <w:r>
              <w:rPr>
                <w:rFonts w:hint="eastAsia" w:ascii="TimesNewRomanPSMT" w:hAnsi="TimesNewRomanPSMT" w:cs="TimesNewRomanPSMT"/>
                <w:sz w:val="24"/>
                <w:szCs w:val="24"/>
              </w:rPr>
              <w:t>下表</w:t>
            </w:r>
            <w:r>
              <w:rPr>
                <w:rFonts w:hint="eastAsia" w:ascii="宋体" w:cs="宋体"/>
                <w:sz w:val="24"/>
                <w:szCs w:val="24"/>
              </w:rPr>
              <w:t>。</w:t>
            </w:r>
          </w:p>
          <w:p w14:paraId="36116D0B">
            <w:pPr>
              <w:adjustRightInd w:val="0"/>
              <w:snapToGrid w:val="0"/>
              <w:spacing w:line="360" w:lineRule="auto"/>
              <w:jc w:val="center"/>
              <w:rPr>
                <w:b/>
                <w:bCs/>
                <w:snapToGrid w:val="0"/>
                <w:kern w:val="0"/>
                <w:sz w:val="24"/>
                <w:szCs w:val="24"/>
              </w:rPr>
            </w:pPr>
            <w:r>
              <w:rPr>
                <w:rFonts w:hint="eastAsia"/>
                <w:b/>
                <w:bCs/>
                <w:snapToGrid w:val="0"/>
                <w:kern w:val="0"/>
                <w:sz w:val="24"/>
                <w:szCs w:val="24"/>
              </w:rPr>
              <w:t xml:space="preserve">表4.1.3-3  环境保护目标噪声预测结果 </w:t>
            </w:r>
            <w:r>
              <w:rPr>
                <w:b/>
                <w:bCs/>
                <w:snapToGrid w:val="0"/>
                <w:kern w:val="0"/>
                <w:sz w:val="24"/>
                <w:szCs w:val="24"/>
              </w:rPr>
              <w:t xml:space="preserve"> </w:t>
            </w:r>
            <w:r>
              <w:rPr>
                <w:rFonts w:hint="eastAsia"/>
                <w:b/>
                <w:bCs/>
                <w:snapToGrid w:val="0"/>
                <w:kern w:val="0"/>
                <w:sz w:val="24"/>
                <w:szCs w:val="24"/>
              </w:rPr>
              <w:t>单位：</w:t>
            </w:r>
            <w:r>
              <w:rPr>
                <w:b/>
                <w:bCs/>
                <w:snapToGrid w:val="0"/>
                <w:kern w:val="0"/>
                <w:sz w:val="24"/>
                <w:szCs w:val="24"/>
              </w:rPr>
              <w:t>dB(A)</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550"/>
              <w:gridCol w:w="546"/>
              <w:gridCol w:w="1788"/>
              <w:gridCol w:w="427"/>
              <w:gridCol w:w="427"/>
              <w:gridCol w:w="568"/>
              <w:gridCol w:w="568"/>
              <w:gridCol w:w="568"/>
              <w:gridCol w:w="568"/>
              <w:gridCol w:w="427"/>
              <w:gridCol w:w="428"/>
              <w:gridCol w:w="699"/>
            </w:tblGrid>
            <w:tr w14:paraId="51E8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078" w:type="dxa"/>
                  <w:vMerge w:val="restart"/>
                  <w:vAlign w:val="center"/>
                </w:tcPr>
                <w:p w14:paraId="15B8C419">
                  <w:pPr>
                    <w:adjustRightInd w:val="0"/>
                    <w:snapToGrid w:val="0"/>
                    <w:jc w:val="center"/>
                    <w:rPr>
                      <w:b/>
                      <w:bCs/>
                    </w:rPr>
                  </w:pPr>
                  <w:bookmarkStart w:id="139" w:name="OLE_LINK62"/>
                  <w:r>
                    <w:rPr>
                      <w:b/>
                      <w:bCs/>
                    </w:rPr>
                    <w:t>声环境保护目标名称</w:t>
                  </w:r>
                </w:p>
              </w:tc>
              <w:tc>
                <w:tcPr>
                  <w:tcW w:w="1093" w:type="dxa"/>
                  <w:gridSpan w:val="2"/>
                  <w:vAlign w:val="center"/>
                </w:tcPr>
                <w:p w14:paraId="7009B797">
                  <w:pPr>
                    <w:adjustRightInd w:val="0"/>
                    <w:snapToGrid w:val="0"/>
                    <w:jc w:val="center"/>
                    <w:rPr>
                      <w:b/>
                      <w:bCs/>
                    </w:rPr>
                  </w:pPr>
                  <w:r>
                    <w:rPr>
                      <w:b/>
                      <w:bCs/>
                    </w:rPr>
                    <w:t>噪声</w:t>
                  </w:r>
                  <w:r>
                    <w:rPr>
                      <w:rFonts w:hint="eastAsia"/>
                      <w:b/>
                      <w:bCs/>
                    </w:rPr>
                    <w:t>现状值</w:t>
                  </w:r>
                </w:p>
              </w:tc>
              <w:tc>
                <w:tcPr>
                  <w:tcW w:w="1799" w:type="dxa"/>
                  <w:vMerge w:val="restart"/>
                  <w:vAlign w:val="center"/>
                </w:tcPr>
                <w:p w14:paraId="42D20B5D">
                  <w:pPr>
                    <w:adjustRightInd w:val="0"/>
                    <w:snapToGrid w:val="0"/>
                    <w:jc w:val="center"/>
                    <w:rPr>
                      <w:b/>
                      <w:bCs/>
                    </w:rPr>
                  </w:pPr>
                  <w:r>
                    <w:rPr>
                      <w:rFonts w:hint="eastAsia"/>
                      <w:b/>
                      <w:bCs/>
                    </w:rPr>
                    <w:t>距离（m）</w:t>
                  </w:r>
                </w:p>
              </w:tc>
              <w:tc>
                <w:tcPr>
                  <w:tcW w:w="850" w:type="dxa"/>
                  <w:gridSpan w:val="2"/>
                  <w:vAlign w:val="center"/>
                </w:tcPr>
                <w:p w14:paraId="0454E07A">
                  <w:pPr>
                    <w:adjustRightInd w:val="0"/>
                    <w:snapToGrid w:val="0"/>
                    <w:jc w:val="center"/>
                    <w:rPr>
                      <w:rFonts w:hint="eastAsia"/>
                      <w:b/>
                      <w:bCs/>
                    </w:rPr>
                  </w:pPr>
                  <w:r>
                    <w:rPr>
                      <w:b/>
                      <w:bCs/>
                    </w:rPr>
                    <w:t>噪声贡献值</w:t>
                  </w:r>
                </w:p>
              </w:tc>
              <w:tc>
                <w:tcPr>
                  <w:tcW w:w="1134" w:type="dxa"/>
                  <w:gridSpan w:val="2"/>
                  <w:vAlign w:val="center"/>
                </w:tcPr>
                <w:p w14:paraId="0995D1B2">
                  <w:pPr>
                    <w:adjustRightInd w:val="0"/>
                    <w:snapToGrid w:val="0"/>
                    <w:jc w:val="center"/>
                    <w:rPr>
                      <w:rFonts w:hint="eastAsia"/>
                      <w:b/>
                      <w:bCs/>
                    </w:rPr>
                  </w:pPr>
                  <w:r>
                    <w:rPr>
                      <w:b/>
                      <w:bCs/>
                    </w:rPr>
                    <w:t>噪声预测值</w:t>
                  </w:r>
                </w:p>
              </w:tc>
              <w:tc>
                <w:tcPr>
                  <w:tcW w:w="1134" w:type="dxa"/>
                  <w:gridSpan w:val="2"/>
                  <w:vAlign w:val="center"/>
                </w:tcPr>
                <w:p w14:paraId="7901C2BF">
                  <w:pPr>
                    <w:adjustRightInd w:val="0"/>
                    <w:snapToGrid w:val="0"/>
                    <w:jc w:val="center"/>
                    <w:rPr>
                      <w:rFonts w:hint="eastAsia"/>
                      <w:b/>
                      <w:bCs/>
                    </w:rPr>
                  </w:pPr>
                  <w:r>
                    <w:rPr>
                      <w:b/>
                      <w:bCs/>
                    </w:rPr>
                    <w:t>噪声标准</w:t>
                  </w:r>
                </w:p>
              </w:tc>
              <w:tc>
                <w:tcPr>
                  <w:tcW w:w="851" w:type="dxa"/>
                  <w:gridSpan w:val="2"/>
                  <w:vAlign w:val="center"/>
                </w:tcPr>
                <w:p w14:paraId="6E141935">
                  <w:pPr>
                    <w:adjustRightInd w:val="0"/>
                    <w:snapToGrid w:val="0"/>
                    <w:jc w:val="center"/>
                    <w:rPr>
                      <w:b/>
                      <w:bCs/>
                    </w:rPr>
                  </w:pPr>
                  <w:r>
                    <w:rPr>
                      <w:b/>
                      <w:bCs/>
                    </w:rPr>
                    <w:t>超标情况</w:t>
                  </w:r>
                </w:p>
              </w:tc>
              <w:tc>
                <w:tcPr>
                  <w:tcW w:w="699" w:type="dxa"/>
                  <w:vMerge w:val="restart"/>
                  <w:vAlign w:val="center"/>
                </w:tcPr>
                <w:p w14:paraId="7791FF17">
                  <w:pPr>
                    <w:adjustRightInd w:val="0"/>
                    <w:snapToGrid w:val="0"/>
                    <w:jc w:val="center"/>
                    <w:rPr>
                      <w:b/>
                      <w:bCs/>
                    </w:rPr>
                  </w:pPr>
                  <w:r>
                    <w:rPr>
                      <w:rFonts w:hint="eastAsia"/>
                      <w:b/>
                      <w:bCs/>
                    </w:rPr>
                    <w:t>最大超标值</w:t>
                  </w:r>
                </w:p>
              </w:tc>
            </w:tr>
            <w:tr w14:paraId="19CC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078" w:type="dxa"/>
                  <w:vMerge w:val="continue"/>
                  <w:vAlign w:val="center"/>
                </w:tcPr>
                <w:p w14:paraId="6A5E3E53">
                  <w:pPr>
                    <w:adjustRightInd w:val="0"/>
                    <w:snapToGrid w:val="0"/>
                    <w:jc w:val="center"/>
                    <w:rPr>
                      <w:b/>
                      <w:bCs/>
                    </w:rPr>
                  </w:pPr>
                </w:p>
              </w:tc>
              <w:tc>
                <w:tcPr>
                  <w:tcW w:w="548" w:type="dxa"/>
                  <w:vAlign w:val="center"/>
                </w:tcPr>
                <w:p w14:paraId="349353CB">
                  <w:pPr>
                    <w:adjustRightInd w:val="0"/>
                    <w:snapToGrid w:val="0"/>
                    <w:jc w:val="center"/>
                    <w:rPr>
                      <w:b/>
                      <w:bCs/>
                    </w:rPr>
                  </w:pPr>
                  <w:r>
                    <w:rPr>
                      <w:b/>
                      <w:bCs/>
                    </w:rPr>
                    <w:t>昼间</w:t>
                  </w:r>
                </w:p>
              </w:tc>
              <w:tc>
                <w:tcPr>
                  <w:tcW w:w="545" w:type="dxa"/>
                  <w:vAlign w:val="center"/>
                </w:tcPr>
                <w:p w14:paraId="42CE5E6C">
                  <w:pPr>
                    <w:adjustRightInd w:val="0"/>
                    <w:snapToGrid w:val="0"/>
                    <w:jc w:val="center"/>
                    <w:rPr>
                      <w:b/>
                      <w:bCs/>
                    </w:rPr>
                  </w:pPr>
                  <w:r>
                    <w:rPr>
                      <w:b/>
                      <w:bCs/>
                    </w:rPr>
                    <w:t>夜间</w:t>
                  </w:r>
                </w:p>
              </w:tc>
              <w:tc>
                <w:tcPr>
                  <w:tcW w:w="1799" w:type="dxa"/>
                  <w:vMerge w:val="continue"/>
                  <w:vAlign w:val="center"/>
                </w:tcPr>
                <w:p w14:paraId="2F9AD80A">
                  <w:pPr>
                    <w:adjustRightInd w:val="0"/>
                    <w:snapToGrid w:val="0"/>
                    <w:jc w:val="center"/>
                    <w:rPr>
                      <w:b/>
                      <w:bCs/>
                    </w:rPr>
                  </w:pPr>
                </w:p>
              </w:tc>
              <w:tc>
                <w:tcPr>
                  <w:tcW w:w="425" w:type="dxa"/>
                  <w:vAlign w:val="center"/>
                </w:tcPr>
                <w:p w14:paraId="4A910A75">
                  <w:pPr>
                    <w:adjustRightInd w:val="0"/>
                    <w:snapToGrid w:val="0"/>
                    <w:jc w:val="center"/>
                    <w:rPr>
                      <w:b/>
                      <w:bCs/>
                    </w:rPr>
                  </w:pPr>
                  <w:r>
                    <w:rPr>
                      <w:b/>
                      <w:bCs/>
                    </w:rPr>
                    <w:t>昼间</w:t>
                  </w:r>
                </w:p>
              </w:tc>
              <w:tc>
                <w:tcPr>
                  <w:tcW w:w="425" w:type="dxa"/>
                  <w:vAlign w:val="center"/>
                </w:tcPr>
                <w:p w14:paraId="00CADD52">
                  <w:pPr>
                    <w:adjustRightInd w:val="0"/>
                    <w:snapToGrid w:val="0"/>
                    <w:jc w:val="center"/>
                    <w:rPr>
                      <w:b/>
                      <w:bCs/>
                    </w:rPr>
                  </w:pPr>
                  <w:r>
                    <w:rPr>
                      <w:b/>
                      <w:bCs/>
                    </w:rPr>
                    <w:t>夜间</w:t>
                  </w:r>
                </w:p>
              </w:tc>
              <w:tc>
                <w:tcPr>
                  <w:tcW w:w="567" w:type="dxa"/>
                  <w:vAlign w:val="center"/>
                </w:tcPr>
                <w:p w14:paraId="487A3B0D">
                  <w:pPr>
                    <w:adjustRightInd w:val="0"/>
                    <w:snapToGrid w:val="0"/>
                    <w:jc w:val="center"/>
                    <w:rPr>
                      <w:b/>
                      <w:bCs/>
                    </w:rPr>
                  </w:pPr>
                  <w:r>
                    <w:rPr>
                      <w:b/>
                      <w:bCs/>
                    </w:rPr>
                    <w:t>昼间</w:t>
                  </w:r>
                </w:p>
              </w:tc>
              <w:tc>
                <w:tcPr>
                  <w:tcW w:w="567" w:type="dxa"/>
                  <w:vAlign w:val="center"/>
                </w:tcPr>
                <w:p w14:paraId="74475410">
                  <w:pPr>
                    <w:adjustRightInd w:val="0"/>
                    <w:snapToGrid w:val="0"/>
                    <w:jc w:val="center"/>
                    <w:rPr>
                      <w:b/>
                      <w:bCs/>
                    </w:rPr>
                  </w:pPr>
                  <w:r>
                    <w:rPr>
                      <w:b/>
                      <w:bCs/>
                    </w:rPr>
                    <w:t>夜间</w:t>
                  </w:r>
                </w:p>
              </w:tc>
              <w:tc>
                <w:tcPr>
                  <w:tcW w:w="567" w:type="dxa"/>
                  <w:vAlign w:val="center"/>
                </w:tcPr>
                <w:p w14:paraId="5D4695ED">
                  <w:pPr>
                    <w:adjustRightInd w:val="0"/>
                    <w:snapToGrid w:val="0"/>
                    <w:jc w:val="center"/>
                    <w:rPr>
                      <w:b/>
                      <w:bCs/>
                    </w:rPr>
                  </w:pPr>
                  <w:r>
                    <w:rPr>
                      <w:b/>
                      <w:bCs/>
                    </w:rPr>
                    <w:t>昼间</w:t>
                  </w:r>
                </w:p>
              </w:tc>
              <w:tc>
                <w:tcPr>
                  <w:tcW w:w="567" w:type="dxa"/>
                  <w:vAlign w:val="center"/>
                </w:tcPr>
                <w:p w14:paraId="09F6D1D8">
                  <w:pPr>
                    <w:adjustRightInd w:val="0"/>
                    <w:snapToGrid w:val="0"/>
                    <w:jc w:val="center"/>
                    <w:rPr>
                      <w:b/>
                      <w:bCs/>
                    </w:rPr>
                  </w:pPr>
                  <w:r>
                    <w:rPr>
                      <w:b/>
                      <w:bCs/>
                    </w:rPr>
                    <w:t>夜间</w:t>
                  </w:r>
                </w:p>
              </w:tc>
              <w:tc>
                <w:tcPr>
                  <w:tcW w:w="425" w:type="dxa"/>
                  <w:vAlign w:val="center"/>
                </w:tcPr>
                <w:p w14:paraId="33DAB09B">
                  <w:pPr>
                    <w:adjustRightInd w:val="0"/>
                    <w:snapToGrid w:val="0"/>
                    <w:jc w:val="center"/>
                    <w:rPr>
                      <w:b/>
                      <w:bCs/>
                    </w:rPr>
                  </w:pPr>
                  <w:r>
                    <w:rPr>
                      <w:b/>
                      <w:bCs/>
                    </w:rPr>
                    <w:t>昼间</w:t>
                  </w:r>
                </w:p>
              </w:tc>
              <w:tc>
                <w:tcPr>
                  <w:tcW w:w="426" w:type="dxa"/>
                  <w:vAlign w:val="center"/>
                </w:tcPr>
                <w:p w14:paraId="02DE12DA">
                  <w:pPr>
                    <w:adjustRightInd w:val="0"/>
                    <w:snapToGrid w:val="0"/>
                    <w:jc w:val="center"/>
                    <w:rPr>
                      <w:b/>
                      <w:bCs/>
                    </w:rPr>
                  </w:pPr>
                  <w:r>
                    <w:rPr>
                      <w:b/>
                      <w:bCs/>
                    </w:rPr>
                    <w:t>夜间</w:t>
                  </w:r>
                </w:p>
              </w:tc>
              <w:tc>
                <w:tcPr>
                  <w:tcW w:w="699" w:type="dxa"/>
                  <w:vMerge w:val="continue"/>
                  <w:vAlign w:val="center"/>
                </w:tcPr>
                <w:p w14:paraId="1C34B094">
                  <w:pPr>
                    <w:adjustRightInd w:val="0"/>
                    <w:snapToGrid w:val="0"/>
                    <w:jc w:val="center"/>
                    <w:rPr>
                      <w:b/>
                      <w:bCs/>
                    </w:rPr>
                  </w:pPr>
                </w:p>
              </w:tc>
            </w:tr>
            <w:tr w14:paraId="5530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78" w:type="dxa"/>
                  <w:vAlign w:val="center"/>
                </w:tcPr>
                <w:p w14:paraId="095B41FF">
                  <w:pPr>
                    <w:adjustRightInd w:val="0"/>
                    <w:snapToGrid w:val="0"/>
                    <w:jc w:val="center"/>
                    <w:rPr>
                      <w:b/>
                      <w:bCs/>
                    </w:rPr>
                  </w:pPr>
                  <w:r>
                    <w:rPr>
                      <w:rFonts w:hint="eastAsia"/>
                    </w:rPr>
                    <w:t>菠萝塘居民点</w:t>
                  </w:r>
                </w:p>
              </w:tc>
              <w:tc>
                <w:tcPr>
                  <w:tcW w:w="548" w:type="dxa"/>
                  <w:vAlign w:val="center"/>
                </w:tcPr>
                <w:p w14:paraId="6B633AED">
                  <w:pPr>
                    <w:jc w:val="center"/>
                    <w:rPr>
                      <w:kern w:val="0"/>
                    </w:rPr>
                  </w:pPr>
                  <w:r>
                    <w:rPr>
                      <w:color w:val="000000"/>
                      <w:sz w:val="18"/>
                      <w:szCs w:val="18"/>
                    </w:rPr>
                    <w:t>43</w:t>
                  </w:r>
                </w:p>
              </w:tc>
              <w:tc>
                <w:tcPr>
                  <w:tcW w:w="545" w:type="dxa"/>
                  <w:vAlign w:val="center"/>
                </w:tcPr>
                <w:p w14:paraId="78805FA6">
                  <w:pPr>
                    <w:jc w:val="center"/>
                    <w:rPr>
                      <w:kern w:val="0"/>
                    </w:rPr>
                  </w:pPr>
                  <w:r>
                    <w:rPr>
                      <w:color w:val="000000"/>
                      <w:sz w:val="18"/>
                      <w:szCs w:val="18"/>
                    </w:rPr>
                    <w:t>39</w:t>
                  </w:r>
                </w:p>
              </w:tc>
              <w:tc>
                <w:tcPr>
                  <w:tcW w:w="1799" w:type="dxa"/>
                  <w:vAlign w:val="center"/>
                </w:tcPr>
                <w:p w14:paraId="042EA07B">
                  <w:pPr>
                    <w:jc w:val="center"/>
                    <w:rPr>
                      <w:kern w:val="0"/>
                    </w:rPr>
                  </w:pPr>
                  <w:r>
                    <w:rPr>
                      <w:rFonts w:hint="eastAsia"/>
                    </w:rPr>
                    <w:t>距离1</w:t>
                  </w:r>
                  <w:r>
                    <w:t>ULN1</w:t>
                  </w:r>
                  <w:r>
                    <w:rPr>
                      <w:rFonts w:hint="eastAsia"/>
                    </w:rPr>
                    <w:t>塔基最近约2</w:t>
                  </w:r>
                  <w:r>
                    <w:t>0</w:t>
                  </w:r>
                  <w:r>
                    <w:rPr>
                      <w:rFonts w:hint="eastAsia"/>
                    </w:rPr>
                    <w:t>m</w:t>
                  </w:r>
                </w:p>
              </w:tc>
              <w:tc>
                <w:tcPr>
                  <w:tcW w:w="425" w:type="dxa"/>
                  <w:vAlign w:val="center"/>
                </w:tcPr>
                <w:p w14:paraId="6BFD00F2">
                  <w:pPr>
                    <w:jc w:val="center"/>
                    <w:rPr>
                      <w:kern w:val="0"/>
                    </w:rPr>
                  </w:pPr>
                  <w:r>
                    <w:rPr>
                      <w:color w:val="000000"/>
                      <w:sz w:val="18"/>
                      <w:szCs w:val="18"/>
                    </w:rPr>
                    <w:t>59</w:t>
                  </w:r>
                </w:p>
              </w:tc>
              <w:tc>
                <w:tcPr>
                  <w:tcW w:w="425" w:type="dxa"/>
                  <w:vAlign w:val="center"/>
                </w:tcPr>
                <w:p w14:paraId="247BEAD6">
                  <w:pPr>
                    <w:jc w:val="center"/>
                    <w:rPr>
                      <w:kern w:val="0"/>
                    </w:rPr>
                  </w:pPr>
                  <w:r>
                    <w:rPr>
                      <w:color w:val="000000"/>
                      <w:sz w:val="18"/>
                      <w:szCs w:val="18"/>
                    </w:rPr>
                    <w:t>59</w:t>
                  </w:r>
                </w:p>
              </w:tc>
              <w:tc>
                <w:tcPr>
                  <w:tcW w:w="567" w:type="dxa"/>
                  <w:vAlign w:val="center"/>
                </w:tcPr>
                <w:p w14:paraId="243A9E9C">
                  <w:pPr>
                    <w:jc w:val="center"/>
                    <w:rPr>
                      <w:kern w:val="0"/>
                    </w:rPr>
                  </w:pPr>
                  <w:r>
                    <w:rPr>
                      <w:color w:val="000000"/>
                    </w:rPr>
                    <w:t>59</w:t>
                  </w:r>
                </w:p>
              </w:tc>
              <w:tc>
                <w:tcPr>
                  <w:tcW w:w="567" w:type="dxa"/>
                  <w:vAlign w:val="center"/>
                </w:tcPr>
                <w:p w14:paraId="156BA2DC">
                  <w:pPr>
                    <w:jc w:val="center"/>
                    <w:rPr>
                      <w:kern w:val="0"/>
                    </w:rPr>
                  </w:pPr>
                  <w:r>
                    <w:rPr>
                      <w:color w:val="000000"/>
                    </w:rPr>
                    <w:t>59</w:t>
                  </w:r>
                </w:p>
              </w:tc>
              <w:tc>
                <w:tcPr>
                  <w:tcW w:w="567" w:type="dxa"/>
                  <w:vAlign w:val="center"/>
                </w:tcPr>
                <w:p w14:paraId="2CBC66FC">
                  <w:pPr>
                    <w:jc w:val="center"/>
                    <w:rPr>
                      <w:kern w:val="0"/>
                    </w:rPr>
                  </w:pPr>
                  <w:r>
                    <w:rPr>
                      <w:kern w:val="0"/>
                    </w:rPr>
                    <w:t>60</w:t>
                  </w:r>
                </w:p>
              </w:tc>
              <w:tc>
                <w:tcPr>
                  <w:tcW w:w="567" w:type="dxa"/>
                  <w:vAlign w:val="center"/>
                </w:tcPr>
                <w:p w14:paraId="1A392F6C">
                  <w:pPr>
                    <w:jc w:val="center"/>
                    <w:rPr>
                      <w:kern w:val="0"/>
                    </w:rPr>
                  </w:pPr>
                  <w:r>
                    <w:rPr>
                      <w:rFonts w:hint="eastAsia"/>
                      <w:kern w:val="0"/>
                    </w:rPr>
                    <w:t>5</w:t>
                  </w:r>
                  <w:r>
                    <w:rPr>
                      <w:kern w:val="0"/>
                    </w:rPr>
                    <w:t>0</w:t>
                  </w:r>
                </w:p>
              </w:tc>
              <w:tc>
                <w:tcPr>
                  <w:tcW w:w="425" w:type="dxa"/>
                  <w:vAlign w:val="center"/>
                </w:tcPr>
                <w:p w14:paraId="50AE8F79">
                  <w:pPr>
                    <w:jc w:val="center"/>
                    <w:rPr>
                      <w:kern w:val="0"/>
                    </w:rPr>
                  </w:pPr>
                  <w:r>
                    <w:rPr>
                      <w:rFonts w:hint="eastAsia"/>
                      <w:kern w:val="0"/>
                    </w:rPr>
                    <w:t>超标</w:t>
                  </w:r>
                </w:p>
              </w:tc>
              <w:tc>
                <w:tcPr>
                  <w:tcW w:w="426" w:type="dxa"/>
                  <w:vAlign w:val="center"/>
                </w:tcPr>
                <w:p w14:paraId="53D320B7">
                  <w:pPr>
                    <w:jc w:val="center"/>
                    <w:rPr>
                      <w:kern w:val="0"/>
                    </w:rPr>
                  </w:pPr>
                  <w:r>
                    <w:rPr>
                      <w:rFonts w:hint="eastAsia"/>
                      <w:kern w:val="0"/>
                    </w:rPr>
                    <w:t>超标</w:t>
                  </w:r>
                </w:p>
              </w:tc>
              <w:tc>
                <w:tcPr>
                  <w:tcW w:w="699" w:type="dxa"/>
                  <w:vAlign w:val="center"/>
                </w:tcPr>
                <w:p w14:paraId="07C3620B">
                  <w:pPr>
                    <w:jc w:val="center"/>
                    <w:rPr>
                      <w:rFonts w:hint="eastAsia"/>
                      <w:kern w:val="0"/>
                    </w:rPr>
                  </w:pPr>
                  <w:r>
                    <w:rPr>
                      <w:rFonts w:hint="eastAsia"/>
                      <w:kern w:val="0"/>
                    </w:rPr>
                    <w:t>9</w:t>
                  </w:r>
                </w:p>
              </w:tc>
            </w:tr>
            <w:tr w14:paraId="1EF0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78" w:type="dxa"/>
                  <w:vAlign w:val="center"/>
                </w:tcPr>
                <w:p w14:paraId="5B780326">
                  <w:pPr>
                    <w:adjustRightInd w:val="0"/>
                    <w:snapToGrid w:val="0"/>
                    <w:jc w:val="center"/>
                    <w:rPr>
                      <w:b/>
                      <w:bCs/>
                    </w:rPr>
                  </w:pPr>
                  <w:r>
                    <w:rPr>
                      <w:rFonts w:hint="eastAsia"/>
                    </w:rPr>
                    <w:t>黑泥塘居民点</w:t>
                  </w:r>
                </w:p>
              </w:tc>
              <w:tc>
                <w:tcPr>
                  <w:tcW w:w="548" w:type="dxa"/>
                  <w:vAlign w:val="center"/>
                </w:tcPr>
                <w:p w14:paraId="057AAF97">
                  <w:pPr>
                    <w:jc w:val="center"/>
                    <w:rPr>
                      <w:kern w:val="0"/>
                    </w:rPr>
                  </w:pPr>
                  <w:r>
                    <w:rPr>
                      <w:color w:val="000000"/>
                      <w:sz w:val="18"/>
                      <w:szCs w:val="18"/>
                    </w:rPr>
                    <w:t>42</w:t>
                  </w:r>
                </w:p>
              </w:tc>
              <w:tc>
                <w:tcPr>
                  <w:tcW w:w="545" w:type="dxa"/>
                  <w:vAlign w:val="center"/>
                </w:tcPr>
                <w:p w14:paraId="41CA2AC0">
                  <w:pPr>
                    <w:jc w:val="center"/>
                    <w:rPr>
                      <w:kern w:val="0"/>
                    </w:rPr>
                  </w:pPr>
                  <w:r>
                    <w:rPr>
                      <w:color w:val="000000"/>
                      <w:sz w:val="18"/>
                      <w:szCs w:val="18"/>
                    </w:rPr>
                    <w:t>39</w:t>
                  </w:r>
                </w:p>
              </w:tc>
              <w:tc>
                <w:tcPr>
                  <w:tcW w:w="1799" w:type="dxa"/>
                  <w:vAlign w:val="center"/>
                </w:tcPr>
                <w:p w14:paraId="0837BB00">
                  <w:pPr>
                    <w:jc w:val="center"/>
                    <w:rPr>
                      <w:kern w:val="0"/>
                    </w:rPr>
                  </w:pPr>
                  <w:r>
                    <w:rPr>
                      <w:rFonts w:hint="eastAsia"/>
                    </w:rPr>
                    <w:t>距离1</w:t>
                  </w:r>
                  <w:r>
                    <w:t>ULN6</w:t>
                  </w:r>
                  <w:r>
                    <w:rPr>
                      <w:rFonts w:hint="eastAsia"/>
                    </w:rPr>
                    <w:t>塔基最近约1</w:t>
                  </w:r>
                  <w:r>
                    <w:t>0</w:t>
                  </w:r>
                  <w:r>
                    <w:rPr>
                      <w:rFonts w:hint="eastAsia"/>
                    </w:rPr>
                    <w:t>m</w:t>
                  </w:r>
                </w:p>
              </w:tc>
              <w:tc>
                <w:tcPr>
                  <w:tcW w:w="425" w:type="dxa"/>
                  <w:vAlign w:val="center"/>
                </w:tcPr>
                <w:p w14:paraId="42289F60">
                  <w:pPr>
                    <w:jc w:val="center"/>
                    <w:rPr>
                      <w:kern w:val="0"/>
                    </w:rPr>
                  </w:pPr>
                  <w:r>
                    <w:rPr>
                      <w:color w:val="000000"/>
                      <w:sz w:val="18"/>
                      <w:szCs w:val="18"/>
                    </w:rPr>
                    <w:t>65</w:t>
                  </w:r>
                </w:p>
              </w:tc>
              <w:tc>
                <w:tcPr>
                  <w:tcW w:w="425" w:type="dxa"/>
                  <w:vAlign w:val="center"/>
                </w:tcPr>
                <w:p w14:paraId="562FEB59">
                  <w:pPr>
                    <w:jc w:val="center"/>
                    <w:rPr>
                      <w:kern w:val="0"/>
                    </w:rPr>
                  </w:pPr>
                  <w:r>
                    <w:rPr>
                      <w:color w:val="000000"/>
                      <w:sz w:val="18"/>
                      <w:szCs w:val="18"/>
                    </w:rPr>
                    <w:t>65</w:t>
                  </w:r>
                </w:p>
              </w:tc>
              <w:tc>
                <w:tcPr>
                  <w:tcW w:w="567" w:type="dxa"/>
                  <w:vAlign w:val="center"/>
                </w:tcPr>
                <w:p w14:paraId="2E31AFD3">
                  <w:pPr>
                    <w:jc w:val="center"/>
                    <w:rPr>
                      <w:kern w:val="0"/>
                    </w:rPr>
                  </w:pPr>
                  <w:r>
                    <w:rPr>
                      <w:color w:val="000000"/>
                    </w:rPr>
                    <w:t>65</w:t>
                  </w:r>
                </w:p>
              </w:tc>
              <w:tc>
                <w:tcPr>
                  <w:tcW w:w="567" w:type="dxa"/>
                  <w:vAlign w:val="center"/>
                </w:tcPr>
                <w:p w14:paraId="5611B8CC">
                  <w:pPr>
                    <w:jc w:val="center"/>
                    <w:rPr>
                      <w:kern w:val="0"/>
                    </w:rPr>
                  </w:pPr>
                  <w:r>
                    <w:rPr>
                      <w:color w:val="000000"/>
                    </w:rPr>
                    <w:t>65</w:t>
                  </w:r>
                </w:p>
              </w:tc>
              <w:tc>
                <w:tcPr>
                  <w:tcW w:w="567" w:type="dxa"/>
                  <w:vAlign w:val="center"/>
                </w:tcPr>
                <w:p w14:paraId="223D21EA">
                  <w:pPr>
                    <w:jc w:val="center"/>
                    <w:rPr>
                      <w:kern w:val="0"/>
                    </w:rPr>
                  </w:pPr>
                  <w:r>
                    <w:rPr>
                      <w:kern w:val="0"/>
                    </w:rPr>
                    <w:t>60</w:t>
                  </w:r>
                </w:p>
              </w:tc>
              <w:tc>
                <w:tcPr>
                  <w:tcW w:w="567" w:type="dxa"/>
                  <w:vAlign w:val="center"/>
                </w:tcPr>
                <w:p w14:paraId="2351B4ED">
                  <w:pPr>
                    <w:jc w:val="center"/>
                    <w:rPr>
                      <w:kern w:val="0"/>
                    </w:rPr>
                  </w:pPr>
                  <w:r>
                    <w:rPr>
                      <w:rFonts w:hint="eastAsia"/>
                      <w:kern w:val="0"/>
                    </w:rPr>
                    <w:t>5</w:t>
                  </w:r>
                  <w:r>
                    <w:rPr>
                      <w:kern w:val="0"/>
                    </w:rPr>
                    <w:t>0</w:t>
                  </w:r>
                </w:p>
              </w:tc>
              <w:tc>
                <w:tcPr>
                  <w:tcW w:w="425" w:type="dxa"/>
                  <w:vAlign w:val="center"/>
                </w:tcPr>
                <w:p w14:paraId="317637F6">
                  <w:pPr>
                    <w:jc w:val="center"/>
                    <w:rPr>
                      <w:kern w:val="0"/>
                    </w:rPr>
                  </w:pPr>
                  <w:r>
                    <w:rPr>
                      <w:rFonts w:hint="eastAsia"/>
                      <w:kern w:val="0"/>
                    </w:rPr>
                    <w:t>超标</w:t>
                  </w:r>
                </w:p>
              </w:tc>
              <w:tc>
                <w:tcPr>
                  <w:tcW w:w="426" w:type="dxa"/>
                  <w:vAlign w:val="center"/>
                </w:tcPr>
                <w:p w14:paraId="12957D4A">
                  <w:pPr>
                    <w:jc w:val="center"/>
                    <w:rPr>
                      <w:kern w:val="0"/>
                    </w:rPr>
                  </w:pPr>
                  <w:r>
                    <w:rPr>
                      <w:rFonts w:hint="eastAsia"/>
                      <w:kern w:val="0"/>
                    </w:rPr>
                    <w:t>超标</w:t>
                  </w:r>
                </w:p>
              </w:tc>
              <w:tc>
                <w:tcPr>
                  <w:tcW w:w="699" w:type="dxa"/>
                  <w:vAlign w:val="center"/>
                </w:tcPr>
                <w:p w14:paraId="4763B3B4">
                  <w:pPr>
                    <w:jc w:val="center"/>
                    <w:rPr>
                      <w:rFonts w:hint="eastAsia"/>
                      <w:kern w:val="0"/>
                    </w:rPr>
                  </w:pPr>
                  <w:r>
                    <w:rPr>
                      <w:kern w:val="0"/>
                    </w:rPr>
                    <w:t>15</w:t>
                  </w:r>
                </w:p>
              </w:tc>
            </w:tr>
            <w:tr w14:paraId="69F9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78" w:type="dxa"/>
                  <w:vAlign w:val="center"/>
                </w:tcPr>
                <w:p w14:paraId="6ED6B62F">
                  <w:pPr>
                    <w:adjustRightInd w:val="0"/>
                    <w:snapToGrid w:val="0"/>
                    <w:jc w:val="center"/>
                  </w:pPr>
                  <w:r>
                    <w:rPr>
                      <w:rFonts w:hint="eastAsia"/>
                    </w:rPr>
                    <w:t>酸多梨树居民点</w:t>
                  </w:r>
                </w:p>
              </w:tc>
              <w:tc>
                <w:tcPr>
                  <w:tcW w:w="548" w:type="dxa"/>
                  <w:vAlign w:val="center"/>
                </w:tcPr>
                <w:p w14:paraId="7E9FDB5C">
                  <w:pPr>
                    <w:jc w:val="center"/>
                    <w:rPr>
                      <w:kern w:val="0"/>
                    </w:rPr>
                  </w:pPr>
                  <w:r>
                    <w:rPr>
                      <w:color w:val="000000"/>
                      <w:sz w:val="18"/>
                      <w:szCs w:val="18"/>
                    </w:rPr>
                    <w:t>45</w:t>
                  </w:r>
                </w:p>
              </w:tc>
              <w:tc>
                <w:tcPr>
                  <w:tcW w:w="545" w:type="dxa"/>
                  <w:vAlign w:val="center"/>
                </w:tcPr>
                <w:p w14:paraId="1B076E10">
                  <w:pPr>
                    <w:jc w:val="center"/>
                    <w:rPr>
                      <w:kern w:val="0"/>
                    </w:rPr>
                  </w:pPr>
                  <w:r>
                    <w:rPr>
                      <w:color w:val="000000"/>
                      <w:sz w:val="18"/>
                      <w:szCs w:val="18"/>
                    </w:rPr>
                    <w:t>41</w:t>
                  </w:r>
                </w:p>
              </w:tc>
              <w:tc>
                <w:tcPr>
                  <w:tcW w:w="1799" w:type="dxa"/>
                  <w:vAlign w:val="center"/>
                </w:tcPr>
                <w:p w14:paraId="468D3EE8">
                  <w:pPr>
                    <w:jc w:val="center"/>
                    <w:rPr>
                      <w:kern w:val="0"/>
                    </w:rPr>
                  </w:pPr>
                  <w:r>
                    <w:rPr>
                      <w:rFonts w:hint="eastAsia"/>
                    </w:rPr>
                    <w:t>距离L</w:t>
                  </w:r>
                  <w:r>
                    <w:t>04</w:t>
                  </w:r>
                  <w:r>
                    <w:rPr>
                      <w:rFonts w:hint="eastAsia"/>
                    </w:rPr>
                    <w:t>光伏阵列区最近约1</w:t>
                  </w:r>
                  <w:r>
                    <w:t>0</w:t>
                  </w:r>
                  <w:r>
                    <w:rPr>
                      <w:rFonts w:hint="eastAsia"/>
                    </w:rPr>
                    <w:t>m</w:t>
                  </w:r>
                </w:p>
              </w:tc>
              <w:tc>
                <w:tcPr>
                  <w:tcW w:w="425" w:type="dxa"/>
                  <w:vAlign w:val="center"/>
                </w:tcPr>
                <w:p w14:paraId="111B3745">
                  <w:pPr>
                    <w:jc w:val="center"/>
                    <w:rPr>
                      <w:kern w:val="0"/>
                    </w:rPr>
                  </w:pPr>
                  <w:r>
                    <w:rPr>
                      <w:color w:val="000000"/>
                      <w:sz w:val="18"/>
                      <w:szCs w:val="18"/>
                    </w:rPr>
                    <w:t>65</w:t>
                  </w:r>
                </w:p>
              </w:tc>
              <w:tc>
                <w:tcPr>
                  <w:tcW w:w="425" w:type="dxa"/>
                  <w:vAlign w:val="center"/>
                </w:tcPr>
                <w:p w14:paraId="127D8391">
                  <w:pPr>
                    <w:jc w:val="center"/>
                    <w:rPr>
                      <w:kern w:val="0"/>
                    </w:rPr>
                  </w:pPr>
                  <w:r>
                    <w:rPr>
                      <w:color w:val="000000"/>
                      <w:sz w:val="18"/>
                      <w:szCs w:val="18"/>
                    </w:rPr>
                    <w:t>65</w:t>
                  </w:r>
                </w:p>
              </w:tc>
              <w:tc>
                <w:tcPr>
                  <w:tcW w:w="567" w:type="dxa"/>
                  <w:vAlign w:val="center"/>
                </w:tcPr>
                <w:p w14:paraId="293979FB">
                  <w:pPr>
                    <w:jc w:val="center"/>
                    <w:rPr>
                      <w:kern w:val="0"/>
                    </w:rPr>
                  </w:pPr>
                  <w:r>
                    <w:rPr>
                      <w:color w:val="000000"/>
                    </w:rPr>
                    <w:t>65</w:t>
                  </w:r>
                </w:p>
              </w:tc>
              <w:tc>
                <w:tcPr>
                  <w:tcW w:w="567" w:type="dxa"/>
                  <w:vAlign w:val="center"/>
                </w:tcPr>
                <w:p w14:paraId="00D515A9">
                  <w:pPr>
                    <w:jc w:val="center"/>
                    <w:rPr>
                      <w:kern w:val="0"/>
                    </w:rPr>
                  </w:pPr>
                  <w:r>
                    <w:rPr>
                      <w:color w:val="000000"/>
                    </w:rPr>
                    <w:t>65</w:t>
                  </w:r>
                </w:p>
              </w:tc>
              <w:tc>
                <w:tcPr>
                  <w:tcW w:w="567" w:type="dxa"/>
                  <w:vAlign w:val="center"/>
                </w:tcPr>
                <w:p w14:paraId="78A00102">
                  <w:pPr>
                    <w:jc w:val="center"/>
                    <w:rPr>
                      <w:kern w:val="0"/>
                    </w:rPr>
                  </w:pPr>
                  <w:r>
                    <w:rPr>
                      <w:kern w:val="0"/>
                    </w:rPr>
                    <w:t>60</w:t>
                  </w:r>
                </w:p>
              </w:tc>
              <w:tc>
                <w:tcPr>
                  <w:tcW w:w="567" w:type="dxa"/>
                  <w:vAlign w:val="center"/>
                </w:tcPr>
                <w:p w14:paraId="0FB1B493">
                  <w:pPr>
                    <w:jc w:val="center"/>
                    <w:rPr>
                      <w:kern w:val="0"/>
                    </w:rPr>
                  </w:pPr>
                  <w:r>
                    <w:rPr>
                      <w:rFonts w:hint="eastAsia"/>
                      <w:kern w:val="0"/>
                    </w:rPr>
                    <w:t>5</w:t>
                  </w:r>
                  <w:r>
                    <w:rPr>
                      <w:kern w:val="0"/>
                    </w:rPr>
                    <w:t>0</w:t>
                  </w:r>
                </w:p>
              </w:tc>
              <w:tc>
                <w:tcPr>
                  <w:tcW w:w="425" w:type="dxa"/>
                  <w:vAlign w:val="center"/>
                </w:tcPr>
                <w:p w14:paraId="55C1BB59">
                  <w:pPr>
                    <w:jc w:val="center"/>
                    <w:rPr>
                      <w:kern w:val="0"/>
                    </w:rPr>
                  </w:pPr>
                  <w:r>
                    <w:rPr>
                      <w:rFonts w:hint="eastAsia"/>
                      <w:kern w:val="0"/>
                    </w:rPr>
                    <w:t>超标</w:t>
                  </w:r>
                </w:p>
              </w:tc>
              <w:tc>
                <w:tcPr>
                  <w:tcW w:w="426" w:type="dxa"/>
                  <w:vAlign w:val="center"/>
                </w:tcPr>
                <w:p w14:paraId="47F93822">
                  <w:pPr>
                    <w:jc w:val="center"/>
                    <w:rPr>
                      <w:kern w:val="0"/>
                    </w:rPr>
                  </w:pPr>
                  <w:r>
                    <w:rPr>
                      <w:rFonts w:hint="eastAsia"/>
                      <w:kern w:val="0"/>
                    </w:rPr>
                    <w:t>超标</w:t>
                  </w:r>
                </w:p>
              </w:tc>
              <w:tc>
                <w:tcPr>
                  <w:tcW w:w="699" w:type="dxa"/>
                  <w:vAlign w:val="center"/>
                </w:tcPr>
                <w:p w14:paraId="3D558172">
                  <w:pPr>
                    <w:jc w:val="center"/>
                    <w:rPr>
                      <w:rFonts w:hint="eastAsia"/>
                      <w:kern w:val="0"/>
                    </w:rPr>
                  </w:pPr>
                  <w:r>
                    <w:rPr>
                      <w:rFonts w:hint="eastAsia"/>
                      <w:kern w:val="0"/>
                    </w:rPr>
                    <w:t>1</w:t>
                  </w:r>
                  <w:r>
                    <w:rPr>
                      <w:kern w:val="0"/>
                    </w:rPr>
                    <w:t>5</w:t>
                  </w:r>
                </w:p>
              </w:tc>
            </w:tr>
            <w:tr w14:paraId="55CA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78" w:type="dxa"/>
                  <w:vAlign w:val="center"/>
                </w:tcPr>
                <w:p w14:paraId="6752AA53">
                  <w:pPr>
                    <w:adjustRightInd w:val="0"/>
                    <w:snapToGrid w:val="0"/>
                    <w:jc w:val="center"/>
                    <w:rPr>
                      <w:b/>
                      <w:bCs/>
                    </w:rPr>
                  </w:pPr>
                  <w:r>
                    <w:rPr>
                      <w:rFonts w:hint="eastAsia"/>
                    </w:rPr>
                    <w:t>大龙潭居民点</w:t>
                  </w:r>
                </w:p>
              </w:tc>
              <w:tc>
                <w:tcPr>
                  <w:tcW w:w="548" w:type="dxa"/>
                  <w:vAlign w:val="center"/>
                </w:tcPr>
                <w:p w14:paraId="161B8ECC">
                  <w:pPr>
                    <w:jc w:val="center"/>
                    <w:rPr>
                      <w:kern w:val="0"/>
                    </w:rPr>
                  </w:pPr>
                  <w:r>
                    <w:rPr>
                      <w:color w:val="000000"/>
                      <w:sz w:val="18"/>
                      <w:szCs w:val="18"/>
                    </w:rPr>
                    <w:t>41</w:t>
                  </w:r>
                </w:p>
              </w:tc>
              <w:tc>
                <w:tcPr>
                  <w:tcW w:w="545" w:type="dxa"/>
                  <w:vAlign w:val="center"/>
                </w:tcPr>
                <w:p w14:paraId="218042D6">
                  <w:pPr>
                    <w:jc w:val="center"/>
                    <w:rPr>
                      <w:kern w:val="0"/>
                    </w:rPr>
                  </w:pPr>
                  <w:r>
                    <w:rPr>
                      <w:color w:val="000000"/>
                      <w:sz w:val="18"/>
                      <w:szCs w:val="18"/>
                    </w:rPr>
                    <w:t>37</w:t>
                  </w:r>
                </w:p>
              </w:tc>
              <w:tc>
                <w:tcPr>
                  <w:tcW w:w="1799" w:type="dxa"/>
                  <w:vAlign w:val="center"/>
                </w:tcPr>
                <w:p w14:paraId="290B48E8">
                  <w:pPr>
                    <w:jc w:val="center"/>
                    <w:rPr>
                      <w:kern w:val="0"/>
                    </w:rPr>
                  </w:pPr>
                  <w:r>
                    <w:rPr>
                      <w:rFonts w:hint="eastAsia"/>
                    </w:rPr>
                    <w:t>距离L</w:t>
                  </w:r>
                  <w:r>
                    <w:t>05</w:t>
                  </w:r>
                  <w:r>
                    <w:rPr>
                      <w:rFonts w:hint="eastAsia"/>
                    </w:rPr>
                    <w:t>光伏阵列区最近约</w:t>
                  </w:r>
                  <w:r>
                    <w:t>50</w:t>
                  </w:r>
                  <w:r>
                    <w:rPr>
                      <w:rFonts w:hint="eastAsia"/>
                    </w:rPr>
                    <w:t>m</w:t>
                  </w:r>
                </w:p>
              </w:tc>
              <w:tc>
                <w:tcPr>
                  <w:tcW w:w="425" w:type="dxa"/>
                  <w:vAlign w:val="center"/>
                </w:tcPr>
                <w:p w14:paraId="465B3E72">
                  <w:pPr>
                    <w:jc w:val="center"/>
                    <w:rPr>
                      <w:kern w:val="0"/>
                    </w:rPr>
                  </w:pPr>
                  <w:r>
                    <w:rPr>
                      <w:color w:val="000000"/>
                      <w:sz w:val="18"/>
                      <w:szCs w:val="18"/>
                    </w:rPr>
                    <w:t>51</w:t>
                  </w:r>
                </w:p>
              </w:tc>
              <w:tc>
                <w:tcPr>
                  <w:tcW w:w="425" w:type="dxa"/>
                  <w:vAlign w:val="center"/>
                </w:tcPr>
                <w:p w14:paraId="5F1A1CA5">
                  <w:pPr>
                    <w:jc w:val="center"/>
                    <w:rPr>
                      <w:kern w:val="0"/>
                    </w:rPr>
                  </w:pPr>
                  <w:r>
                    <w:rPr>
                      <w:color w:val="000000"/>
                      <w:sz w:val="18"/>
                      <w:szCs w:val="18"/>
                    </w:rPr>
                    <w:t>51</w:t>
                  </w:r>
                </w:p>
              </w:tc>
              <w:tc>
                <w:tcPr>
                  <w:tcW w:w="567" w:type="dxa"/>
                  <w:vAlign w:val="center"/>
                </w:tcPr>
                <w:p w14:paraId="1D2B4D68">
                  <w:pPr>
                    <w:jc w:val="center"/>
                    <w:rPr>
                      <w:kern w:val="0"/>
                    </w:rPr>
                  </w:pPr>
                  <w:r>
                    <w:rPr>
                      <w:color w:val="000000"/>
                    </w:rPr>
                    <w:t>51</w:t>
                  </w:r>
                </w:p>
              </w:tc>
              <w:tc>
                <w:tcPr>
                  <w:tcW w:w="567" w:type="dxa"/>
                  <w:vAlign w:val="center"/>
                </w:tcPr>
                <w:p w14:paraId="173D6960">
                  <w:pPr>
                    <w:jc w:val="center"/>
                    <w:rPr>
                      <w:kern w:val="0"/>
                    </w:rPr>
                  </w:pPr>
                  <w:r>
                    <w:rPr>
                      <w:color w:val="000000"/>
                    </w:rPr>
                    <w:t>51</w:t>
                  </w:r>
                </w:p>
              </w:tc>
              <w:tc>
                <w:tcPr>
                  <w:tcW w:w="567" w:type="dxa"/>
                  <w:vAlign w:val="center"/>
                </w:tcPr>
                <w:p w14:paraId="36B5E4FC">
                  <w:pPr>
                    <w:jc w:val="center"/>
                    <w:rPr>
                      <w:kern w:val="0"/>
                    </w:rPr>
                  </w:pPr>
                  <w:r>
                    <w:rPr>
                      <w:kern w:val="0"/>
                    </w:rPr>
                    <w:t>60</w:t>
                  </w:r>
                </w:p>
              </w:tc>
              <w:tc>
                <w:tcPr>
                  <w:tcW w:w="567" w:type="dxa"/>
                  <w:vAlign w:val="center"/>
                </w:tcPr>
                <w:p w14:paraId="5C8683DC">
                  <w:pPr>
                    <w:jc w:val="center"/>
                    <w:rPr>
                      <w:kern w:val="0"/>
                    </w:rPr>
                  </w:pPr>
                  <w:r>
                    <w:rPr>
                      <w:rFonts w:hint="eastAsia"/>
                      <w:kern w:val="0"/>
                    </w:rPr>
                    <w:t>5</w:t>
                  </w:r>
                  <w:r>
                    <w:rPr>
                      <w:kern w:val="0"/>
                    </w:rPr>
                    <w:t>0</w:t>
                  </w:r>
                </w:p>
              </w:tc>
              <w:tc>
                <w:tcPr>
                  <w:tcW w:w="425" w:type="dxa"/>
                  <w:vAlign w:val="center"/>
                </w:tcPr>
                <w:p w14:paraId="473A1975">
                  <w:pPr>
                    <w:jc w:val="center"/>
                    <w:rPr>
                      <w:kern w:val="0"/>
                    </w:rPr>
                  </w:pPr>
                  <w:r>
                    <w:rPr>
                      <w:rFonts w:hint="eastAsia"/>
                      <w:kern w:val="0"/>
                    </w:rPr>
                    <w:t>达标</w:t>
                  </w:r>
                </w:p>
              </w:tc>
              <w:tc>
                <w:tcPr>
                  <w:tcW w:w="426" w:type="dxa"/>
                  <w:vAlign w:val="center"/>
                </w:tcPr>
                <w:p w14:paraId="387E04ED">
                  <w:pPr>
                    <w:jc w:val="center"/>
                    <w:rPr>
                      <w:kern w:val="0"/>
                    </w:rPr>
                  </w:pPr>
                  <w:r>
                    <w:rPr>
                      <w:rFonts w:hint="eastAsia"/>
                      <w:kern w:val="0"/>
                    </w:rPr>
                    <w:t>超标</w:t>
                  </w:r>
                </w:p>
              </w:tc>
              <w:tc>
                <w:tcPr>
                  <w:tcW w:w="699" w:type="dxa"/>
                  <w:vAlign w:val="center"/>
                </w:tcPr>
                <w:p w14:paraId="255E4491">
                  <w:pPr>
                    <w:jc w:val="center"/>
                    <w:rPr>
                      <w:rFonts w:hint="eastAsia"/>
                      <w:kern w:val="0"/>
                    </w:rPr>
                  </w:pPr>
                  <w:r>
                    <w:rPr>
                      <w:rFonts w:hint="eastAsia"/>
                      <w:kern w:val="0"/>
                    </w:rPr>
                    <w:t>1</w:t>
                  </w:r>
                </w:p>
              </w:tc>
            </w:tr>
            <w:tr w14:paraId="5E39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78" w:type="dxa"/>
                  <w:vAlign w:val="center"/>
                </w:tcPr>
                <w:p w14:paraId="7195711E">
                  <w:pPr>
                    <w:pStyle w:val="95"/>
                    <w:spacing w:before="0" w:after="0"/>
                    <w:rPr>
                      <w:szCs w:val="21"/>
                    </w:rPr>
                  </w:pPr>
                  <w:r>
                    <w:rPr>
                      <w:rFonts w:hint="eastAsia"/>
                    </w:rPr>
                    <w:t>田尾坝居民点</w:t>
                  </w:r>
                </w:p>
              </w:tc>
              <w:tc>
                <w:tcPr>
                  <w:tcW w:w="548" w:type="dxa"/>
                  <w:vAlign w:val="center"/>
                </w:tcPr>
                <w:p w14:paraId="7D193DBC">
                  <w:pPr>
                    <w:jc w:val="center"/>
                    <w:rPr>
                      <w:kern w:val="0"/>
                    </w:rPr>
                  </w:pPr>
                  <w:r>
                    <w:rPr>
                      <w:color w:val="000000"/>
                      <w:sz w:val="18"/>
                      <w:szCs w:val="18"/>
                    </w:rPr>
                    <w:t>43</w:t>
                  </w:r>
                </w:p>
              </w:tc>
              <w:tc>
                <w:tcPr>
                  <w:tcW w:w="545" w:type="dxa"/>
                  <w:vAlign w:val="center"/>
                </w:tcPr>
                <w:p w14:paraId="1316ED66">
                  <w:pPr>
                    <w:jc w:val="center"/>
                    <w:rPr>
                      <w:kern w:val="0"/>
                    </w:rPr>
                  </w:pPr>
                  <w:r>
                    <w:rPr>
                      <w:color w:val="000000"/>
                      <w:sz w:val="18"/>
                      <w:szCs w:val="18"/>
                    </w:rPr>
                    <w:t>39</w:t>
                  </w:r>
                </w:p>
              </w:tc>
              <w:tc>
                <w:tcPr>
                  <w:tcW w:w="1799" w:type="dxa"/>
                  <w:vAlign w:val="center"/>
                </w:tcPr>
                <w:p w14:paraId="7D146E20">
                  <w:pPr>
                    <w:jc w:val="center"/>
                    <w:rPr>
                      <w:kern w:val="0"/>
                    </w:rPr>
                  </w:pPr>
                  <w:r>
                    <w:rPr>
                      <w:rFonts w:hint="eastAsia"/>
                    </w:rPr>
                    <w:t>距离L</w:t>
                  </w:r>
                  <w:r>
                    <w:t>21</w:t>
                  </w:r>
                  <w:r>
                    <w:rPr>
                      <w:rFonts w:hint="eastAsia"/>
                    </w:rPr>
                    <w:t>光伏阵列区最近约</w:t>
                  </w:r>
                  <w:r>
                    <w:t>10</w:t>
                  </w:r>
                  <w:r>
                    <w:rPr>
                      <w:rFonts w:hint="eastAsia"/>
                    </w:rPr>
                    <w:t>m</w:t>
                  </w:r>
                </w:p>
              </w:tc>
              <w:tc>
                <w:tcPr>
                  <w:tcW w:w="425" w:type="dxa"/>
                  <w:vAlign w:val="center"/>
                </w:tcPr>
                <w:p w14:paraId="3EFF7F61">
                  <w:pPr>
                    <w:jc w:val="center"/>
                    <w:rPr>
                      <w:kern w:val="0"/>
                    </w:rPr>
                  </w:pPr>
                  <w:r>
                    <w:rPr>
                      <w:color w:val="000000"/>
                      <w:sz w:val="18"/>
                      <w:szCs w:val="18"/>
                    </w:rPr>
                    <w:t>65</w:t>
                  </w:r>
                </w:p>
              </w:tc>
              <w:tc>
                <w:tcPr>
                  <w:tcW w:w="425" w:type="dxa"/>
                  <w:vAlign w:val="center"/>
                </w:tcPr>
                <w:p w14:paraId="73D0C3ED">
                  <w:pPr>
                    <w:jc w:val="center"/>
                    <w:rPr>
                      <w:kern w:val="0"/>
                    </w:rPr>
                  </w:pPr>
                  <w:r>
                    <w:rPr>
                      <w:color w:val="000000"/>
                      <w:sz w:val="18"/>
                      <w:szCs w:val="18"/>
                    </w:rPr>
                    <w:t>65</w:t>
                  </w:r>
                </w:p>
              </w:tc>
              <w:tc>
                <w:tcPr>
                  <w:tcW w:w="567" w:type="dxa"/>
                  <w:vAlign w:val="center"/>
                </w:tcPr>
                <w:p w14:paraId="6E3A803F">
                  <w:pPr>
                    <w:jc w:val="center"/>
                    <w:rPr>
                      <w:kern w:val="0"/>
                    </w:rPr>
                  </w:pPr>
                  <w:r>
                    <w:rPr>
                      <w:color w:val="000000"/>
                      <w:sz w:val="18"/>
                      <w:szCs w:val="18"/>
                    </w:rPr>
                    <w:t>65</w:t>
                  </w:r>
                </w:p>
              </w:tc>
              <w:tc>
                <w:tcPr>
                  <w:tcW w:w="567" w:type="dxa"/>
                  <w:vAlign w:val="center"/>
                </w:tcPr>
                <w:p w14:paraId="103DE1E3">
                  <w:pPr>
                    <w:jc w:val="center"/>
                    <w:rPr>
                      <w:kern w:val="0"/>
                    </w:rPr>
                  </w:pPr>
                  <w:r>
                    <w:rPr>
                      <w:color w:val="000000"/>
                      <w:sz w:val="18"/>
                      <w:szCs w:val="18"/>
                    </w:rPr>
                    <w:t>65</w:t>
                  </w:r>
                </w:p>
              </w:tc>
              <w:tc>
                <w:tcPr>
                  <w:tcW w:w="567" w:type="dxa"/>
                  <w:vAlign w:val="center"/>
                </w:tcPr>
                <w:p w14:paraId="12A9012C">
                  <w:pPr>
                    <w:jc w:val="center"/>
                    <w:rPr>
                      <w:kern w:val="0"/>
                    </w:rPr>
                  </w:pPr>
                  <w:r>
                    <w:rPr>
                      <w:kern w:val="0"/>
                    </w:rPr>
                    <w:t>60</w:t>
                  </w:r>
                </w:p>
              </w:tc>
              <w:tc>
                <w:tcPr>
                  <w:tcW w:w="567" w:type="dxa"/>
                  <w:vAlign w:val="center"/>
                </w:tcPr>
                <w:p w14:paraId="27B3F200">
                  <w:pPr>
                    <w:jc w:val="center"/>
                    <w:rPr>
                      <w:kern w:val="0"/>
                    </w:rPr>
                  </w:pPr>
                  <w:r>
                    <w:rPr>
                      <w:rFonts w:hint="eastAsia"/>
                      <w:kern w:val="0"/>
                    </w:rPr>
                    <w:t>5</w:t>
                  </w:r>
                  <w:r>
                    <w:rPr>
                      <w:kern w:val="0"/>
                    </w:rPr>
                    <w:t>0</w:t>
                  </w:r>
                </w:p>
              </w:tc>
              <w:tc>
                <w:tcPr>
                  <w:tcW w:w="425" w:type="dxa"/>
                  <w:vAlign w:val="center"/>
                </w:tcPr>
                <w:p w14:paraId="18D2A898">
                  <w:pPr>
                    <w:jc w:val="center"/>
                    <w:rPr>
                      <w:kern w:val="0"/>
                    </w:rPr>
                  </w:pPr>
                  <w:r>
                    <w:rPr>
                      <w:rFonts w:hint="eastAsia"/>
                      <w:kern w:val="0"/>
                    </w:rPr>
                    <w:t>超标</w:t>
                  </w:r>
                </w:p>
              </w:tc>
              <w:tc>
                <w:tcPr>
                  <w:tcW w:w="426" w:type="dxa"/>
                  <w:vAlign w:val="center"/>
                </w:tcPr>
                <w:p w14:paraId="68DE46F3">
                  <w:pPr>
                    <w:jc w:val="center"/>
                    <w:rPr>
                      <w:kern w:val="0"/>
                    </w:rPr>
                  </w:pPr>
                  <w:r>
                    <w:rPr>
                      <w:rFonts w:hint="eastAsia"/>
                      <w:kern w:val="0"/>
                    </w:rPr>
                    <w:t>超标</w:t>
                  </w:r>
                </w:p>
              </w:tc>
              <w:tc>
                <w:tcPr>
                  <w:tcW w:w="699" w:type="dxa"/>
                  <w:vAlign w:val="center"/>
                </w:tcPr>
                <w:p w14:paraId="27067C7D">
                  <w:pPr>
                    <w:jc w:val="center"/>
                    <w:rPr>
                      <w:rFonts w:hint="eastAsia"/>
                      <w:kern w:val="0"/>
                    </w:rPr>
                  </w:pPr>
                  <w:r>
                    <w:rPr>
                      <w:rFonts w:hint="eastAsia"/>
                      <w:kern w:val="0"/>
                    </w:rPr>
                    <w:t>1</w:t>
                  </w:r>
                  <w:r>
                    <w:rPr>
                      <w:kern w:val="0"/>
                    </w:rPr>
                    <w:t>5</w:t>
                  </w:r>
                </w:p>
              </w:tc>
            </w:tr>
            <w:tr w14:paraId="23D0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78" w:type="dxa"/>
                  <w:vAlign w:val="center"/>
                </w:tcPr>
                <w:p w14:paraId="71D96728">
                  <w:pPr>
                    <w:pStyle w:val="95"/>
                    <w:spacing w:before="0" w:after="0"/>
                    <w:rPr>
                      <w:szCs w:val="21"/>
                    </w:rPr>
                  </w:pPr>
                  <w:r>
                    <w:rPr>
                      <w:rFonts w:hint="eastAsia"/>
                    </w:rPr>
                    <w:t>梁子上居民点</w:t>
                  </w:r>
                </w:p>
              </w:tc>
              <w:tc>
                <w:tcPr>
                  <w:tcW w:w="548" w:type="dxa"/>
                  <w:vAlign w:val="center"/>
                </w:tcPr>
                <w:p w14:paraId="78A155AE">
                  <w:pPr>
                    <w:jc w:val="center"/>
                    <w:rPr>
                      <w:kern w:val="0"/>
                    </w:rPr>
                  </w:pPr>
                  <w:r>
                    <w:rPr>
                      <w:color w:val="000000"/>
                      <w:sz w:val="18"/>
                      <w:szCs w:val="18"/>
                    </w:rPr>
                    <w:t>43</w:t>
                  </w:r>
                </w:p>
              </w:tc>
              <w:tc>
                <w:tcPr>
                  <w:tcW w:w="545" w:type="dxa"/>
                  <w:vAlign w:val="center"/>
                </w:tcPr>
                <w:p w14:paraId="5058FFEB">
                  <w:pPr>
                    <w:jc w:val="center"/>
                    <w:rPr>
                      <w:kern w:val="0"/>
                    </w:rPr>
                  </w:pPr>
                  <w:r>
                    <w:rPr>
                      <w:color w:val="000000"/>
                      <w:sz w:val="18"/>
                      <w:szCs w:val="18"/>
                    </w:rPr>
                    <w:t>40</w:t>
                  </w:r>
                </w:p>
              </w:tc>
              <w:tc>
                <w:tcPr>
                  <w:tcW w:w="1799" w:type="dxa"/>
                  <w:vAlign w:val="center"/>
                </w:tcPr>
                <w:p w14:paraId="7468297E">
                  <w:pPr>
                    <w:jc w:val="center"/>
                    <w:rPr>
                      <w:kern w:val="0"/>
                    </w:rPr>
                  </w:pPr>
                  <w:r>
                    <w:rPr>
                      <w:rFonts w:hint="eastAsia"/>
                    </w:rPr>
                    <w:t>距离L</w:t>
                  </w:r>
                  <w:r>
                    <w:t>12</w:t>
                  </w:r>
                  <w:r>
                    <w:rPr>
                      <w:rFonts w:hint="eastAsia"/>
                    </w:rPr>
                    <w:t>光伏阵列区最近约</w:t>
                  </w:r>
                  <w:r>
                    <w:t>10</w:t>
                  </w:r>
                  <w:r>
                    <w:rPr>
                      <w:rFonts w:hint="eastAsia"/>
                    </w:rPr>
                    <w:t>m</w:t>
                  </w:r>
                </w:p>
              </w:tc>
              <w:tc>
                <w:tcPr>
                  <w:tcW w:w="425" w:type="dxa"/>
                  <w:vAlign w:val="center"/>
                </w:tcPr>
                <w:p w14:paraId="4D6892DD">
                  <w:pPr>
                    <w:jc w:val="center"/>
                    <w:rPr>
                      <w:kern w:val="0"/>
                    </w:rPr>
                  </w:pPr>
                  <w:r>
                    <w:rPr>
                      <w:color w:val="000000"/>
                      <w:sz w:val="18"/>
                      <w:szCs w:val="18"/>
                    </w:rPr>
                    <w:t>65</w:t>
                  </w:r>
                </w:p>
              </w:tc>
              <w:tc>
                <w:tcPr>
                  <w:tcW w:w="425" w:type="dxa"/>
                  <w:vAlign w:val="center"/>
                </w:tcPr>
                <w:p w14:paraId="4D7DF566">
                  <w:pPr>
                    <w:jc w:val="center"/>
                    <w:rPr>
                      <w:kern w:val="0"/>
                    </w:rPr>
                  </w:pPr>
                  <w:r>
                    <w:rPr>
                      <w:color w:val="000000"/>
                      <w:sz w:val="18"/>
                      <w:szCs w:val="18"/>
                    </w:rPr>
                    <w:t>65</w:t>
                  </w:r>
                </w:p>
              </w:tc>
              <w:tc>
                <w:tcPr>
                  <w:tcW w:w="567" w:type="dxa"/>
                  <w:vAlign w:val="center"/>
                </w:tcPr>
                <w:p w14:paraId="7D3EA4D0">
                  <w:pPr>
                    <w:jc w:val="center"/>
                    <w:rPr>
                      <w:kern w:val="0"/>
                    </w:rPr>
                  </w:pPr>
                  <w:r>
                    <w:rPr>
                      <w:color w:val="000000"/>
                      <w:sz w:val="18"/>
                      <w:szCs w:val="18"/>
                    </w:rPr>
                    <w:t>65</w:t>
                  </w:r>
                </w:p>
              </w:tc>
              <w:tc>
                <w:tcPr>
                  <w:tcW w:w="567" w:type="dxa"/>
                  <w:vAlign w:val="center"/>
                </w:tcPr>
                <w:p w14:paraId="7850AADB">
                  <w:pPr>
                    <w:jc w:val="center"/>
                    <w:rPr>
                      <w:kern w:val="0"/>
                    </w:rPr>
                  </w:pPr>
                  <w:r>
                    <w:rPr>
                      <w:color w:val="000000"/>
                      <w:sz w:val="18"/>
                      <w:szCs w:val="18"/>
                    </w:rPr>
                    <w:t>65</w:t>
                  </w:r>
                </w:p>
              </w:tc>
              <w:tc>
                <w:tcPr>
                  <w:tcW w:w="567" w:type="dxa"/>
                  <w:vAlign w:val="center"/>
                </w:tcPr>
                <w:p w14:paraId="1418D7E4">
                  <w:pPr>
                    <w:jc w:val="center"/>
                    <w:rPr>
                      <w:kern w:val="0"/>
                    </w:rPr>
                  </w:pPr>
                  <w:r>
                    <w:rPr>
                      <w:kern w:val="0"/>
                    </w:rPr>
                    <w:t>60</w:t>
                  </w:r>
                </w:p>
              </w:tc>
              <w:tc>
                <w:tcPr>
                  <w:tcW w:w="567" w:type="dxa"/>
                  <w:vAlign w:val="center"/>
                </w:tcPr>
                <w:p w14:paraId="580CC655">
                  <w:pPr>
                    <w:jc w:val="center"/>
                    <w:rPr>
                      <w:kern w:val="0"/>
                    </w:rPr>
                  </w:pPr>
                  <w:r>
                    <w:rPr>
                      <w:rFonts w:hint="eastAsia"/>
                      <w:kern w:val="0"/>
                    </w:rPr>
                    <w:t>5</w:t>
                  </w:r>
                  <w:r>
                    <w:rPr>
                      <w:kern w:val="0"/>
                    </w:rPr>
                    <w:t>0</w:t>
                  </w:r>
                </w:p>
              </w:tc>
              <w:tc>
                <w:tcPr>
                  <w:tcW w:w="425" w:type="dxa"/>
                  <w:vAlign w:val="center"/>
                </w:tcPr>
                <w:p w14:paraId="35BC01F0">
                  <w:pPr>
                    <w:jc w:val="center"/>
                    <w:rPr>
                      <w:kern w:val="0"/>
                    </w:rPr>
                  </w:pPr>
                  <w:r>
                    <w:rPr>
                      <w:rFonts w:hint="eastAsia"/>
                      <w:kern w:val="0"/>
                    </w:rPr>
                    <w:t>超标</w:t>
                  </w:r>
                </w:p>
              </w:tc>
              <w:tc>
                <w:tcPr>
                  <w:tcW w:w="426" w:type="dxa"/>
                  <w:vAlign w:val="center"/>
                </w:tcPr>
                <w:p w14:paraId="29064586">
                  <w:pPr>
                    <w:jc w:val="center"/>
                    <w:rPr>
                      <w:kern w:val="0"/>
                    </w:rPr>
                  </w:pPr>
                  <w:r>
                    <w:rPr>
                      <w:rFonts w:hint="eastAsia"/>
                      <w:kern w:val="0"/>
                    </w:rPr>
                    <w:t>超标</w:t>
                  </w:r>
                </w:p>
              </w:tc>
              <w:tc>
                <w:tcPr>
                  <w:tcW w:w="699" w:type="dxa"/>
                  <w:vAlign w:val="center"/>
                </w:tcPr>
                <w:p w14:paraId="1DEFF29A">
                  <w:pPr>
                    <w:jc w:val="center"/>
                    <w:rPr>
                      <w:rFonts w:hint="eastAsia"/>
                      <w:kern w:val="0"/>
                    </w:rPr>
                  </w:pPr>
                  <w:r>
                    <w:rPr>
                      <w:rFonts w:hint="eastAsia"/>
                      <w:kern w:val="0"/>
                    </w:rPr>
                    <w:t>1</w:t>
                  </w:r>
                  <w:r>
                    <w:rPr>
                      <w:kern w:val="0"/>
                    </w:rPr>
                    <w:t>5</w:t>
                  </w:r>
                </w:p>
              </w:tc>
            </w:tr>
            <w:tr w14:paraId="6989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78" w:type="dxa"/>
                  <w:vAlign w:val="center"/>
                </w:tcPr>
                <w:p w14:paraId="39A7EAFE">
                  <w:pPr>
                    <w:pStyle w:val="95"/>
                    <w:spacing w:before="0" w:after="0"/>
                    <w:rPr>
                      <w:rFonts w:hint="eastAsia"/>
                      <w:szCs w:val="21"/>
                    </w:rPr>
                  </w:pPr>
                  <w:r>
                    <w:rPr>
                      <w:rFonts w:hint="eastAsia"/>
                    </w:rPr>
                    <w:t>炭山坡居民点</w:t>
                  </w:r>
                </w:p>
              </w:tc>
              <w:tc>
                <w:tcPr>
                  <w:tcW w:w="548" w:type="dxa"/>
                  <w:vAlign w:val="center"/>
                </w:tcPr>
                <w:p w14:paraId="2413BFEA">
                  <w:pPr>
                    <w:jc w:val="center"/>
                    <w:rPr>
                      <w:rFonts w:hint="eastAsia"/>
                      <w:kern w:val="0"/>
                    </w:rPr>
                  </w:pPr>
                  <w:r>
                    <w:rPr>
                      <w:color w:val="000000"/>
                      <w:sz w:val="18"/>
                      <w:szCs w:val="18"/>
                    </w:rPr>
                    <w:t>43</w:t>
                  </w:r>
                </w:p>
              </w:tc>
              <w:tc>
                <w:tcPr>
                  <w:tcW w:w="545" w:type="dxa"/>
                  <w:vAlign w:val="center"/>
                </w:tcPr>
                <w:p w14:paraId="7CA82099">
                  <w:pPr>
                    <w:jc w:val="center"/>
                    <w:rPr>
                      <w:rFonts w:hint="eastAsia"/>
                      <w:kern w:val="0"/>
                    </w:rPr>
                  </w:pPr>
                  <w:r>
                    <w:rPr>
                      <w:color w:val="000000"/>
                      <w:sz w:val="18"/>
                      <w:szCs w:val="18"/>
                    </w:rPr>
                    <w:t>38</w:t>
                  </w:r>
                </w:p>
              </w:tc>
              <w:tc>
                <w:tcPr>
                  <w:tcW w:w="1799" w:type="dxa"/>
                  <w:vAlign w:val="center"/>
                </w:tcPr>
                <w:p w14:paraId="1ABA7390">
                  <w:pPr>
                    <w:jc w:val="center"/>
                    <w:rPr>
                      <w:rFonts w:hint="eastAsia"/>
                    </w:rPr>
                  </w:pPr>
                  <w:r>
                    <w:rPr>
                      <w:rFonts w:hint="eastAsia"/>
                    </w:rPr>
                    <w:t>距离地埋线路两侧最近约</w:t>
                  </w:r>
                  <w:r>
                    <w:t>2</w:t>
                  </w:r>
                  <w:r>
                    <w:rPr>
                      <w:rFonts w:hint="eastAsia"/>
                    </w:rPr>
                    <w:t>m</w:t>
                  </w:r>
                </w:p>
              </w:tc>
              <w:tc>
                <w:tcPr>
                  <w:tcW w:w="425" w:type="dxa"/>
                  <w:vAlign w:val="center"/>
                </w:tcPr>
                <w:p w14:paraId="443CFC96">
                  <w:pPr>
                    <w:jc w:val="center"/>
                    <w:rPr>
                      <w:rFonts w:hint="eastAsia"/>
                      <w:kern w:val="0"/>
                    </w:rPr>
                  </w:pPr>
                  <w:r>
                    <w:rPr>
                      <w:color w:val="000000"/>
                      <w:sz w:val="18"/>
                      <w:szCs w:val="18"/>
                    </w:rPr>
                    <w:t>71</w:t>
                  </w:r>
                </w:p>
              </w:tc>
              <w:tc>
                <w:tcPr>
                  <w:tcW w:w="425" w:type="dxa"/>
                  <w:vAlign w:val="center"/>
                </w:tcPr>
                <w:p w14:paraId="49F45541">
                  <w:pPr>
                    <w:jc w:val="center"/>
                    <w:rPr>
                      <w:rFonts w:hint="eastAsia"/>
                      <w:kern w:val="0"/>
                    </w:rPr>
                  </w:pPr>
                  <w:r>
                    <w:rPr>
                      <w:color w:val="000000"/>
                      <w:sz w:val="18"/>
                      <w:szCs w:val="18"/>
                    </w:rPr>
                    <w:t>71</w:t>
                  </w:r>
                </w:p>
              </w:tc>
              <w:tc>
                <w:tcPr>
                  <w:tcW w:w="567" w:type="dxa"/>
                  <w:vAlign w:val="center"/>
                </w:tcPr>
                <w:p w14:paraId="4C7CE8B4">
                  <w:pPr>
                    <w:jc w:val="center"/>
                    <w:rPr>
                      <w:rFonts w:hint="eastAsia"/>
                      <w:kern w:val="0"/>
                    </w:rPr>
                  </w:pPr>
                  <w:r>
                    <w:rPr>
                      <w:color w:val="000000"/>
                      <w:sz w:val="18"/>
                      <w:szCs w:val="18"/>
                    </w:rPr>
                    <w:t>71</w:t>
                  </w:r>
                </w:p>
              </w:tc>
              <w:tc>
                <w:tcPr>
                  <w:tcW w:w="567" w:type="dxa"/>
                  <w:vAlign w:val="center"/>
                </w:tcPr>
                <w:p w14:paraId="3061F50B">
                  <w:pPr>
                    <w:jc w:val="center"/>
                    <w:rPr>
                      <w:rFonts w:hint="eastAsia"/>
                      <w:kern w:val="0"/>
                    </w:rPr>
                  </w:pPr>
                  <w:r>
                    <w:rPr>
                      <w:color w:val="000000"/>
                      <w:sz w:val="18"/>
                      <w:szCs w:val="18"/>
                    </w:rPr>
                    <w:t>71</w:t>
                  </w:r>
                </w:p>
              </w:tc>
              <w:tc>
                <w:tcPr>
                  <w:tcW w:w="567" w:type="dxa"/>
                  <w:vAlign w:val="center"/>
                </w:tcPr>
                <w:p w14:paraId="1916441B">
                  <w:pPr>
                    <w:jc w:val="center"/>
                    <w:rPr>
                      <w:rFonts w:hint="eastAsia"/>
                      <w:kern w:val="0"/>
                    </w:rPr>
                  </w:pPr>
                  <w:r>
                    <w:rPr>
                      <w:kern w:val="0"/>
                    </w:rPr>
                    <w:t>60</w:t>
                  </w:r>
                </w:p>
              </w:tc>
              <w:tc>
                <w:tcPr>
                  <w:tcW w:w="567" w:type="dxa"/>
                  <w:vAlign w:val="center"/>
                </w:tcPr>
                <w:p w14:paraId="0435C009">
                  <w:pPr>
                    <w:jc w:val="center"/>
                    <w:rPr>
                      <w:rFonts w:hint="eastAsia"/>
                      <w:kern w:val="0"/>
                    </w:rPr>
                  </w:pPr>
                  <w:r>
                    <w:rPr>
                      <w:rFonts w:hint="eastAsia"/>
                      <w:kern w:val="0"/>
                    </w:rPr>
                    <w:t>5</w:t>
                  </w:r>
                  <w:r>
                    <w:rPr>
                      <w:kern w:val="0"/>
                    </w:rPr>
                    <w:t>0</w:t>
                  </w:r>
                </w:p>
              </w:tc>
              <w:tc>
                <w:tcPr>
                  <w:tcW w:w="425" w:type="dxa"/>
                  <w:vAlign w:val="center"/>
                </w:tcPr>
                <w:p w14:paraId="73EC36E7">
                  <w:pPr>
                    <w:jc w:val="center"/>
                    <w:rPr>
                      <w:rFonts w:hint="eastAsia"/>
                      <w:kern w:val="0"/>
                    </w:rPr>
                  </w:pPr>
                  <w:r>
                    <w:rPr>
                      <w:rFonts w:hint="eastAsia"/>
                      <w:kern w:val="0"/>
                    </w:rPr>
                    <w:t>超标</w:t>
                  </w:r>
                </w:p>
              </w:tc>
              <w:tc>
                <w:tcPr>
                  <w:tcW w:w="426" w:type="dxa"/>
                  <w:vAlign w:val="center"/>
                </w:tcPr>
                <w:p w14:paraId="068EC4DE">
                  <w:pPr>
                    <w:jc w:val="center"/>
                    <w:rPr>
                      <w:rFonts w:hint="eastAsia"/>
                      <w:kern w:val="0"/>
                    </w:rPr>
                  </w:pPr>
                  <w:r>
                    <w:rPr>
                      <w:rFonts w:hint="eastAsia"/>
                      <w:kern w:val="0"/>
                    </w:rPr>
                    <w:t>超标</w:t>
                  </w:r>
                </w:p>
              </w:tc>
              <w:tc>
                <w:tcPr>
                  <w:tcW w:w="699" w:type="dxa"/>
                  <w:vAlign w:val="center"/>
                </w:tcPr>
                <w:p w14:paraId="60DACADA">
                  <w:pPr>
                    <w:jc w:val="center"/>
                    <w:rPr>
                      <w:rFonts w:hint="eastAsia"/>
                      <w:kern w:val="0"/>
                    </w:rPr>
                  </w:pPr>
                  <w:r>
                    <w:rPr>
                      <w:rFonts w:hint="eastAsia"/>
                      <w:kern w:val="0"/>
                    </w:rPr>
                    <w:t>2</w:t>
                  </w:r>
                  <w:r>
                    <w:rPr>
                      <w:kern w:val="0"/>
                    </w:rPr>
                    <w:t>1</w:t>
                  </w:r>
                </w:p>
              </w:tc>
            </w:tr>
            <w:tr w14:paraId="3909F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78" w:type="dxa"/>
                  <w:vAlign w:val="center"/>
                </w:tcPr>
                <w:p w14:paraId="5CCF82F8">
                  <w:pPr>
                    <w:pStyle w:val="95"/>
                    <w:spacing w:before="0" w:after="0"/>
                    <w:rPr>
                      <w:rFonts w:hint="eastAsia"/>
                      <w:szCs w:val="21"/>
                    </w:rPr>
                  </w:pPr>
                  <w:r>
                    <w:rPr>
                      <w:rFonts w:hint="eastAsia"/>
                    </w:rPr>
                    <w:t>杨家村居民点</w:t>
                  </w:r>
                </w:p>
              </w:tc>
              <w:tc>
                <w:tcPr>
                  <w:tcW w:w="548" w:type="dxa"/>
                  <w:vAlign w:val="center"/>
                </w:tcPr>
                <w:p w14:paraId="22EA9BD5">
                  <w:pPr>
                    <w:jc w:val="center"/>
                    <w:rPr>
                      <w:rFonts w:hint="eastAsia"/>
                      <w:kern w:val="0"/>
                    </w:rPr>
                  </w:pPr>
                  <w:r>
                    <w:rPr>
                      <w:color w:val="000000"/>
                      <w:sz w:val="18"/>
                      <w:szCs w:val="18"/>
                    </w:rPr>
                    <w:t>46</w:t>
                  </w:r>
                </w:p>
              </w:tc>
              <w:tc>
                <w:tcPr>
                  <w:tcW w:w="545" w:type="dxa"/>
                  <w:vAlign w:val="center"/>
                </w:tcPr>
                <w:p w14:paraId="365BE392">
                  <w:pPr>
                    <w:jc w:val="center"/>
                    <w:rPr>
                      <w:rFonts w:hint="eastAsia"/>
                      <w:kern w:val="0"/>
                    </w:rPr>
                  </w:pPr>
                  <w:r>
                    <w:rPr>
                      <w:color w:val="000000"/>
                      <w:sz w:val="18"/>
                      <w:szCs w:val="18"/>
                    </w:rPr>
                    <w:t>40</w:t>
                  </w:r>
                </w:p>
              </w:tc>
              <w:tc>
                <w:tcPr>
                  <w:tcW w:w="1799" w:type="dxa"/>
                  <w:vAlign w:val="center"/>
                </w:tcPr>
                <w:p w14:paraId="749591ED">
                  <w:pPr>
                    <w:jc w:val="center"/>
                    <w:rPr>
                      <w:rFonts w:hint="eastAsia"/>
                    </w:rPr>
                  </w:pPr>
                  <w:r>
                    <w:rPr>
                      <w:rFonts w:hint="eastAsia"/>
                    </w:rPr>
                    <w:t>距离地埋线路两侧最近约</w:t>
                  </w:r>
                  <w:r>
                    <w:t>5</w:t>
                  </w:r>
                  <w:r>
                    <w:rPr>
                      <w:rFonts w:hint="eastAsia"/>
                    </w:rPr>
                    <w:t>m</w:t>
                  </w:r>
                </w:p>
              </w:tc>
              <w:tc>
                <w:tcPr>
                  <w:tcW w:w="425" w:type="dxa"/>
                  <w:vAlign w:val="center"/>
                </w:tcPr>
                <w:p w14:paraId="7FD8BCBF">
                  <w:pPr>
                    <w:jc w:val="center"/>
                    <w:rPr>
                      <w:rFonts w:hint="eastAsia"/>
                      <w:kern w:val="0"/>
                    </w:rPr>
                  </w:pPr>
                  <w:r>
                    <w:rPr>
                      <w:color w:val="000000"/>
                      <w:sz w:val="18"/>
                      <w:szCs w:val="18"/>
                    </w:rPr>
                    <w:t>71</w:t>
                  </w:r>
                </w:p>
              </w:tc>
              <w:tc>
                <w:tcPr>
                  <w:tcW w:w="425" w:type="dxa"/>
                  <w:vAlign w:val="center"/>
                </w:tcPr>
                <w:p w14:paraId="60C7FF55">
                  <w:pPr>
                    <w:jc w:val="center"/>
                    <w:rPr>
                      <w:rFonts w:hint="eastAsia"/>
                      <w:kern w:val="0"/>
                    </w:rPr>
                  </w:pPr>
                  <w:r>
                    <w:rPr>
                      <w:color w:val="000000"/>
                      <w:sz w:val="18"/>
                      <w:szCs w:val="18"/>
                    </w:rPr>
                    <w:t>71</w:t>
                  </w:r>
                </w:p>
              </w:tc>
              <w:tc>
                <w:tcPr>
                  <w:tcW w:w="567" w:type="dxa"/>
                  <w:vAlign w:val="center"/>
                </w:tcPr>
                <w:p w14:paraId="11A1DDE6">
                  <w:pPr>
                    <w:jc w:val="center"/>
                    <w:rPr>
                      <w:rFonts w:hint="eastAsia"/>
                      <w:kern w:val="0"/>
                    </w:rPr>
                  </w:pPr>
                  <w:r>
                    <w:rPr>
                      <w:color w:val="000000"/>
                      <w:sz w:val="18"/>
                      <w:szCs w:val="18"/>
                    </w:rPr>
                    <w:t>71</w:t>
                  </w:r>
                </w:p>
              </w:tc>
              <w:tc>
                <w:tcPr>
                  <w:tcW w:w="567" w:type="dxa"/>
                  <w:vAlign w:val="center"/>
                </w:tcPr>
                <w:p w14:paraId="06E6632B">
                  <w:pPr>
                    <w:jc w:val="center"/>
                    <w:rPr>
                      <w:rFonts w:hint="eastAsia"/>
                      <w:kern w:val="0"/>
                    </w:rPr>
                  </w:pPr>
                  <w:r>
                    <w:rPr>
                      <w:color w:val="000000"/>
                      <w:sz w:val="18"/>
                      <w:szCs w:val="18"/>
                    </w:rPr>
                    <w:t>71</w:t>
                  </w:r>
                </w:p>
              </w:tc>
              <w:tc>
                <w:tcPr>
                  <w:tcW w:w="567" w:type="dxa"/>
                  <w:vAlign w:val="center"/>
                </w:tcPr>
                <w:p w14:paraId="1833D36D">
                  <w:pPr>
                    <w:jc w:val="center"/>
                    <w:rPr>
                      <w:rFonts w:hint="eastAsia"/>
                      <w:kern w:val="0"/>
                    </w:rPr>
                  </w:pPr>
                  <w:r>
                    <w:rPr>
                      <w:kern w:val="0"/>
                    </w:rPr>
                    <w:t>60</w:t>
                  </w:r>
                </w:p>
              </w:tc>
              <w:tc>
                <w:tcPr>
                  <w:tcW w:w="567" w:type="dxa"/>
                  <w:vAlign w:val="center"/>
                </w:tcPr>
                <w:p w14:paraId="4B16836F">
                  <w:pPr>
                    <w:jc w:val="center"/>
                    <w:rPr>
                      <w:rFonts w:hint="eastAsia"/>
                      <w:kern w:val="0"/>
                    </w:rPr>
                  </w:pPr>
                  <w:r>
                    <w:rPr>
                      <w:rFonts w:hint="eastAsia"/>
                      <w:kern w:val="0"/>
                    </w:rPr>
                    <w:t>5</w:t>
                  </w:r>
                  <w:r>
                    <w:rPr>
                      <w:kern w:val="0"/>
                    </w:rPr>
                    <w:t>0</w:t>
                  </w:r>
                </w:p>
              </w:tc>
              <w:tc>
                <w:tcPr>
                  <w:tcW w:w="425" w:type="dxa"/>
                  <w:vAlign w:val="center"/>
                </w:tcPr>
                <w:p w14:paraId="35CA002A">
                  <w:pPr>
                    <w:jc w:val="center"/>
                    <w:rPr>
                      <w:rFonts w:hint="eastAsia"/>
                      <w:kern w:val="0"/>
                    </w:rPr>
                  </w:pPr>
                  <w:r>
                    <w:rPr>
                      <w:rFonts w:hint="eastAsia"/>
                      <w:kern w:val="0"/>
                    </w:rPr>
                    <w:t>超标</w:t>
                  </w:r>
                </w:p>
              </w:tc>
              <w:tc>
                <w:tcPr>
                  <w:tcW w:w="426" w:type="dxa"/>
                  <w:vAlign w:val="center"/>
                </w:tcPr>
                <w:p w14:paraId="79283913">
                  <w:pPr>
                    <w:jc w:val="center"/>
                    <w:rPr>
                      <w:rFonts w:hint="eastAsia"/>
                      <w:kern w:val="0"/>
                    </w:rPr>
                  </w:pPr>
                  <w:r>
                    <w:rPr>
                      <w:rFonts w:hint="eastAsia"/>
                      <w:kern w:val="0"/>
                    </w:rPr>
                    <w:t>超标</w:t>
                  </w:r>
                </w:p>
              </w:tc>
              <w:tc>
                <w:tcPr>
                  <w:tcW w:w="699" w:type="dxa"/>
                  <w:vAlign w:val="center"/>
                </w:tcPr>
                <w:p w14:paraId="29146069">
                  <w:pPr>
                    <w:jc w:val="center"/>
                    <w:rPr>
                      <w:rFonts w:hint="eastAsia"/>
                      <w:kern w:val="0"/>
                    </w:rPr>
                  </w:pPr>
                  <w:r>
                    <w:rPr>
                      <w:rFonts w:hint="eastAsia"/>
                      <w:kern w:val="0"/>
                    </w:rPr>
                    <w:t>2</w:t>
                  </w:r>
                  <w:r>
                    <w:rPr>
                      <w:kern w:val="0"/>
                    </w:rPr>
                    <w:t>1</w:t>
                  </w:r>
                </w:p>
              </w:tc>
            </w:tr>
            <w:tr w14:paraId="7A72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78" w:type="dxa"/>
                  <w:vAlign w:val="center"/>
                </w:tcPr>
                <w:p w14:paraId="5DB61C7B">
                  <w:pPr>
                    <w:pStyle w:val="95"/>
                    <w:spacing w:before="0" w:after="0"/>
                    <w:rPr>
                      <w:rFonts w:hint="eastAsia"/>
                      <w:szCs w:val="21"/>
                    </w:rPr>
                  </w:pPr>
                  <w:r>
                    <w:rPr>
                      <w:rFonts w:hint="eastAsia"/>
                    </w:rPr>
                    <w:t>散户1</w:t>
                  </w:r>
                </w:p>
              </w:tc>
              <w:tc>
                <w:tcPr>
                  <w:tcW w:w="548" w:type="dxa"/>
                  <w:vAlign w:val="center"/>
                </w:tcPr>
                <w:p w14:paraId="57EB5FD0">
                  <w:pPr>
                    <w:jc w:val="center"/>
                    <w:rPr>
                      <w:rFonts w:hint="eastAsia"/>
                      <w:kern w:val="0"/>
                    </w:rPr>
                  </w:pPr>
                  <w:r>
                    <w:rPr>
                      <w:color w:val="000000"/>
                      <w:sz w:val="18"/>
                      <w:szCs w:val="18"/>
                    </w:rPr>
                    <w:t>43</w:t>
                  </w:r>
                </w:p>
              </w:tc>
              <w:tc>
                <w:tcPr>
                  <w:tcW w:w="545" w:type="dxa"/>
                  <w:vAlign w:val="center"/>
                </w:tcPr>
                <w:p w14:paraId="640A8678">
                  <w:pPr>
                    <w:jc w:val="center"/>
                    <w:rPr>
                      <w:rFonts w:hint="eastAsia"/>
                      <w:kern w:val="0"/>
                    </w:rPr>
                  </w:pPr>
                  <w:r>
                    <w:rPr>
                      <w:color w:val="000000"/>
                      <w:sz w:val="18"/>
                      <w:szCs w:val="18"/>
                    </w:rPr>
                    <w:t>39</w:t>
                  </w:r>
                </w:p>
              </w:tc>
              <w:tc>
                <w:tcPr>
                  <w:tcW w:w="1799" w:type="dxa"/>
                  <w:vAlign w:val="center"/>
                </w:tcPr>
                <w:p w14:paraId="312AE343">
                  <w:pPr>
                    <w:jc w:val="center"/>
                    <w:rPr>
                      <w:rFonts w:hint="eastAsia"/>
                    </w:rPr>
                  </w:pPr>
                  <w:r>
                    <w:rPr>
                      <w:rFonts w:hint="eastAsia"/>
                    </w:rPr>
                    <w:t>距离</w:t>
                  </w:r>
                  <w:r>
                    <w:t>3ULN29</w:t>
                  </w:r>
                  <w:r>
                    <w:rPr>
                      <w:rFonts w:hint="eastAsia"/>
                    </w:rPr>
                    <w:t>塔基最近约</w:t>
                  </w:r>
                  <w:r>
                    <w:t>30</w:t>
                  </w:r>
                  <w:r>
                    <w:rPr>
                      <w:rFonts w:hint="eastAsia"/>
                    </w:rPr>
                    <w:t>m</w:t>
                  </w:r>
                </w:p>
              </w:tc>
              <w:tc>
                <w:tcPr>
                  <w:tcW w:w="425" w:type="dxa"/>
                  <w:vAlign w:val="center"/>
                </w:tcPr>
                <w:p w14:paraId="4F408795">
                  <w:pPr>
                    <w:jc w:val="center"/>
                    <w:rPr>
                      <w:rFonts w:hint="eastAsia"/>
                      <w:kern w:val="0"/>
                    </w:rPr>
                  </w:pPr>
                  <w:r>
                    <w:rPr>
                      <w:color w:val="000000"/>
                      <w:sz w:val="18"/>
                      <w:szCs w:val="18"/>
                    </w:rPr>
                    <w:t>56</w:t>
                  </w:r>
                </w:p>
              </w:tc>
              <w:tc>
                <w:tcPr>
                  <w:tcW w:w="425" w:type="dxa"/>
                  <w:vAlign w:val="center"/>
                </w:tcPr>
                <w:p w14:paraId="46599B6B">
                  <w:pPr>
                    <w:jc w:val="center"/>
                    <w:rPr>
                      <w:rFonts w:hint="eastAsia"/>
                      <w:kern w:val="0"/>
                    </w:rPr>
                  </w:pPr>
                  <w:r>
                    <w:rPr>
                      <w:color w:val="000000"/>
                      <w:sz w:val="18"/>
                      <w:szCs w:val="18"/>
                    </w:rPr>
                    <w:t>56</w:t>
                  </w:r>
                </w:p>
              </w:tc>
              <w:tc>
                <w:tcPr>
                  <w:tcW w:w="567" w:type="dxa"/>
                  <w:vAlign w:val="center"/>
                </w:tcPr>
                <w:p w14:paraId="7C2B6933">
                  <w:pPr>
                    <w:jc w:val="center"/>
                    <w:rPr>
                      <w:rFonts w:hint="eastAsia"/>
                      <w:kern w:val="0"/>
                    </w:rPr>
                  </w:pPr>
                  <w:r>
                    <w:rPr>
                      <w:color w:val="000000"/>
                      <w:sz w:val="18"/>
                      <w:szCs w:val="18"/>
                    </w:rPr>
                    <w:t>56</w:t>
                  </w:r>
                </w:p>
              </w:tc>
              <w:tc>
                <w:tcPr>
                  <w:tcW w:w="567" w:type="dxa"/>
                  <w:vAlign w:val="center"/>
                </w:tcPr>
                <w:p w14:paraId="0CBE49D9">
                  <w:pPr>
                    <w:jc w:val="center"/>
                    <w:rPr>
                      <w:rFonts w:hint="eastAsia"/>
                      <w:kern w:val="0"/>
                    </w:rPr>
                  </w:pPr>
                  <w:r>
                    <w:rPr>
                      <w:color w:val="000000"/>
                      <w:sz w:val="18"/>
                      <w:szCs w:val="18"/>
                    </w:rPr>
                    <w:t>56</w:t>
                  </w:r>
                </w:p>
              </w:tc>
              <w:tc>
                <w:tcPr>
                  <w:tcW w:w="567" w:type="dxa"/>
                  <w:vAlign w:val="center"/>
                </w:tcPr>
                <w:p w14:paraId="67DC4D43">
                  <w:pPr>
                    <w:jc w:val="center"/>
                    <w:rPr>
                      <w:rFonts w:hint="eastAsia"/>
                      <w:kern w:val="0"/>
                    </w:rPr>
                  </w:pPr>
                  <w:r>
                    <w:rPr>
                      <w:kern w:val="0"/>
                    </w:rPr>
                    <w:t>60</w:t>
                  </w:r>
                </w:p>
              </w:tc>
              <w:tc>
                <w:tcPr>
                  <w:tcW w:w="567" w:type="dxa"/>
                  <w:vAlign w:val="center"/>
                </w:tcPr>
                <w:p w14:paraId="0CA2345E">
                  <w:pPr>
                    <w:jc w:val="center"/>
                    <w:rPr>
                      <w:rFonts w:hint="eastAsia"/>
                      <w:kern w:val="0"/>
                    </w:rPr>
                  </w:pPr>
                  <w:r>
                    <w:rPr>
                      <w:rFonts w:hint="eastAsia"/>
                      <w:kern w:val="0"/>
                    </w:rPr>
                    <w:t>5</w:t>
                  </w:r>
                  <w:r>
                    <w:rPr>
                      <w:kern w:val="0"/>
                    </w:rPr>
                    <w:t>0</w:t>
                  </w:r>
                </w:p>
              </w:tc>
              <w:tc>
                <w:tcPr>
                  <w:tcW w:w="425" w:type="dxa"/>
                  <w:vAlign w:val="center"/>
                </w:tcPr>
                <w:p w14:paraId="5BCC6742">
                  <w:pPr>
                    <w:jc w:val="center"/>
                    <w:rPr>
                      <w:rFonts w:hint="eastAsia"/>
                      <w:kern w:val="0"/>
                    </w:rPr>
                  </w:pPr>
                  <w:r>
                    <w:rPr>
                      <w:rFonts w:hint="eastAsia"/>
                      <w:kern w:val="0"/>
                    </w:rPr>
                    <w:t>超标</w:t>
                  </w:r>
                </w:p>
              </w:tc>
              <w:tc>
                <w:tcPr>
                  <w:tcW w:w="426" w:type="dxa"/>
                  <w:vAlign w:val="center"/>
                </w:tcPr>
                <w:p w14:paraId="72630C80">
                  <w:pPr>
                    <w:jc w:val="center"/>
                    <w:rPr>
                      <w:rFonts w:hint="eastAsia"/>
                      <w:kern w:val="0"/>
                    </w:rPr>
                  </w:pPr>
                  <w:r>
                    <w:rPr>
                      <w:rFonts w:hint="eastAsia"/>
                      <w:kern w:val="0"/>
                    </w:rPr>
                    <w:t>超标</w:t>
                  </w:r>
                </w:p>
              </w:tc>
              <w:tc>
                <w:tcPr>
                  <w:tcW w:w="699" w:type="dxa"/>
                  <w:vAlign w:val="center"/>
                </w:tcPr>
                <w:p w14:paraId="2D73ECF3">
                  <w:pPr>
                    <w:jc w:val="center"/>
                    <w:rPr>
                      <w:rFonts w:hint="eastAsia"/>
                      <w:kern w:val="0"/>
                    </w:rPr>
                  </w:pPr>
                  <w:r>
                    <w:rPr>
                      <w:rFonts w:hint="eastAsia"/>
                      <w:kern w:val="0"/>
                    </w:rPr>
                    <w:t>6</w:t>
                  </w:r>
                </w:p>
              </w:tc>
            </w:tr>
            <w:tr w14:paraId="52BC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78" w:type="dxa"/>
                  <w:vAlign w:val="center"/>
                </w:tcPr>
                <w:p w14:paraId="43DD0DA1">
                  <w:pPr>
                    <w:pStyle w:val="95"/>
                    <w:spacing w:before="0" w:after="0"/>
                    <w:rPr>
                      <w:rFonts w:hint="eastAsia"/>
                      <w:szCs w:val="21"/>
                    </w:rPr>
                  </w:pPr>
                  <w:r>
                    <w:rPr>
                      <w:rFonts w:hint="eastAsia"/>
                    </w:rPr>
                    <w:t>散户2</w:t>
                  </w:r>
                </w:p>
              </w:tc>
              <w:tc>
                <w:tcPr>
                  <w:tcW w:w="548" w:type="dxa"/>
                  <w:vAlign w:val="center"/>
                </w:tcPr>
                <w:p w14:paraId="37E0DB4B">
                  <w:pPr>
                    <w:jc w:val="center"/>
                    <w:rPr>
                      <w:rFonts w:hint="eastAsia"/>
                      <w:kern w:val="0"/>
                    </w:rPr>
                  </w:pPr>
                  <w:r>
                    <w:rPr>
                      <w:color w:val="000000"/>
                      <w:sz w:val="18"/>
                      <w:szCs w:val="18"/>
                    </w:rPr>
                    <w:t>45</w:t>
                  </w:r>
                </w:p>
              </w:tc>
              <w:tc>
                <w:tcPr>
                  <w:tcW w:w="545" w:type="dxa"/>
                  <w:vAlign w:val="center"/>
                </w:tcPr>
                <w:p w14:paraId="677EAEFE">
                  <w:pPr>
                    <w:jc w:val="center"/>
                    <w:rPr>
                      <w:rFonts w:hint="eastAsia"/>
                      <w:kern w:val="0"/>
                    </w:rPr>
                  </w:pPr>
                  <w:r>
                    <w:rPr>
                      <w:color w:val="000000"/>
                      <w:sz w:val="18"/>
                      <w:szCs w:val="18"/>
                    </w:rPr>
                    <w:t>41</w:t>
                  </w:r>
                </w:p>
              </w:tc>
              <w:tc>
                <w:tcPr>
                  <w:tcW w:w="1799" w:type="dxa"/>
                  <w:vAlign w:val="center"/>
                </w:tcPr>
                <w:p w14:paraId="652BA4B5">
                  <w:pPr>
                    <w:jc w:val="center"/>
                    <w:rPr>
                      <w:rFonts w:hint="eastAsia"/>
                    </w:rPr>
                  </w:pPr>
                  <w:r>
                    <w:rPr>
                      <w:rFonts w:hint="eastAsia"/>
                    </w:rPr>
                    <w:t>距离L</w:t>
                  </w:r>
                  <w:r>
                    <w:t>18</w:t>
                  </w:r>
                  <w:r>
                    <w:rPr>
                      <w:rFonts w:hint="eastAsia"/>
                    </w:rPr>
                    <w:t>光伏阵列区最近约</w:t>
                  </w:r>
                  <w:r>
                    <w:t>10</w:t>
                  </w:r>
                  <w:r>
                    <w:rPr>
                      <w:rFonts w:hint="eastAsia"/>
                    </w:rPr>
                    <w:t>m</w:t>
                  </w:r>
                </w:p>
              </w:tc>
              <w:tc>
                <w:tcPr>
                  <w:tcW w:w="425" w:type="dxa"/>
                  <w:vAlign w:val="center"/>
                </w:tcPr>
                <w:p w14:paraId="511C3DCA">
                  <w:pPr>
                    <w:jc w:val="center"/>
                    <w:rPr>
                      <w:rFonts w:hint="eastAsia"/>
                      <w:kern w:val="0"/>
                    </w:rPr>
                  </w:pPr>
                  <w:r>
                    <w:rPr>
                      <w:color w:val="000000"/>
                      <w:sz w:val="18"/>
                      <w:szCs w:val="18"/>
                    </w:rPr>
                    <w:t>65</w:t>
                  </w:r>
                </w:p>
              </w:tc>
              <w:tc>
                <w:tcPr>
                  <w:tcW w:w="425" w:type="dxa"/>
                  <w:vAlign w:val="center"/>
                </w:tcPr>
                <w:p w14:paraId="5E56CFC7">
                  <w:pPr>
                    <w:jc w:val="center"/>
                    <w:rPr>
                      <w:rFonts w:hint="eastAsia"/>
                      <w:kern w:val="0"/>
                    </w:rPr>
                  </w:pPr>
                  <w:r>
                    <w:rPr>
                      <w:color w:val="000000"/>
                      <w:sz w:val="18"/>
                      <w:szCs w:val="18"/>
                    </w:rPr>
                    <w:t>65</w:t>
                  </w:r>
                </w:p>
              </w:tc>
              <w:tc>
                <w:tcPr>
                  <w:tcW w:w="567" w:type="dxa"/>
                  <w:vAlign w:val="center"/>
                </w:tcPr>
                <w:p w14:paraId="4C58763E">
                  <w:pPr>
                    <w:jc w:val="center"/>
                    <w:rPr>
                      <w:rFonts w:hint="eastAsia"/>
                      <w:kern w:val="0"/>
                    </w:rPr>
                  </w:pPr>
                  <w:r>
                    <w:rPr>
                      <w:color w:val="000000"/>
                      <w:sz w:val="18"/>
                      <w:szCs w:val="18"/>
                    </w:rPr>
                    <w:t>65</w:t>
                  </w:r>
                </w:p>
              </w:tc>
              <w:tc>
                <w:tcPr>
                  <w:tcW w:w="567" w:type="dxa"/>
                  <w:vAlign w:val="center"/>
                </w:tcPr>
                <w:p w14:paraId="1E56401F">
                  <w:pPr>
                    <w:jc w:val="center"/>
                    <w:rPr>
                      <w:rFonts w:hint="eastAsia"/>
                      <w:kern w:val="0"/>
                    </w:rPr>
                  </w:pPr>
                  <w:r>
                    <w:rPr>
                      <w:color w:val="000000"/>
                      <w:sz w:val="18"/>
                      <w:szCs w:val="18"/>
                    </w:rPr>
                    <w:t>65</w:t>
                  </w:r>
                </w:p>
              </w:tc>
              <w:tc>
                <w:tcPr>
                  <w:tcW w:w="567" w:type="dxa"/>
                  <w:vAlign w:val="center"/>
                </w:tcPr>
                <w:p w14:paraId="192113CA">
                  <w:pPr>
                    <w:jc w:val="center"/>
                    <w:rPr>
                      <w:rFonts w:hint="eastAsia"/>
                      <w:kern w:val="0"/>
                    </w:rPr>
                  </w:pPr>
                  <w:r>
                    <w:rPr>
                      <w:kern w:val="0"/>
                    </w:rPr>
                    <w:t>60</w:t>
                  </w:r>
                </w:p>
              </w:tc>
              <w:tc>
                <w:tcPr>
                  <w:tcW w:w="567" w:type="dxa"/>
                  <w:vAlign w:val="center"/>
                </w:tcPr>
                <w:p w14:paraId="453787EC">
                  <w:pPr>
                    <w:jc w:val="center"/>
                    <w:rPr>
                      <w:rFonts w:hint="eastAsia"/>
                      <w:kern w:val="0"/>
                    </w:rPr>
                  </w:pPr>
                  <w:r>
                    <w:rPr>
                      <w:rFonts w:hint="eastAsia"/>
                      <w:kern w:val="0"/>
                    </w:rPr>
                    <w:t>5</w:t>
                  </w:r>
                  <w:r>
                    <w:rPr>
                      <w:kern w:val="0"/>
                    </w:rPr>
                    <w:t>0</w:t>
                  </w:r>
                </w:p>
              </w:tc>
              <w:tc>
                <w:tcPr>
                  <w:tcW w:w="425" w:type="dxa"/>
                  <w:vAlign w:val="center"/>
                </w:tcPr>
                <w:p w14:paraId="78365855">
                  <w:pPr>
                    <w:jc w:val="center"/>
                    <w:rPr>
                      <w:rFonts w:hint="eastAsia"/>
                      <w:kern w:val="0"/>
                    </w:rPr>
                  </w:pPr>
                  <w:r>
                    <w:rPr>
                      <w:rFonts w:hint="eastAsia"/>
                      <w:kern w:val="0"/>
                    </w:rPr>
                    <w:t>超标</w:t>
                  </w:r>
                </w:p>
              </w:tc>
              <w:tc>
                <w:tcPr>
                  <w:tcW w:w="426" w:type="dxa"/>
                  <w:vAlign w:val="center"/>
                </w:tcPr>
                <w:p w14:paraId="6A42DC26">
                  <w:pPr>
                    <w:jc w:val="center"/>
                    <w:rPr>
                      <w:rFonts w:hint="eastAsia"/>
                      <w:kern w:val="0"/>
                    </w:rPr>
                  </w:pPr>
                  <w:r>
                    <w:rPr>
                      <w:rFonts w:hint="eastAsia"/>
                      <w:kern w:val="0"/>
                    </w:rPr>
                    <w:t>超标</w:t>
                  </w:r>
                </w:p>
              </w:tc>
              <w:tc>
                <w:tcPr>
                  <w:tcW w:w="699" w:type="dxa"/>
                  <w:vAlign w:val="center"/>
                </w:tcPr>
                <w:p w14:paraId="6EB49C76">
                  <w:pPr>
                    <w:jc w:val="center"/>
                    <w:rPr>
                      <w:rFonts w:hint="eastAsia"/>
                      <w:kern w:val="0"/>
                    </w:rPr>
                  </w:pPr>
                  <w:r>
                    <w:rPr>
                      <w:rFonts w:hint="eastAsia"/>
                      <w:kern w:val="0"/>
                    </w:rPr>
                    <w:t>6</w:t>
                  </w:r>
                </w:p>
              </w:tc>
            </w:tr>
            <w:tr w14:paraId="1118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78" w:type="dxa"/>
                  <w:vAlign w:val="center"/>
                </w:tcPr>
                <w:p w14:paraId="253C367A">
                  <w:pPr>
                    <w:pStyle w:val="95"/>
                    <w:spacing w:before="0" w:after="0"/>
                    <w:rPr>
                      <w:rFonts w:hint="eastAsia"/>
                      <w:szCs w:val="21"/>
                    </w:rPr>
                  </w:pPr>
                  <w:r>
                    <w:rPr>
                      <w:rFonts w:hint="eastAsia"/>
                    </w:rPr>
                    <w:t>盐水沟居民点</w:t>
                  </w:r>
                </w:p>
              </w:tc>
              <w:tc>
                <w:tcPr>
                  <w:tcW w:w="548" w:type="dxa"/>
                  <w:vAlign w:val="center"/>
                </w:tcPr>
                <w:p w14:paraId="0F33967A">
                  <w:pPr>
                    <w:jc w:val="center"/>
                    <w:rPr>
                      <w:rFonts w:hint="eastAsia"/>
                      <w:kern w:val="0"/>
                    </w:rPr>
                  </w:pPr>
                  <w:r>
                    <w:rPr>
                      <w:color w:val="000000"/>
                      <w:sz w:val="18"/>
                      <w:szCs w:val="18"/>
                    </w:rPr>
                    <w:t>46</w:t>
                  </w:r>
                </w:p>
              </w:tc>
              <w:tc>
                <w:tcPr>
                  <w:tcW w:w="545" w:type="dxa"/>
                  <w:vAlign w:val="center"/>
                </w:tcPr>
                <w:p w14:paraId="2737BE73">
                  <w:pPr>
                    <w:jc w:val="center"/>
                    <w:rPr>
                      <w:rFonts w:hint="eastAsia"/>
                      <w:kern w:val="0"/>
                    </w:rPr>
                  </w:pPr>
                  <w:r>
                    <w:rPr>
                      <w:color w:val="000000"/>
                      <w:sz w:val="18"/>
                      <w:szCs w:val="18"/>
                    </w:rPr>
                    <w:t>40</w:t>
                  </w:r>
                </w:p>
              </w:tc>
              <w:tc>
                <w:tcPr>
                  <w:tcW w:w="1799" w:type="dxa"/>
                  <w:vAlign w:val="center"/>
                </w:tcPr>
                <w:p w14:paraId="43684FC7">
                  <w:pPr>
                    <w:jc w:val="center"/>
                    <w:rPr>
                      <w:rFonts w:hint="eastAsia"/>
                    </w:rPr>
                  </w:pPr>
                  <w:r>
                    <w:rPr>
                      <w:rFonts w:hint="eastAsia"/>
                    </w:rPr>
                    <w:t>距离L</w:t>
                  </w:r>
                  <w:r>
                    <w:t>04</w:t>
                  </w:r>
                  <w:r>
                    <w:rPr>
                      <w:rFonts w:hint="eastAsia"/>
                    </w:rPr>
                    <w:t>光伏阵列区最近约3</w:t>
                  </w:r>
                  <w:r>
                    <w:t>5</w:t>
                  </w:r>
                  <w:r>
                    <w:rPr>
                      <w:rFonts w:hint="eastAsia"/>
                    </w:rPr>
                    <w:t>m</w:t>
                  </w:r>
                </w:p>
              </w:tc>
              <w:tc>
                <w:tcPr>
                  <w:tcW w:w="425" w:type="dxa"/>
                  <w:vAlign w:val="center"/>
                </w:tcPr>
                <w:p w14:paraId="5ED39325">
                  <w:pPr>
                    <w:jc w:val="center"/>
                    <w:rPr>
                      <w:rFonts w:hint="eastAsia"/>
                      <w:kern w:val="0"/>
                    </w:rPr>
                  </w:pPr>
                  <w:r>
                    <w:rPr>
                      <w:color w:val="000000"/>
                      <w:sz w:val="18"/>
                      <w:szCs w:val="18"/>
                    </w:rPr>
                    <w:t>56</w:t>
                  </w:r>
                </w:p>
              </w:tc>
              <w:tc>
                <w:tcPr>
                  <w:tcW w:w="425" w:type="dxa"/>
                  <w:vAlign w:val="center"/>
                </w:tcPr>
                <w:p w14:paraId="6CA1AEC4">
                  <w:pPr>
                    <w:jc w:val="center"/>
                    <w:rPr>
                      <w:rFonts w:hint="eastAsia"/>
                      <w:kern w:val="0"/>
                    </w:rPr>
                  </w:pPr>
                  <w:r>
                    <w:rPr>
                      <w:color w:val="000000"/>
                      <w:sz w:val="18"/>
                      <w:szCs w:val="18"/>
                    </w:rPr>
                    <w:t>56</w:t>
                  </w:r>
                </w:p>
              </w:tc>
              <w:tc>
                <w:tcPr>
                  <w:tcW w:w="567" w:type="dxa"/>
                  <w:vAlign w:val="center"/>
                </w:tcPr>
                <w:p w14:paraId="7246A74F">
                  <w:pPr>
                    <w:jc w:val="center"/>
                    <w:rPr>
                      <w:rFonts w:hint="eastAsia"/>
                      <w:kern w:val="0"/>
                    </w:rPr>
                  </w:pPr>
                  <w:r>
                    <w:rPr>
                      <w:color w:val="000000"/>
                      <w:sz w:val="18"/>
                      <w:szCs w:val="18"/>
                    </w:rPr>
                    <w:t>56</w:t>
                  </w:r>
                </w:p>
              </w:tc>
              <w:tc>
                <w:tcPr>
                  <w:tcW w:w="567" w:type="dxa"/>
                  <w:vAlign w:val="center"/>
                </w:tcPr>
                <w:p w14:paraId="5319AEFC">
                  <w:pPr>
                    <w:jc w:val="center"/>
                    <w:rPr>
                      <w:rFonts w:hint="eastAsia"/>
                      <w:kern w:val="0"/>
                    </w:rPr>
                  </w:pPr>
                  <w:r>
                    <w:rPr>
                      <w:color w:val="000000"/>
                      <w:sz w:val="18"/>
                      <w:szCs w:val="18"/>
                    </w:rPr>
                    <w:t>56</w:t>
                  </w:r>
                </w:p>
              </w:tc>
              <w:tc>
                <w:tcPr>
                  <w:tcW w:w="567" w:type="dxa"/>
                  <w:vAlign w:val="center"/>
                </w:tcPr>
                <w:p w14:paraId="24F26E55">
                  <w:pPr>
                    <w:jc w:val="center"/>
                    <w:rPr>
                      <w:rFonts w:hint="eastAsia"/>
                      <w:kern w:val="0"/>
                    </w:rPr>
                  </w:pPr>
                  <w:r>
                    <w:rPr>
                      <w:kern w:val="0"/>
                    </w:rPr>
                    <w:t>60</w:t>
                  </w:r>
                </w:p>
              </w:tc>
              <w:tc>
                <w:tcPr>
                  <w:tcW w:w="567" w:type="dxa"/>
                  <w:vAlign w:val="center"/>
                </w:tcPr>
                <w:p w14:paraId="54ACCD95">
                  <w:pPr>
                    <w:jc w:val="center"/>
                    <w:rPr>
                      <w:rFonts w:hint="eastAsia"/>
                      <w:kern w:val="0"/>
                    </w:rPr>
                  </w:pPr>
                  <w:r>
                    <w:rPr>
                      <w:rFonts w:hint="eastAsia"/>
                      <w:kern w:val="0"/>
                    </w:rPr>
                    <w:t>5</w:t>
                  </w:r>
                  <w:r>
                    <w:rPr>
                      <w:kern w:val="0"/>
                    </w:rPr>
                    <w:t>0</w:t>
                  </w:r>
                </w:p>
              </w:tc>
              <w:tc>
                <w:tcPr>
                  <w:tcW w:w="425" w:type="dxa"/>
                  <w:vAlign w:val="center"/>
                </w:tcPr>
                <w:p w14:paraId="295CCCEF">
                  <w:pPr>
                    <w:jc w:val="center"/>
                    <w:rPr>
                      <w:rFonts w:hint="eastAsia"/>
                      <w:kern w:val="0"/>
                    </w:rPr>
                  </w:pPr>
                  <w:r>
                    <w:rPr>
                      <w:rFonts w:hint="eastAsia"/>
                      <w:kern w:val="0"/>
                    </w:rPr>
                    <w:t>超标</w:t>
                  </w:r>
                </w:p>
              </w:tc>
              <w:tc>
                <w:tcPr>
                  <w:tcW w:w="426" w:type="dxa"/>
                  <w:vAlign w:val="center"/>
                </w:tcPr>
                <w:p w14:paraId="4CD8BD8A">
                  <w:pPr>
                    <w:jc w:val="center"/>
                    <w:rPr>
                      <w:rFonts w:hint="eastAsia"/>
                      <w:kern w:val="0"/>
                    </w:rPr>
                  </w:pPr>
                  <w:r>
                    <w:rPr>
                      <w:rFonts w:hint="eastAsia"/>
                      <w:kern w:val="0"/>
                    </w:rPr>
                    <w:t>超标</w:t>
                  </w:r>
                </w:p>
              </w:tc>
              <w:tc>
                <w:tcPr>
                  <w:tcW w:w="699" w:type="dxa"/>
                  <w:vAlign w:val="center"/>
                </w:tcPr>
                <w:p w14:paraId="59212187">
                  <w:pPr>
                    <w:jc w:val="center"/>
                    <w:rPr>
                      <w:rFonts w:hint="eastAsia"/>
                      <w:kern w:val="0"/>
                    </w:rPr>
                  </w:pPr>
                  <w:r>
                    <w:rPr>
                      <w:rFonts w:hint="eastAsia"/>
                      <w:kern w:val="0"/>
                    </w:rPr>
                    <w:t>6</w:t>
                  </w:r>
                </w:p>
              </w:tc>
            </w:tr>
            <w:bookmarkEnd w:id="139"/>
          </w:tbl>
          <w:p w14:paraId="30A9F3D6">
            <w:pPr>
              <w:spacing w:line="360" w:lineRule="auto"/>
              <w:ind w:firstLine="480" w:firstLineChars="200"/>
              <w:rPr>
                <w:sz w:val="24"/>
                <w:szCs w:val="24"/>
              </w:rPr>
            </w:pPr>
            <w:r>
              <w:rPr>
                <w:sz w:val="24"/>
                <w:szCs w:val="24"/>
              </w:rPr>
              <w:t>根据上表预测结果，本项目施工期间，环境保护目标周边昼间噪声预测值最大为71dB(A)，夜间噪声最大值71dB(A)，对比《声环境质量标准》（GB 3096-2008）</w:t>
            </w:r>
            <w:r>
              <w:rPr>
                <w:rFonts w:hint="eastAsia"/>
                <w:sz w:val="24"/>
                <w:szCs w:val="24"/>
              </w:rPr>
              <w:t>2</w:t>
            </w:r>
            <w:r>
              <w:rPr>
                <w:sz w:val="24"/>
                <w:szCs w:val="24"/>
              </w:rPr>
              <w:t>类（昼间≤60dB(A)，夜间≤50dB(A)）标准要求，</w:t>
            </w:r>
            <w:r>
              <w:rPr>
                <w:rFonts w:hint="eastAsia"/>
                <w:sz w:val="24"/>
                <w:szCs w:val="24"/>
              </w:rPr>
              <w:t>施工期间声环境质量</w:t>
            </w:r>
            <w:r>
              <w:rPr>
                <w:sz w:val="24"/>
                <w:szCs w:val="24"/>
              </w:rPr>
              <w:t>超标。</w:t>
            </w:r>
          </w:p>
          <w:p w14:paraId="673BCD38">
            <w:pPr>
              <w:spacing w:line="360" w:lineRule="auto"/>
              <w:ind w:firstLine="482" w:firstLineChars="200"/>
              <w:rPr>
                <w:b/>
                <w:bCs/>
                <w:sz w:val="24"/>
              </w:rPr>
            </w:pPr>
            <w:r>
              <w:rPr>
                <w:rFonts w:hint="eastAsia"/>
                <w:b/>
                <w:bCs/>
                <w:sz w:val="24"/>
              </w:rPr>
              <w:t>3）噪声污染防治措施</w:t>
            </w:r>
          </w:p>
          <w:p w14:paraId="0CF92761">
            <w:pPr>
              <w:spacing w:line="360" w:lineRule="auto"/>
              <w:ind w:firstLine="480" w:firstLineChars="200"/>
              <w:rPr>
                <w:sz w:val="24"/>
              </w:rPr>
            </w:pPr>
            <w:r>
              <w:rPr>
                <w:sz w:val="24"/>
                <w:szCs w:val="22"/>
              </w:rPr>
              <w:t>针对光伏区的施工时间较短，</w:t>
            </w:r>
            <w:r>
              <w:rPr>
                <w:sz w:val="24"/>
              </w:rPr>
              <w:t>由于光伏区施工时施工点是移动的施工特性，因此要满足声环境保护目标的保护要求，需要提出以下措施：</w:t>
            </w:r>
          </w:p>
          <w:p w14:paraId="0AD5BF4A">
            <w:pPr>
              <w:spacing w:line="360" w:lineRule="auto"/>
              <w:ind w:firstLine="480" w:firstLineChars="200"/>
              <w:rPr>
                <w:snapToGrid w:val="0"/>
                <w:color w:val="000000"/>
                <w:kern w:val="0"/>
                <w:sz w:val="24"/>
              </w:rPr>
            </w:pPr>
            <w:r>
              <w:rPr>
                <w:rFonts w:hint="eastAsia"/>
                <w:snapToGrid w:val="0"/>
                <w:color w:val="000000"/>
                <w:kern w:val="0"/>
                <w:sz w:val="24"/>
              </w:rPr>
              <w:t>①</w:t>
            </w:r>
            <w:r>
              <w:rPr>
                <w:snapToGrid w:val="0"/>
                <w:color w:val="000000"/>
                <w:kern w:val="0"/>
                <w:sz w:val="24"/>
              </w:rPr>
              <w:t>噪声源控制</w:t>
            </w:r>
          </w:p>
          <w:p w14:paraId="61EAF9C3">
            <w:pPr>
              <w:spacing w:line="360" w:lineRule="auto"/>
              <w:ind w:firstLine="480" w:firstLineChars="200"/>
              <w:rPr>
                <w:snapToGrid w:val="0"/>
                <w:color w:val="000000"/>
                <w:kern w:val="0"/>
                <w:sz w:val="24"/>
              </w:rPr>
            </w:pPr>
            <w:r>
              <w:rPr>
                <w:rFonts w:hint="eastAsia"/>
                <w:snapToGrid w:val="0"/>
                <w:color w:val="000000"/>
                <w:kern w:val="0"/>
                <w:sz w:val="24"/>
              </w:rPr>
              <w:t>a.</w:t>
            </w:r>
            <w:r>
              <w:rPr>
                <w:snapToGrid w:val="0"/>
                <w:color w:val="000000"/>
                <w:kern w:val="0"/>
                <w:sz w:val="24"/>
              </w:rPr>
              <w:t>尽量采用低噪声施工机械，工程施工所用的施工机械设备应事先对其常规工作状态下的噪声进行测量，超过国家标准的机械应禁止入场施工。</w:t>
            </w:r>
          </w:p>
          <w:p w14:paraId="08F58C45">
            <w:pPr>
              <w:spacing w:line="360" w:lineRule="auto"/>
              <w:ind w:firstLine="480" w:firstLineChars="200"/>
              <w:rPr>
                <w:snapToGrid w:val="0"/>
                <w:color w:val="000000"/>
                <w:kern w:val="0"/>
                <w:sz w:val="24"/>
              </w:rPr>
            </w:pPr>
            <w:r>
              <w:rPr>
                <w:rFonts w:hint="eastAsia"/>
                <w:snapToGrid w:val="0"/>
                <w:color w:val="000000"/>
                <w:kern w:val="0"/>
                <w:sz w:val="24"/>
              </w:rPr>
              <w:t>b.</w:t>
            </w:r>
            <w:r>
              <w:rPr>
                <w:snapToGrid w:val="0"/>
                <w:color w:val="000000"/>
                <w:kern w:val="0"/>
                <w:sz w:val="24"/>
              </w:rPr>
              <w:t>对强噪声设备进行一定的隔声及减振处理，在不影响施工情况下将噪声设备尽量不集中安排，固定的机械设备尽量入棚操作。</w:t>
            </w:r>
          </w:p>
          <w:p w14:paraId="149A74B3">
            <w:pPr>
              <w:spacing w:line="360" w:lineRule="auto"/>
              <w:ind w:firstLine="480" w:firstLineChars="200"/>
              <w:rPr>
                <w:snapToGrid w:val="0"/>
                <w:color w:val="000000"/>
                <w:kern w:val="0"/>
                <w:sz w:val="24"/>
              </w:rPr>
            </w:pPr>
            <w:r>
              <w:rPr>
                <w:rFonts w:hint="eastAsia"/>
                <w:snapToGrid w:val="0"/>
                <w:color w:val="000000"/>
                <w:kern w:val="0"/>
                <w:sz w:val="24"/>
              </w:rPr>
              <w:t>c.</w:t>
            </w:r>
            <w:r>
              <w:rPr>
                <w:snapToGrid w:val="0"/>
                <w:color w:val="000000"/>
                <w:kern w:val="0"/>
                <w:sz w:val="24"/>
              </w:rPr>
              <w:t>对施工机械进行维护，减小施工机械的施工噪声，同时施工单位应设专人对设备进行定期保养和维护。</w:t>
            </w:r>
          </w:p>
          <w:p w14:paraId="64F877F0">
            <w:pPr>
              <w:spacing w:line="360" w:lineRule="auto"/>
              <w:ind w:firstLine="480" w:firstLineChars="200"/>
              <w:rPr>
                <w:snapToGrid w:val="0"/>
                <w:color w:val="000000"/>
                <w:kern w:val="0"/>
                <w:sz w:val="24"/>
              </w:rPr>
            </w:pPr>
            <w:r>
              <w:rPr>
                <w:rFonts w:hint="eastAsia"/>
                <w:snapToGrid w:val="0"/>
                <w:color w:val="000000"/>
                <w:kern w:val="0"/>
                <w:sz w:val="24"/>
              </w:rPr>
              <w:t>d.</w:t>
            </w:r>
            <w:r>
              <w:rPr>
                <w:snapToGrid w:val="0"/>
                <w:color w:val="000000"/>
                <w:kern w:val="0"/>
                <w:sz w:val="24"/>
              </w:rPr>
              <w:t>运输过程中的车辆应尽量避免在夜间运输，限制车速，进出</w:t>
            </w:r>
            <w:r>
              <w:rPr>
                <w:rFonts w:hint="eastAsia"/>
                <w:snapToGrid w:val="0"/>
                <w:color w:val="000000"/>
                <w:kern w:val="0"/>
                <w:sz w:val="24"/>
              </w:rPr>
              <w:t>厂区</w:t>
            </w:r>
            <w:r>
              <w:rPr>
                <w:snapToGrid w:val="0"/>
                <w:color w:val="000000"/>
                <w:kern w:val="0"/>
                <w:sz w:val="24"/>
              </w:rPr>
              <w:t>、经过居民点时严禁鸣笛，做到文明行车。</w:t>
            </w:r>
          </w:p>
          <w:p w14:paraId="1C419192">
            <w:pPr>
              <w:spacing w:line="360" w:lineRule="auto"/>
              <w:ind w:firstLine="480" w:firstLineChars="200"/>
              <w:rPr>
                <w:snapToGrid w:val="0"/>
                <w:color w:val="000000"/>
                <w:kern w:val="0"/>
                <w:sz w:val="24"/>
              </w:rPr>
            </w:pPr>
            <w:r>
              <w:rPr>
                <w:rFonts w:hint="eastAsia"/>
                <w:snapToGrid w:val="0"/>
                <w:color w:val="000000"/>
                <w:kern w:val="0"/>
                <w:sz w:val="24"/>
              </w:rPr>
              <w:t>e.</w:t>
            </w:r>
            <w:r>
              <w:rPr>
                <w:snapToGrid w:val="0"/>
                <w:color w:val="000000"/>
                <w:kern w:val="0"/>
                <w:sz w:val="24"/>
              </w:rPr>
              <w:t>在进行物料运输时，应合理安排运输时间，经过环境保护目标时应低速、禁鸣。</w:t>
            </w:r>
          </w:p>
          <w:p w14:paraId="69DFA2C6">
            <w:pPr>
              <w:spacing w:line="360" w:lineRule="auto"/>
              <w:ind w:firstLine="480" w:firstLineChars="200"/>
              <w:rPr>
                <w:rFonts w:hint="eastAsia"/>
                <w:snapToGrid w:val="0"/>
                <w:color w:val="000000"/>
                <w:kern w:val="0"/>
                <w:sz w:val="24"/>
              </w:rPr>
            </w:pPr>
            <w:r>
              <w:rPr>
                <w:rFonts w:hint="eastAsia"/>
                <w:snapToGrid w:val="0"/>
                <w:color w:val="000000"/>
                <w:kern w:val="0"/>
                <w:sz w:val="24"/>
              </w:rPr>
              <w:t>f</w:t>
            </w:r>
            <w:r>
              <w:rPr>
                <w:snapToGrid w:val="0"/>
                <w:color w:val="000000"/>
                <w:kern w:val="0"/>
                <w:sz w:val="24"/>
              </w:rPr>
              <w:t>.</w:t>
            </w:r>
            <w:r>
              <w:rPr>
                <w:rFonts w:hint="eastAsia"/>
                <w:snapToGrid w:val="0"/>
                <w:color w:val="000000"/>
                <w:kern w:val="0"/>
                <w:sz w:val="24"/>
              </w:rPr>
              <w:t>施工优先采用低噪工艺，选用静音工程机械，加装减振消声装置。优化施工布局，高噪声作业集中布置于远离民居一侧。</w:t>
            </w:r>
          </w:p>
          <w:p w14:paraId="474383E7">
            <w:pPr>
              <w:spacing w:line="360" w:lineRule="auto"/>
              <w:ind w:firstLine="480" w:firstLineChars="200"/>
              <w:rPr>
                <w:snapToGrid w:val="0"/>
                <w:color w:val="000000"/>
                <w:kern w:val="0"/>
                <w:sz w:val="24"/>
              </w:rPr>
            </w:pPr>
            <w:r>
              <w:rPr>
                <w:rFonts w:hint="eastAsia"/>
                <w:snapToGrid w:val="0"/>
                <w:color w:val="000000"/>
                <w:kern w:val="0"/>
                <w:sz w:val="24"/>
              </w:rPr>
              <w:t>②</w:t>
            </w:r>
            <w:r>
              <w:rPr>
                <w:snapToGrid w:val="0"/>
                <w:color w:val="000000"/>
                <w:kern w:val="0"/>
                <w:sz w:val="24"/>
              </w:rPr>
              <w:t>噪声传播途径控制</w:t>
            </w:r>
          </w:p>
          <w:p w14:paraId="16162D12">
            <w:pPr>
              <w:pStyle w:val="212"/>
              <w:ind w:firstLine="480"/>
            </w:pPr>
            <w:r>
              <w:t>按照要求设置隔声围挡，保护目标周围施工地的围挡采用高度不小于2m，长度不小于20m的彩钢瓦按照地形进行围挡</w:t>
            </w:r>
            <w:bookmarkStart w:id="140" w:name="OLE_LINK65"/>
            <w:r>
              <w:rPr>
                <w:rFonts w:hint="eastAsia"/>
              </w:rPr>
              <w:t>，在昼间施工期噪声超标的居民点一侧（菠萝塘、黑泥塘、酸多梨树、大龙潭、田尾坝、梁子上、炭山坡、杨家村、散户1、散户2、盐水沟）设置声屏障</w:t>
            </w:r>
            <w:bookmarkEnd w:id="140"/>
            <w:r>
              <w:rPr>
                <w:rFonts w:hint="eastAsia"/>
              </w:rPr>
              <w:t>。</w:t>
            </w:r>
          </w:p>
          <w:p w14:paraId="3EDCE516">
            <w:pPr>
              <w:spacing w:line="360" w:lineRule="auto"/>
              <w:ind w:firstLine="480" w:firstLineChars="200"/>
              <w:rPr>
                <w:snapToGrid w:val="0"/>
                <w:color w:val="000000"/>
                <w:kern w:val="0"/>
                <w:sz w:val="24"/>
              </w:rPr>
            </w:pPr>
            <w:r>
              <w:rPr>
                <w:rFonts w:hint="eastAsia"/>
                <w:snapToGrid w:val="0"/>
                <w:color w:val="000000"/>
                <w:kern w:val="0"/>
                <w:sz w:val="24"/>
              </w:rPr>
              <w:t>③</w:t>
            </w:r>
            <w:r>
              <w:rPr>
                <w:snapToGrid w:val="0"/>
                <w:color w:val="000000"/>
                <w:kern w:val="0"/>
                <w:sz w:val="24"/>
              </w:rPr>
              <w:t>管理方面</w:t>
            </w:r>
          </w:p>
          <w:p w14:paraId="44A95B9C">
            <w:pPr>
              <w:spacing w:line="360" w:lineRule="auto"/>
              <w:ind w:firstLine="480" w:firstLineChars="200"/>
              <w:rPr>
                <w:snapToGrid w:val="0"/>
                <w:color w:val="000000"/>
                <w:kern w:val="0"/>
                <w:sz w:val="24"/>
              </w:rPr>
            </w:pPr>
            <w:r>
              <w:rPr>
                <w:rFonts w:hint="eastAsia"/>
                <w:snapToGrid w:val="0"/>
                <w:color w:val="000000"/>
                <w:kern w:val="0"/>
                <w:sz w:val="24"/>
              </w:rPr>
              <w:t>a.</w:t>
            </w:r>
            <w:r>
              <w:rPr>
                <w:snapToGrid w:val="0"/>
                <w:color w:val="000000"/>
                <w:kern w:val="0"/>
                <w:sz w:val="24"/>
              </w:rPr>
              <w:t>合理安排施工时间，禁止夜间</w:t>
            </w:r>
            <w:r>
              <w:rPr>
                <w:rFonts w:hint="eastAsia"/>
                <w:snapToGrid w:val="0"/>
                <w:color w:val="000000"/>
                <w:kern w:val="0"/>
                <w:sz w:val="24"/>
              </w:rPr>
              <w:t>（2</w:t>
            </w:r>
            <w:r>
              <w:rPr>
                <w:snapToGrid w:val="0"/>
                <w:color w:val="000000"/>
                <w:kern w:val="0"/>
                <w:sz w:val="24"/>
              </w:rPr>
              <w:t>2</w:t>
            </w:r>
            <w:r>
              <w:rPr>
                <w:rFonts w:hint="eastAsia"/>
                <w:snapToGrid w:val="0"/>
                <w:color w:val="000000"/>
                <w:kern w:val="0"/>
                <w:sz w:val="24"/>
              </w:rPr>
              <w:t>:</w:t>
            </w:r>
            <w:r>
              <w:rPr>
                <w:snapToGrid w:val="0"/>
                <w:color w:val="000000"/>
                <w:kern w:val="0"/>
                <w:sz w:val="24"/>
              </w:rPr>
              <w:t>00-6</w:t>
            </w:r>
            <w:r>
              <w:rPr>
                <w:rFonts w:hint="eastAsia"/>
                <w:snapToGrid w:val="0"/>
                <w:color w:val="000000"/>
                <w:kern w:val="0"/>
                <w:sz w:val="24"/>
              </w:rPr>
              <w:t>:</w:t>
            </w:r>
            <w:r>
              <w:rPr>
                <w:snapToGrid w:val="0"/>
                <w:color w:val="000000"/>
                <w:kern w:val="0"/>
                <w:sz w:val="24"/>
              </w:rPr>
              <w:t>00</w:t>
            </w:r>
            <w:r>
              <w:rPr>
                <w:rFonts w:hint="eastAsia"/>
                <w:snapToGrid w:val="0"/>
                <w:color w:val="000000"/>
                <w:kern w:val="0"/>
                <w:sz w:val="24"/>
              </w:rPr>
              <w:t>）</w:t>
            </w:r>
            <w:r>
              <w:rPr>
                <w:snapToGrid w:val="0"/>
                <w:color w:val="000000"/>
                <w:kern w:val="0"/>
                <w:sz w:val="24"/>
              </w:rPr>
              <w:t>施工，</w:t>
            </w:r>
            <w:r>
              <w:rPr>
                <w:sz w:val="24"/>
                <w:szCs w:val="22"/>
              </w:rPr>
              <w:t>严格控制保护目标周边的施工时间，昼间施工时在中午午休</w:t>
            </w:r>
            <w:r>
              <w:rPr>
                <w:rFonts w:hint="eastAsia"/>
                <w:sz w:val="24"/>
                <w:szCs w:val="22"/>
              </w:rPr>
              <w:t>（</w:t>
            </w:r>
            <w:r>
              <w:rPr>
                <w:sz w:val="24"/>
                <w:szCs w:val="22"/>
              </w:rPr>
              <w:t>12</w:t>
            </w:r>
            <w:r>
              <w:rPr>
                <w:rFonts w:hint="eastAsia"/>
                <w:sz w:val="24"/>
                <w:szCs w:val="22"/>
              </w:rPr>
              <w:t>:</w:t>
            </w:r>
            <w:r>
              <w:rPr>
                <w:sz w:val="24"/>
                <w:szCs w:val="22"/>
              </w:rPr>
              <w:t>00-2</w:t>
            </w:r>
            <w:r>
              <w:rPr>
                <w:rFonts w:hint="eastAsia"/>
                <w:sz w:val="24"/>
                <w:szCs w:val="22"/>
              </w:rPr>
              <w:t>:</w:t>
            </w:r>
            <w:r>
              <w:rPr>
                <w:sz w:val="24"/>
                <w:szCs w:val="22"/>
              </w:rPr>
              <w:t>00</w:t>
            </w:r>
            <w:r>
              <w:rPr>
                <w:rFonts w:hint="eastAsia"/>
                <w:sz w:val="24"/>
                <w:szCs w:val="22"/>
              </w:rPr>
              <w:t>）</w:t>
            </w:r>
            <w:r>
              <w:rPr>
                <w:sz w:val="24"/>
                <w:szCs w:val="22"/>
              </w:rPr>
              <w:t>不施工。</w:t>
            </w:r>
          </w:p>
          <w:p w14:paraId="467EE2EA">
            <w:pPr>
              <w:spacing w:line="360" w:lineRule="auto"/>
              <w:ind w:firstLine="480" w:firstLineChars="200"/>
              <w:rPr>
                <w:rFonts w:hint="eastAsia"/>
                <w:sz w:val="24"/>
                <w:szCs w:val="22"/>
              </w:rPr>
            </w:pPr>
            <w:r>
              <w:rPr>
                <w:rFonts w:hint="eastAsia"/>
                <w:sz w:val="24"/>
                <w:szCs w:val="22"/>
              </w:rPr>
              <w:t>b.</w:t>
            </w:r>
            <w:bookmarkStart w:id="141" w:name="OLE_LINK36"/>
            <w:r>
              <w:rPr>
                <w:sz w:val="24"/>
                <w:szCs w:val="22"/>
              </w:rPr>
              <w:t>在保护目标周边的施工前张贴告示并</w:t>
            </w:r>
            <w:r>
              <w:rPr>
                <w:rFonts w:hint="eastAsia"/>
                <w:sz w:val="24"/>
                <w:szCs w:val="22"/>
              </w:rPr>
              <w:t>与</w:t>
            </w:r>
            <w:r>
              <w:rPr>
                <w:sz w:val="24"/>
                <w:szCs w:val="22"/>
              </w:rPr>
              <w:t>施工地点附近的居民进行沟通</w:t>
            </w:r>
            <w:r>
              <w:rPr>
                <w:rFonts w:hint="eastAsia"/>
                <w:sz w:val="24"/>
                <w:szCs w:val="22"/>
              </w:rPr>
              <w:t>，明确施工时段、施工内容、预计工期、环保管控措施及联系反馈方式，充分听取居民诉求，及时回应群众关切，减少施工过程噪声、扬尘等对居民生活带来的干扰。</w:t>
            </w:r>
            <w:bookmarkEnd w:id="141"/>
          </w:p>
          <w:p w14:paraId="7B09D688">
            <w:pPr>
              <w:spacing w:line="360" w:lineRule="auto"/>
              <w:ind w:firstLine="480" w:firstLineChars="200"/>
              <w:rPr>
                <w:sz w:val="24"/>
                <w:szCs w:val="22"/>
              </w:rPr>
            </w:pPr>
            <w:r>
              <w:rPr>
                <w:sz w:val="24"/>
                <w:szCs w:val="22"/>
              </w:rPr>
              <w:t>综上所述，上表中计算的距离衰减只是理论上的。根据实际经验，由于工程作业的地形限制，作业场所与保护目标有高差、传播路线有遮挡、每天的作业时间不连续等，根据对</w:t>
            </w:r>
            <w:r>
              <w:rPr>
                <w:rFonts w:hint="eastAsia"/>
                <w:sz w:val="24"/>
                <w:szCs w:val="22"/>
              </w:rPr>
              <w:t>其他</w:t>
            </w:r>
            <w:r>
              <w:rPr>
                <w:sz w:val="24"/>
                <w:szCs w:val="22"/>
              </w:rPr>
              <w:t>工程调查分析，项目建设噪声的实际影响时间和程度要较预测的小。采取以上措施后，能够较好</w:t>
            </w:r>
            <w:r>
              <w:rPr>
                <w:rFonts w:hint="eastAsia"/>
                <w:sz w:val="24"/>
                <w:szCs w:val="22"/>
              </w:rPr>
              <w:t>地</w:t>
            </w:r>
            <w:r>
              <w:rPr>
                <w:sz w:val="24"/>
                <w:szCs w:val="22"/>
              </w:rPr>
              <w:t>缓解施工声环境保护目标的影响。因此项目施工期噪声对保护目标的影响可以接受。</w:t>
            </w:r>
          </w:p>
          <w:p w14:paraId="54322207">
            <w:pPr>
              <w:spacing w:line="360" w:lineRule="auto"/>
              <w:ind w:firstLine="482" w:firstLineChars="200"/>
              <w:rPr>
                <w:rFonts w:hint="eastAsia"/>
                <w:b/>
                <w:bCs/>
                <w:sz w:val="24"/>
              </w:rPr>
            </w:pPr>
            <w:r>
              <w:rPr>
                <w:rFonts w:hint="eastAsia"/>
                <w:b/>
                <w:bCs/>
                <w:sz w:val="24"/>
              </w:rPr>
              <w:t>4）预测结果分析</w:t>
            </w:r>
          </w:p>
          <w:p w14:paraId="2A47A69E">
            <w:pPr>
              <w:spacing w:line="360" w:lineRule="auto"/>
              <w:ind w:firstLine="480" w:firstLineChars="200"/>
              <w:rPr>
                <w:rFonts w:ascii="宋体" w:cs="宋体"/>
                <w:sz w:val="24"/>
                <w:szCs w:val="24"/>
              </w:rPr>
            </w:pPr>
            <w:r>
              <w:rPr>
                <w:rFonts w:hint="eastAsia"/>
                <w:sz w:val="24"/>
              </w:rPr>
              <w:t>综上所述，采取了以上措施后，施工期噪声降低约1</w:t>
            </w:r>
            <w:r>
              <w:rPr>
                <w:sz w:val="24"/>
              </w:rPr>
              <w:t>5</w:t>
            </w:r>
            <w:r>
              <w:rPr>
                <w:rFonts w:hint="eastAsia"/>
                <w:sz w:val="24"/>
              </w:rPr>
              <w:t>d</w:t>
            </w:r>
            <w:r>
              <w:rPr>
                <w:sz w:val="24"/>
              </w:rPr>
              <w:t>B</w:t>
            </w:r>
            <w:r>
              <w:rPr>
                <w:rFonts w:hint="eastAsia"/>
                <w:sz w:val="24"/>
              </w:rPr>
              <w:t>（A），居民点昼间噪声在4</w:t>
            </w:r>
            <w:r>
              <w:rPr>
                <w:sz w:val="24"/>
              </w:rPr>
              <w:t>1</w:t>
            </w:r>
            <w:r>
              <w:rPr>
                <w:rFonts w:hint="eastAsia"/>
                <w:sz w:val="24"/>
              </w:rPr>
              <w:t>d</w:t>
            </w:r>
            <w:r>
              <w:rPr>
                <w:sz w:val="24"/>
              </w:rPr>
              <w:t>B</w:t>
            </w:r>
            <w:r>
              <w:rPr>
                <w:rFonts w:hint="eastAsia"/>
                <w:sz w:val="24"/>
              </w:rPr>
              <w:t>（A）~</w:t>
            </w:r>
            <w:r>
              <w:rPr>
                <w:sz w:val="24"/>
              </w:rPr>
              <w:t>56</w:t>
            </w:r>
            <w:r>
              <w:rPr>
                <w:rFonts w:hint="eastAsia"/>
                <w:sz w:val="24"/>
              </w:rPr>
              <w:t>d</w:t>
            </w:r>
            <w:r>
              <w:rPr>
                <w:sz w:val="24"/>
              </w:rPr>
              <w:t>B</w:t>
            </w:r>
            <w:r>
              <w:rPr>
                <w:rFonts w:hint="eastAsia"/>
                <w:sz w:val="24"/>
              </w:rPr>
              <w:t>（A）之间（详见表），满足</w:t>
            </w:r>
            <w:r>
              <w:rPr>
                <w:bCs/>
                <w:sz w:val="24"/>
              </w:rPr>
              <w:t>《声环境质量标准》（GB 3096-2008）</w:t>
            </w:r>
            <w:r>
              <w:rPr>
                <w:rFonts w:hint="eastAsia"/>
                <w:bCs/>
                <w:sz w:val="24"/>
              </w:rPr>
              <w:t>2</w:t>
            </w:r>
            <w:r>
              <w:rPr>
                <w:bCs/>
                <w:sz w:val="24"/>
              </w:rPr>
              <w:t>类</w:t>
            </w:r>
            <w:r>
              <w:rPr>
                <w:rFonts w:hint="eastAsia"/>
                <w:bCs/>
                <w:sz w:val="24"/>
              </w:rPr>
              <w:t>标准要求。</w:t>
            </w:r>
            <w:r>
              <w:rPr>
                <w:rFonts w:hint="eastAsia"/>
                <w:sz w:val="24"/>
              </w:rPr>
              <w:t>且施工机械噪声影响是暂时的，随着施工期结束而消失，施工期采取围挡施工、夜间禁止施工等措施后，施工噪声影响是可以接受的。运输车辆经过声环境保护目标时，只要采取减速行驶、禁鸣等措施后，可以减小噪声对所经过声环境保护目标的声环境影响。施工</w:t>
            </w:r>
            <w:r>
              <w:rPr>
                <w:rFonts w:hint="eastAsia" w:ascii="宋体" w:cs="宋体"/>
                <w:sz w:val="24"/>
                <w:szCs w:val="24"/>
              </w:rPr>
              <w:t>噪声将随着施工活动的结束而消失。因此施工噪声对保护目标的影响可以接受。</w:t>
            </w:r>
          </w:p>
          <w:p w14:paraId="1724B51E">
            <w:pPr>
              <w:adjustRightInd w:val="0"/>
              <w:snapToGrid w:val="0"/>
              <w:spacing w:line="360" w:lineRule="auto"/>
              <w:jc w:val="center"/>
              <w:rPr>
                <w:b/>
                <w:bCs/>
                <w:snapToGrid w:val="0"/>
                <w:kern w:val="0"/>
                <w:sz w:val="24"/>
                <w:szCs w:val="24"/>
              </w:rPr>
            </w:pPr>
            <w:r>
              <w:rPr>
                <w:rFonts w:hint="eastAsia"/>
                <w:b/>
                <w:bCs/>
                <w:snapToGrid w:val="0"/>
                <w:kern w:val="0"/>
                <w:sz w:val="24"/>
                <w:szCs w:val="24"/>
              </w:rPr>
              <w:t>表4.1.3-</w:t>
            </w:r>
            <w:r>
              <w:rPr>
                <w:b/>
                <w:bCs/>
                <w:snapToGrid w:val="0"/>
                <w:kern w:val="0"/>
                <w:sz w:val="24"/>
                <w:szCs w:val="24"/>
              </w:rPr>
              <w:t>4</w:t>
            </w:r>
            <w:r>
              <w:rPr>
                <w:rFonts w:hint="eastAsia"/>
                <w:b/>
                <w:bCs/>
                <w:snapToGrid w:val="0"/>
                <w:kern w:val="0"/>
                <w:sz w:val="24"/>
                <w:szCs w:val="24"/>
              </w:rPr>
              <w:t xml:space="preserve">  采取措施后环境保护目标噪声预测结果 </w:t>
            </w:r>
            <w:r>
              <w:rPr>
                <w:b/>
                <w:bCs/>
                <w:snapToGrid w:val="0"/>
                <w:kern w:val="0"/>
                <w:sz w:val="24"/>
                <w:szCs w:val="24"/>
              </w:rPr>
              <w:t xml:space="preserve"> </w:t>
            </w:r>
            <w:r>
              <w:rPr>
                <w:rFonts w:hint="eastAsia"/>
                <w:b/>
                <w:bCs/>
                <w:snapToGrid w:val="0"/>
                <w:kern w:val="0"/>
                <w:sz w:val="24"/>
                <w:szCs w:val="24"/>
              </w:rPr>
              <w:t>单位：</w:t>
            </w:r>
            <w:r>
              <w:rPr>
                <w:b/>
                <w:bCs/>
                <w:snapToGrid w:val="0"/>
                <w:kern w:val="0"/>
                <w:sz w:val="24"/>
                <w:szCs w:val="24"/>
              </w:rPr>
              <w:t>dB(A)</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1"/>
              <w:gridCol w:w="1844"/>
              <w:gridCol w:w="1703"/>
              <w:gridCol w:w="1551"/>
            </w:tblGrid>
            <w:tr w14:paraId="49E9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3545" w:type="dxa"/>
                  <w:vMerge w:val="restart"/>
                  <w:vAlign w:val="center"/>
                </w:tcPr>
                <w:p w14:paraId="58FBE179">
                  <w:pPr>
                    <w:adjustRightInd w:val="0"/>
                    <w:snapToGrid w:val="0"/>
                    <w:jc w:val="center"/>
                    <w:rPr>
                      <w:b/>
                      <w:bCs/>
                    </w:rPr>
                  </w:pPr>
                  <w:r>
                    <w:rPr>
                      <w:b/>
                      <w:bCs/>
                    </w:rPr>
                    <w:t>声环境保护目标名称</w:t>
                  </w:r>
                </w:p>
              </w:tc>
              <w:tc>
                <w:tcPr>
                  <w:tcW w:w="1843" w:type="dxa"/>
                  <w:vAlign w:val="center"/>
                </w:tcPr>
                <w:p w14:paraId="2039EB64">
                  <w:pPr>
                    <w:adjustRightInd w:val="0"/>
                    <w:snapToGrid w:val="0"/>
                    <w:jc w:val="center"/>
                    <w:rPr>
                      <w:rFonts w:hint="eastAsia"/>
                      <w:b/>
                      <w:bCs/>
                    </w:rPr>
                  </w:pPr>
                  <w:r>
                    <w:rPr>
                      <w:b/>
                      <w:bCs/>
                    </w:rPr>
                    <w:t>噪声预测值</w:t>
                  </w:r>
                </w:p>
              </w:tc>
              <w:tc>
                <w:tcPr>
                  <w:tcW w:w="1701" w:type="dxa"/>
                  <w:vAlign w:val="center"/>
                </w:tcPr>
                <w:p w14:paraId="724F0EB0">
                  <w:pPr>
                    <w:adjustRightInd w:val="0"/>
                    <w:snapToGrid w:val="0"/>
                    <w:jc w:val="center"/>
                    <w:rPr>
                      <w:rFonts w:hint="eastAsia"/>
                      <w:b/>
                      <w:bCs/>
                    </w:rPr>
                  </w:pPr>
                  <w:r>
                    <w:rPr>
                      <w:b/>
                      <w:bCs/>
                    </w:rPr>
                    <w:t>噪声标准</w:t>
                  </w:r>
                </w:p>
              </w:tc>
              <w:tc>
                <w:tcPr>
                  <w:tcW w:w="1549" w:type="dxa"/>
                  <w:vAlign w:val="center"/>
                </w:tcPr>
                <w:p w14:paraId="5277ECE8">
                  <w:pPr>
                    <w:adjustRightInd w:val="0"/>
                    <w:snapToGrid w:val="0"/>
                    <w:jc w:val="center"/>
                    <w:rPr>
                      <w:b/>
                      <w:bCs/>
                    </w:rPr>
                  </w:pPr>
                  <w:r>
                    <w:rPr>
                      <w:b/>
                      <w:bCs/>
                    </w:rPr>
                    <w:t>超标情况</w:t>
                  </w:r>
                </w:p>
              </w:tc>
            </w:tr>
            <w:tr w14:paraId="575C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3545" w:type="dxa"/>
                  <w:vMerge w:val="continue"/>
                  <w:vAlign w:val="center"/>
                </w:tcPr>
                <w:p w14:paraId="39C83EA0">
                  <w:pPr>
                    <w:adjustRightInd w:val="0"/>
                    <w:snapToGrid w:val="0"/>
                    <w:jc w:val="center"/>
                    <w:rPr>
                      <w:b/>
                      <w:bCs/>
                    </w:rPr>
                  </w:pPr>
                </w:p>
              </w:tc>
              <w:tc>
                <w:tcPr>
                  <w:tcW w:w="1843" w:type="dxa"/>
                  <w:vAlign w:val="center"/>
                </w:tcPr>
                <w:p w14:paraId="641B8934">
                  <w:pPr>
                    <w:adjustRightInd w:val="0"/>
                    <w:snapToGrid w:val="0"/>
                    <w:jc w:val="center"/>
                    <w:rPr>
                      <w:b/>
                      <w:bCs/>
                    </w:rPr>
                  </w:pPr>
                  <w:r>
                    <w:rPr>
                      <w:b/>
                      <w:bCs/>
                    </w:rPr>
                    <w:t>昼间</w:t>
                  </w:r>
                </w:p>
              </w:tc>
              <w:tc>
                <w:tcPr>
                  <w:tcW w:w="1701" w:type="dxa"/>
                  <w:vAlign w:val="center"/>
                </w:tcPr>
                <w:p w14:paraId="48DFE898">
                  <w:pPr>
                    <w:adjustRightInd w:val="0"/>
                    <w:snapToGrid w:val="0"/>
                    <w:jc w:val="center"/>
                    <w:rPr>
                      <w:b/>
                      <w:bCs/>
                    </w:rPr>
                  </w:pPr>
                  <w:r>
                    <w:rPr>
                      <w:b/>
                      <w:bCs/>
                    </w:rPr>
                    <w:t>昼间</w:t>
                  </w:r>
                </w:p>
              </w:tc>
              <w:tc>
                <w:tcPr>
                  <w:tcW w:w="1549" w:type="dxa"/>
                  <w:vAlign w:val="center"/>
                </w:tcPr>
                <w:p w14:paraId="708698D8">
                  <w:pPr>
                    <w:adjustRightInd w:val="0"/>
                    <w:snapToGrid w:val="0"/>
                    <w:jc w:val="center"/>
                    <w:rPr>
                      <w:rFonts w:hint="eastAsia"/>
                      <w:b/>
                      <w:bCs/>
                    </w:rPr>
                  </w:pPr>
                  <w:r>
                    <w:rPr>
                      <w:b/>
                      <w:bCs/>
                    </w:rPr>
                    <w:t>昼间</w:t>
                  </w:r>
                </w:p>
              </w:tc>
            </w:tr>
            <w:tr w14:paraId="7123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45" w:type="dxa"/>
                  <w:vAlign w:val="center"/>
                </w:tcPr>
                <w:p w14:paraId="77984A3A">
                  <w:pPr>
                    <w:adjustRightInd w:val="0"/>
                    <w:snapToGrid w:val="0"/>
                    <w:jc w:val="center"/>
                    <w:rPr>
                      <w:b/>
                      <w:bCs/>
                    </w:rPr>
                  </w:pPr>
                  <w:r>
                    <w:rPr>
                      <w:rFonts w:hint="eastAsia"/>
                    </w:rPr>
                    <w:t>菠萝塘居民点</w:t>
                  </w:r>
                </w:p>
              </w:tc>
              <w:tc>
                <w:tcPr>
                  <w:tcW w:w="1843" w:type="dxa"/>
                  <w:vAlign w:val="center"/>
                </w:tcPr>
                <w:p w14:paraId="067EDBEA">
                  <w:pPr>
                    <w:jc w:val="center"/>
                    <w:rPr>
                      <w:kern w:val="0"/>
                    </w:rPr>
                  </w:pPr>
                  <w:r>
                    <w:rPr>
                      <w:color w:val="000000"/>
                    </w:rPr>
                    <w:t>44</w:t>
                  </w:r>
                </w:p>
              </w:tc>
              <w:tc>
                <w:tcPr>
                  <w:tcW w:w="1701" w:type="dxa"/>
                  <w:vAlign w:val="center"/>
                </w:tcPr>
                <w:p w14:paraId="6F134A35">
                  <w:pPr>
                    <w:jc w:val="center"/>
                    <w:rPr>
                      <w:kern w:val="0"/>
                    </w:rPr>
                  </w:pPr>
                  <w:r>
                    <w:rPr>
                      <w:kern w:val="0"/>
                    </w:rPr>
                    <w:t>60</w:t>
                  </w:r>
                </w:p>
              </w:tc>
              <w:tc>
                <w:tcPr>
                  <w:tcW w:w="1549" w:type="dxa"/>
                  <w:vAlign w:val="center"/>
                </w:tcPr>
                <w:p w14:paraId="08CA61ED">
                  <w:pPr>
                    <w:jc w:val="center"/>
                    <w:rPr>
                      <w:kern w:val="0"/>
                    </w:rPr>
                  </w:pPr>
                  <w:bookmarkStart w:id="142" w:name="OLE_LINK91"/>
                  <w:r>
                    <w:rPr>
                      <w:rFonts w:hint="eastAsia"/>
                      <w:kern w:val="0"/>
                    </w:rPr>
                    <w:t>达标</w:t>
                  </w:r>
                  <w:bookmarkEnd w:id="142"/>
                </w:p>
              </w:tc>
            </w:tr>
            <w:tr w14:paraId="489B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45" w:type="dxa"/>
                  <w:vAlign w:val="center"/>
                </w:tcPr>
                <w:p w14:paraId="761F7C0E">
                  <w:pPr>
                    <w:adjustRightInd w:val="0"/>
                    <w:snapToGrid w:val="0"/>
                    <w:jc w:val="center"/>
                    <w:rPr>
                      <w:b/>
                      <w:bCs/>
                    </w:rPr>
                  </w:pPr>
                  <w:r>
                    <w:rPr>
                      <w:rFonts w:hint="eastAsia"/>
                    </w:rPr>
                    <w:t>黑泥塘居民点</w:t>
                  </w:r>
                </w:p>
              </w:tc>
              <w:tc>
                <w:tcPr>
                  <w:tcW w:w="1843" w:type="dxa"/>
                  <w:vAlign w:val="center"/>
                </w:tcPr>
                <w:p w14:paraId="4FB6DFE7">
                  <w:pPr>
                    <w:jc w:val="center"/>
                    <w:rPr>
                      <w:kern w:val="0"/>
                    </w:rPr>
                  </w:pPr>
                  <w:r>
                    <w:rPr>
                      <w:rFonts w:hint="eastAsia"/>
                    </w:rPr>
                    <w:t>5</w:t>
                  </w:r>
                  <w:r>
                    <w:t>0</w:t>
                  </w:r>
                </w:p>
              </w:tc>
              <w:tc>
                <w:tcPr>
                  <w:tcW w:w="1701" w:type="dxa"/>
                  <w:vAlign w:val="center"/>
                </w:tcPr>
                <w:p w14:paraId="30921B94">
                  <w:pPr>
                    <w:jc w:val="center"/>
                    <w:rPr>
                      <w:kern w:val="0"/>
                    </w:rPr>
                  </w:pPr>
                  <w:r>
                    <w:rPr>
                      <w:kern w:val="0"/>
                    </w:rPr>
                    <w:t>60</w:t>
                  </w:r>
                </w:p>
              </w:tc>
              <w:tc>
                <w:tcPr>
                  <w:tcW w:w="1549" w:type="dxa"/>
                  <w:vAlign w:val="center"/>
                </w:tcPr>
                <w:p w14:paraId="3EC507BE">
                  <w:pPr>
                    <w:jc w:val="center"/>
                    <w:rPr>
                      <w:kern w:val="0"/>
                    </w:rPr>
                  </w:pPr>
                  <w:r>
                    <w:rPr>
                      <w:rFonts w:hint="eastAsia"/>
                      <w:kern w:val="0"/>
                    </w:rPr>
                    <w:t>达标</w:t>
                  </w:r>
                </w:p>
              </w:tc>
            </w:tr>
            <w:tr w14:paraId="7CB3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45" w:type="dxa"/>
                  <w:vAlign w:val="center"/>
                </w:tcPr>
                <w:p w14:paraId="4F7B09C2">
                  <w:pPr>
                    <w:adjustRightInd w:val="0"/>
                    <w:snapToGrid w:val="0"/>
                    <w:jc w:val="center"/>
                  </w:pPr>
                  <w:r>
                    <w:rPr>
                      <w:rFonts w:hint="eastAsia"/>
                    </w:rPr>
                    <w:t>酸多梨树居民点</w:t>
                  </w:r>
                </w:p>
              </w:tc>
              <w:tc>
                <w:tcPr>
                  <w:tcW w:w="1843" w:type="dxa"/>
                  <w:vAlign w:val="center"/>
                </w:tcPr>
                <w:p w14:paraId="6FA395D2">
                  <w:pPr>
                    <w:jc w:val="center"/>
                    <w:rPr>
                      <w:kern w:val="0"/>
                    </w:rPr>
                  </w:pPr>
                  <w:r>
                    <w:rPr>
                      <w:rFonts w:hint="eastAsia"/>
                    </w:rPr>
                    <w:t>5</w:t>
                  </w:r>
                  <w:r>
                    <w:t>0</w:t>
                  </w:r>
                </w:p>
              </w:tc>
              <w:tc>
                <w:tcPr>
                  <w:tcW w:w="1701" w:type="dxa"/>
                  <w:vAlign w:val="center"/>
                </w:tcPr>
                <w:p w14:paraId="5D982E6C">
                  <w:pPr>
                    <w:jc w:val="center"/>
                    <w:rPr>
                      <w:kern w:val="0"/>
                    </w:rPr>
                  </w:pPr>
                  <w:r>
                    <w:rPr>
                      <w:kern w:val="0"/>
                    </w:rPr>
                    <w:t>60</w:t>
                  </w:r>
                </w:p>
              </w:tc>
              <w:tc>
                <w:tcPr>
                  <w:tcW w:w="1549" w:type="dxa"/>
                  <w:vAlign w:val="center"/>
                </w:tcPr>
                <w:p w14:paraId="27DCBBC7">
                  <w:pPr>
                    <w:jc w:val="center"/>
                    <w:rPr>
                      <w:kern w:val="0"/>
                    </w:rPr>
                  </w:pPr>
                  <w:r>
                    <w:rPr>
                      <w:rFonts w:hint="eastAsia"/>
                      <w:kern w:val="0"/>
                    </w:rPr>
                    <w:t>达标</w:t>
                  </w:r>
                </w:p>
              </w:tc>
            </w:tr>
            <w:tr w14:paraId="3928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3545" w:type="dxa"/>
                  <w:vAlign w:val="center"/>
                </w:tcPr>
                <w:p w14:paraId="047EB4D6">
                  <w:pPr>
                    <w:adjustRightInd w:val="0"/>
                    <w:snapToGrid w:val="0"/>
                    <w:jc w:val="center"/>
                    <w:rPr>
                      <w:b/>
                      <w:bCs/>
                    </w:rPr>
                  </w:pPr>
                  <w:r>
                    <w:rPr>
                      <w:rFonts w:hint="eastAsia"/>
                    </w:rPr>
                    <w:t>大龙潭居民点</w:t>
                  </w:r>
                </w:p>
              </w:tc>
              <w:tc>
                <w:tcPr>
                  <w:tcW w:w="1843" w:type="dxa"/>
                  <w:vAlign w:val="center"/>
                </w:tcPr>
                <w:p w14:paraId="31E38BB2">
                  <w:pPr>
                    <w:jc w:val="center"/>
                    <w:rPr>
                      <w:kern w:val="0"/>
                    </w:rPr>
                  </w:pPr>
                  <w:r>
                    <w:rPr>
                      <w:rFonts w:hint="eastAsia"/>
                    </w:rPr>
                    <w:t>3</w:t>
                  </w:r>
                  <w:r>
                    <w:t>6</w:t>
                  </w:r>
                </w:p>
              </w:tc>
              <w:tc>
                <w:tcPr>
                  <w:tcW w:w="1701" w:type="dxa"/>
                  <w:vAlign w:val="center"/>
                </w:tcPr>
                <w:p w14:paraId="7DFA2BE3">
                  <w:pPr>
                    <w:jc w:val="center"/>
                    <w:rPr>
                      <w:kern w:val="0"/>
                    </w:rPr>
                  </w:pPr>
                  <w:r>
                    <w:rPr>
                      <w:kern w:val="0"/>
                    </w:rPr>
                    <w:t>60</w:t>
                  </w:r>
                </w:p>
              </w:tc>
              <w:tc>
                <w:tcPr>
                  <w:tcW w:w="1549" w:type="dxa"/>
                  <w:vAlign w:val="center"/>
                </w:tcPr>
                <w:p w14:paraId="2E1FC1A6">
                  <w:pPr>
                    <w:jc w:val="center"/>
                    <w:rPr>
                      <w:kern w:val="0"/>
                    </w:rPr>
                  </w:pPr>
                  <w:r>
                    <w:rPr>
                      <w:rFonts w:hint="eastAsia"/>
                      <w:kern w:val="0"/>
                    </w:rPr>
                    <w:t>达标</w:t>
                  </w:r>
                </w:p>
              </w:tc>
            </w:tr>
            <w:tr w14:paraId="5A1C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3545" w:type="dxa"/>
                  <w:vAlign w:val="center"/>
                </w:tcPr>
                <w:p w14:paraId="67755CD9">
                  <w:pPr>
                    <w:pStyle w:val="95"/>
                    <w:spacing w:before="0" w:after="0"/>
                    <w:rPr>
                      <w:szCs w:val="21"/>
                    </w:rPr>
                  </w:pPr>
                  <w:r>
                    <w:rPr>
                      <w:rFonts w:hint="eastAsia"/>
                    </w:rPr>
                    <w:t>田尾坝居民点</w:t>
                  </w:r>
                </w:p>
              </w:tc>
              <w:tc>
                <w:tcPr>
                  <w:tcW w:w="1843" w:type="dxa"/>
                  <w:vAlign w:val="center"/>
                </w:tcPr>
                <w:p w14:paraId="0B59457C">
                  <w:pPr>
                    <w:jc w:val="center"/>
                    <w:rPr>
                      <w:kern w:val="0"/>
                    </w:rPr>
                  </w:pPr>
                  <w:r>
                    <w:rPr>
                      <w:rFonts w:hint="eastAsia"/>
                    </w:rPr>
                    <w:t>5</w:t>
                  </w:r>
                  <w:r>
                    <w:t>0</w:t>
                  </w:r>
                </w:p>
              </w:tc>
              <w:tc>
                <w:tcPr>
                  <w:tcW w:w="1701" w:type="dxa"/>
                  <w:vAlign w:val="center"/>
                </w:tcPr>
                <w:p w14:paraId="77007EEC">
                  <w:pPr>
                    <w:jc w:val="center"/>
                    <w:rPr>
                      <w:kern w:val="0"/>
                    </w:rPr>
                  </w:pPr>
                  <w:r>
                    <w:rPr>
                      <w:kern w:val="0"/>
                    </w:rPr>
                    <w:t>60</w:t>
                  </w:r>
                </w:p>
              </w:tc>
              <w:tc>
                <w:tcPr>
                  <w:tcW w:w="1549" w:type="dxa"/>
                  <w:vAlign w:val="center"/>
                </w:tcPr>
                <w:p w14:paraId="0D8003C6">
                  <w:pPr>
                    <w:jc w:val="center"/>
                    <w:rPr>
                      <w:kern w:val="0"/>
                    </w:rPr>
                  </w:pPr>
                  <w:r>
                    <w:rPr>
                      <w:rFonts w:hint="eastAsia"/>
                      <w:kern w:val="0"/>
                    </w:rPr>
                    <w:t>达标</w:t>
                  </w:r>
                </w:p>
              </w:tc>
            </w:tr>
            <w:tr w14:paraId="2209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45" w:type="dxa"/>
                  <w:vAlign w:val="center"/>
                </w:tcPr>
                <w:p w14:paraId="0A1E5296">
                  <w:pPr>
                    <w:pStyle w:val="95"/>
                    <w:spacing w:before="0" w:after="0"/>
                    <w:rPr>
                      <w:szCs w:val="21"/>
                    </w:rPr>
                  </w:pPr>
                  <w:r>
                    <w:rPr>
                      <w:rFonts w:hint="eastAsia"/>
                    </w:rPr>
                    <w:t>梁子上居民点</w:t>
                  </w:r>
                </w:p>
              </w:tc>
              <w:tc>
                <w:tcPr>
                  <w:tcW w:w="1843" w:type="dxa"/>
                  <w:vAlign w:val="center"/>
                </w:tcPr>
                <w:p w14:paraId="1200573E">
                  <w:pPr>
                    <w:jc w:val="center"/>
                    <w:rPr>
                      <w:kern w:val="0"/>
                    </w:rPr>
                  </w:pPr>
                  <w:r>
                    <w:rPr>
                      <w:rFonts w:hint="eastAsia"/>
                    </w:rPr>
                    <w:t>5</w:t>
                  </w:r>
                  <w:r>
                    <w:t>0</w:t>
                  </w:r>
                </w:p>
              </w:tc>
              <w:tc>
                <w:tcPr>
                  <w:tcW w:w="1701" w:type="dxa"/>
                  <w:vAlign w:val="center"/>
                </w:tcPr>
                <w:p w14:paraId="37EA55A1">
                  <w:pPr>
                    <w:jc w:val="center"/>
                    <w:rPr>
                      <w:kern w:val="0"/>
                    </w:rPr>
                  </w:pPr>
                  <w:r>
                    <w:rPr>
                      <w:kern w:val="0"/>
                    </w:rPr>
                    <w:t>60</w:t>
                  </w:r>
                </w:p>
              </w:tc>
              <w:tc>
                <w:tcPr>
                  <w:tcW w:w="1549" w:type="dxa"/>
                  <w:vAlign w:val="center"/>
                </w:tcPr>
                <w:p w14:paraId="0F5307AB">
                  <w:pPr>
                    <w:jc w:val="center"/>
                    <w:rPr>
                      <w:kern w:val="0"/>
                    </w:rPr>
                  </w:pPr>
                  <w:r>
                    <w:rPr>
                      <w:rFonts w:hint="eastAsia"/>
                      <w:kern w:val="0"/>
                    </w:rPr>
                    <w:t>达标</w:t>
                  </w:r>
                </w:p>
              </w:tc>
            </w:tr>
            <w:tr w14:paraId="67EE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45" w:type="dxa"/>
                  <w:vAlign w:val="center"/>
                </w:tcPr>
                <w:p w14:paraId="18C1D1B5">
                  <w:pPr>
                    <w:pStyle w:val="95"/>
                    <w:spacing w:before="0" w:after="0"/>
                    <w:rPr>
                      <w:rFonts w:hint="eastAsia"/>
                      <w:szCs w:val="21"/>
                    </w:rPr>
                  </w:pPr>
                  <w:r>
                    <w:rPr>
                      <w:rFonts w:hint="eastAsia"/>
                    </w:rPr>
                    <w:t>炭山坡居民点</w:t>
                  </w:r>
                </w:p>
              </w:tc>
              <w:tc>
                <w:tcPr>
                  <w:tcW w:w="1843" w:type="dxa"/>
                  <w:vAlign w:val="center"/>
                </w:tcPr>
                <w:p w14:paraId="4F3697CB">
                  <w:pPr>
                    <w:jc w:val="center"/>
                    <w:rPr>
                      <w:rFonts w:hint="eastAsia"/>
                      <w:kern w:val="0"/>
                    </w:rPr>
                  </w:pPr>
                  <w:r>
                    <w:rPr>
                      <w:rFonts w:hint="eastAsia"/>
                    </w:rPr>
                    <w:t>5</w:t>
                  </w:r>
                  <w:r>
                    <w:t>6</w:t>
                  </w:r>
                </w:p>
              </w:tc>
              <w:tc>
                <w:tcPr>
                  <w:tcW w:w="1701" w:type="dxa"/>
                  <w:vAlign w:val="center"/>
                </w:tcPr>
                <w:p w14:paraId="15C2593A">
                  <w:pPr>
                    <w:jc w:val="center"/>
                    <w:rPr>
                      <w:rFonts w:hint="eastAsia"/>
                      <w:kern w:val="0"/>
                    </w:rPr>
                  </w:pPr>
                  <w:r>
                    <w:rPr>
                      <w:kern w:val="0"/>
                    </w:rPr>
                    <w:t>60</w:t>
                  </w:r>
                </w:p>
              </w:tc>
              <w:tc>
                <w:tcPr>
                  <w:tcW w:w="1549" w:type="dxa"/>
                  <w:vAlign w:val="center"/>
                </w:tcPr>
                <w:p w14:paraId="320D904B">
                  <w:pPr>
                    <w:jc w:val="center"/>
                    <w:rPr>
                      <w:rFonts w:hint="eastAsia"/>
                      <w:kern w:val="0"/>
                    </w:rPr>
                  </w:pPr>
                  <w:r>
                    <w:rPr>
                      <w:rFonts w:hint="eastAsia"/>
                      <w:kern w:val="0"/>
                    </w:rPr>
                    <w:t>达标</w:t>
                  </w:r>
                </w:p>
              </w:tc>
            </w:tr>
            <w:tr w14:paraId="5B10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45" w:type="dxa"/>
                  <w:vAlign w:val="center"/>
                </w:tcPr>
                <w:p w14:paraId="6949AE81">
                  <w:pPr>
                    <w:pStyle w:val="95"/>
                    <w:spacing w:before="0" w:after="0"/>
                    <w:rPr>
                      <w:rFonts w:hint="eastAsia"/>
                      <w:szCs w:val="21"/>
                    </w:rPr>
                  </w:pPr>
                  <w:r>
                    <w:rPr>
                      <w:rFonts w:hint="eastAsia"/>
                    </w:rPr>
                    <w:t>杨家村居民点</w:t>
                  </w:r>
                </w:p>
              </w:tc>
              <w:tc>
                <w:tcPr>
                  <w:tcW w:w="1843" w:type="dxa"/>
                  <w:vAlign w:val="center"/>
                </w:tcPr>
                <w:p w14:paraId="5EF65164">
                  <w:pPr>
                    <w:jc w:val="center"/>
                    <w:rPr>
                      <w:rFonts w:hint="eastAsia"/>
                      <w:kern w:val="0"/>
                    </w:rPr>
                  </w:pPr>
                  <w:r>
                    <w:rPr>
                      <w:rFonts w:hint="eastAsia"/>
                    </w:rPr>
                    <w:t>5</w:t>
                  </w:r>
                  <w:r>
                    <w:t>6</w:t>
                  </w:r>
                </w:p>
              </w:tc>
              <w:tc>
                <w:tcPr>
                  <w:tcW w:w="1701" w:type="dxa"/>
                  <w:vAlign w:val="center"/>
                </w:tcPr>
                <w:p w14:paraId="2112CD2C">
                  <w:pPr>
                    <w:jc w:val="center"/>
                    <w:rPr>
                      <w:rFonts w:hint="eastAsia"/>
                      <w:kern w:val="0"/>
                    </w:rPr>
                  </w:pPr>
                  <w:r>
                    <w:rPr>
                      <w:kern w:val="0"/>
                    </w:rPr>
                    <w:t>60</w:t>
                  </w:r>
                </w:p>
              </w:tc>
              <w:tc>
                <w:tcPr>
                  <w:tcW w:w="1549" w:type="dxa"/>
                  <w:vAlign w:val="center"/>
                </w:tcPr>
                <w:p w14:paraId="677288AF">
                  <w:pPr>
                    <w:jc w:val="center"/>
                    <w:rPr>
                      <w:rFonts w:hint="eastAsia"/>
                      <w:kern w:val="0"/>
                    </w:rPr>
                  </w:pPr>
                  <w:r>
                    <w:rPr>
                      <w:rFonts w:hint="eastAsia"/>
                      <w:kern w:val="0"/>
                    </w:rPr>
                    <w:t>达标</w:t>
                  </w:r>
                </w:p>
              </w:tc>
            </w:tr>
            <w:tr w14:paraId="2D39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45" w:type="dxa"/>
                  <w:vAlign w:val="center"/>
                </w:tcPr>
                <w:p w14:paraId="0D957A07">
                  <w:pPr>
                    <w:pStyle w:val="95"/>
                    <w:spacing w:before="0" w:after="0"/>
                    <w:rPr>
                      <w:rFonts w:hint="eastAsia"/>
                      <w:szCs w:val="21"/>
                    </w:rPr>
                  </w:pPr>
                  <w:r>
                    <w:rPr>
                      <w:rFonts w:hint="eastAsia"/>
                    </w:rPr>
                    <w:t>散户1</w:t>
                  </w:r>
                </w:p>
              </w:tc>
              <w:tc>
                <w:tcPr>
                  <w:tcW w:w="1843" w:type="dxa"/>
                  <w:vAlign w:val="center"/>
                </w:tcPr>
                <w:p w14:paraId="3F598338">
                  <w:pPr>
                    <w:jc w:val="center"/>
                    <w:rPr>
                      <w:rFonts w:hint="eastAsia"/>
                      <w:kern w:val="0"/>
                    </w:rPr>
                  </w:pPr>
                  <w:r>
                    <w:rPr>
                      <w:rFonts w:hint="eastAsia"/>
                    </w:rPr>
                    <w:t>4</w:t>
                  </w:r>
                  <w:r>
                    <w:t>1</w:t>
                  </w:r>
                </w:p>
              </w:tc>
              <w:tc>
                <w:tcPr>
                  <w:tcW w:w="1701" w:type="dxa"/>
                  <w:vAlign w:val="center"/>
                </w:tcPr>
                <w:p w14:paraId="1D6A7A03">
                  <w:pPr>
                    <w:jc w:val="center"/>
                    <w:rPr>
                      <w:rFonts w:hint="eastAsia"/>
                      <w:kern w:val="0"/>
                    </w:rPr>
                  </w:pPr>
                  <w:r>
                    <w:rPr>
                      <w:kern w:val="0"/>
                    </w:rPr>
                    <w:t>60</w:t>
                  </w:r>
                </w:p>
              </w:tc>
              <w:tc>
                <w:tcPr>
                  <w:tcW w:w="1549" w:type="dxa"/>
                  <w:vAlign w:val="center"/>
                </w:tcPr>
                <w:p w14:paraId="5B7A9DB2">
                  <w:pPr>
                    <w:jc w:val="center"/>
                    <w:rPr>
                      <w:rFonts w:hint="eastAsia"/>
                      <w:kern w:val="0"/>
                    </w:rPr>
                  </w:pPr>
                  <w:r>
                    <w:rPr>
                      <w:rFonts w:hint="eastAsia"/>
                      <w:kern w:val="0"/>
                    </w:rPr>
                    <w:t>达标</w:t>
                  </w:r>
                </w:p>
              </w:tc>
            </w:tr>
            <w:tr w14:paraId="1331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45" w:type="dxa"/>
                  <w:vAlign w:val="center"/>
                </w:tcPr>
                <w:p w14:paraId="2142A260">
                  <w:pPr>
                    <w:pStyle w:val="95"/>
                    <w:spacing w:before="0" w:after="0"/>
                    <w:rPr>
                      <w:rFonts w:hint="eastAsia"/>
                      <w:szCs w:val="21"/>
                    </w:rPr>
                  </w:pPr>
                  <w:r>
                    <w:rPr>
                      <w:rFonts w:hint="eastAsia"/>
                    </w:rPr>
                    <w:t>散户2</w:t>
                  </w:r>
                </w:p>
              </w:tc>
              <w:tc>
                <w:tcPr>
                  <w:tcW w:w="1843" w:type="dxa"/>
                  <w:vAlign w:val="center"/>
                </w:tcPr>
                <w:p w14:paraId="320158B7">
                  <w:pPr>
                    <w:jc w:val="center"/>
                    <w:rPr>
                      <w:rFonts w:hint="eastAsia"/>
                      <w:kern w:val="0"/>
                    </w:rPr>
                  </w:pPr>
                  <w:r>
                    <w:rPr>
                      <w:rFonts w:hint="eastAsia"/>
                    </w:rPr>
                    <w:t>5</w:t>
                  </w:r>
                  <w:r>
                    <w:t>4</w:t>
                  </w:r>
                </w:p>
              </w:tc>
              <w:tc>
                <w:tcPr>
                  <w:tcW w:w="1701" w:type="dxa"/>
                  <w:vAlign w:val="center"/>
                </w:tcPr>
                <w:p w14:paraId="664E60DA">
                  <w:pPr>
                    <w:jc w:val="center"/>
                    <w:rPr>
                      <w:rFonts w:hint="eastAsia"/>
                      <w:kern w:val="0"/>
                    </w:rPr>
                  </w:pPr>
                  <w:r>
                    <w:rPr>
                      <w:kern w:val="0"/>
                    </w:rPr>
                    <w:t>60</w:t>
                  </w:r>
                </w:p>
              </w:tc>
              <w:tc>
                <w:tcPr>
                  <w:tcW w:w="1549" w:type="dxa"/>
                  <w:vAlign w:val="center"/>
                </w:tcPr>
                <w:p w14:paraId="5C851120">
                  <w:pPr>
                    <w:jc w:val="center"/>
                    <w:rPr>
                      <w:rFonts w:hint="eastAsia"/>
                      <w:kern w:val="0"/>
                    </w:rPr>
                  </w:pPr>
                  <w:r>
                    <w:rPr>
                      <w:rFonts w:hint="eastAsia"/>
                      <w:kern w:val="0"/>
                    </w:rPr>
                    <w:t>达标</w:t>
                  </w:r>
                </w:p>
              </w:tc>
            </w:tr>
            <w:tr w14:paraId="224C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45" w:type="dxa"/>
                  <w:vAlign w:val="center"/>
                </w:tcPr>
                <w:p w14:paraId="7A6A1899">
                  <w:pPr>
                    <w:pStyle w:val="95"/>
                    <w:spacing w:before="0" w:after="0"/>
                    <w:rPr>
                      <w:rFonts w:hint="eastAsia"/>
                      <w:szCs w:val="21"/>
                    </w:rPr>
                  </w:pPr>
                  <w:r>
                    <w:rPr>
                      <w:rFonts w:hint="eastAsia"/>
                    </w:rPr>
                    <w:t>盐水沟居民点</w:t>
                  </w:r>
                </w:p>
              </w:tc>
              <w:tc>
                <w:tcPr>
                  <w:tcW w:w="1843" w:type="dxa"/>
                  <w:vAlign w:val="center"/>
                </w:tcPr>
                <w:p w14:paraId="46374E26">
                  <w:pPr>
                    <w:jc w:val="center"/>
                    <w:rPr>
                      <w:rFonts w:hint="eastAsia"/>
                      <w:kern w:val="0"/>
                    </w:rPr>
                  </w:pPr>
                  <w:r>
                    <w:rPr>
                      <w:rFonts w:hint="eastAsia"/>
                    </w:rPr>
                    <w:t>4</w:t>
                  </w:r>
                  <w:r>
                    <w:t>1</w:t>
                  </w:r>
                </w:p>
              </w:tc>
              <w:tc>
                <w:tcPr>
                  <w:tcW w:w="1701" w:type="dxa"/>
                  <w:vAlign w:val="center"/>
                </w:tcPr>
                <w:p w14:paraId="5DC7B1E8">
                  <w:pPr>
                    <w:jc w:val="center"/>
                    <w:rPr>
                      <w:rFonts w:hint="eastAsia"/>
                      <w:kern w:val="0"/>
                    </w:rPr>
                  </w:pPr>
                  <w:r>
                    <w:rPr>
                      <w:kern w:val="0"/>
                    </w:rPr>
                    <w:t>60</w:t>
                  </w:r>
                </w:p>
              </w:tc>
              <w:tc>
                <w:tcPr>
                  <w:tcW w:w="1549" w:type="dxa"/>
                  <w:vAlign w:val="center"/>
                </w:tcPr>
                <w:p w14:paraId="64239CA4">
                  <w:pPr>
                    <w:jc w:val="center"/>
                    <w:rPr>
                      <w:rFonts w:hint="eastAsia"/>
                      <w:kern w:val="0"/>
                    </w:rPr>
                  </w:pPr>
                  <w:r>
                    <w:rPr>
                      <w:rFonts w:hint="eastAsia"/>
                      <w:kern w:val="0"/>
                    </w:rPr>
                    <w:t>达标</w:t>
                  </w:r>
                </w:p>
              </w:tc>
            </w:tr>
          </w:tbl>
          <w:p w14:paraId="01D9B9B3">
            <w:pPr>
              <w:overflowPunct w:val="0"/>
              <w:topLinePunct/>
              <w:autoSpaceDE w:val="0"/>
              <w:autoSpaceDN w:val="0"/>
              <w:spacing w:line="360" w:lineRule="auto"/>
              <w:ind w:firstLine="482" w:firstLineChars="200"/>
              <w:rPr>
                <w:rFonts w:hint="eastAsia"/>
                <w:b/>
                <w:bCs/>
                <w:snapToGrid w:val="0"/>
                <w:kern w:val="0"/>
                <w:sz w:val="24"/>
                <w:lang w:bidi="ar"/>
              </w:rPr>
            </w:pPr>
            <w:r>
              <w:rPr>
                <w:rFonts w:hint="eastAsia"/>
                <w:b/>
                <w:bCs/>
                <w:snapToGrid w:val="0"/>
                <w:kern w:val="0"/>
                <w:sz w:val="24"/>
                <w:lang w:bidi="ar"/>
              </w:rPr>
              <w:t>（4）施工期固体废弃物</w:t>
            </w:r>
          </w:p>
          <w:p w14:paraId="6EC332DA">
            <w:pPr>
              <w:spacing w:line="360" w:lineRule="auto"/>
              <w:ind w:firstLine="480" w:firstLineChars="200"/>
              <w:rPr>
                <w:sz w:val="24"/>
              </w:rPr>
            </w:pPr>
            <w:r>
              <w:rPr>
                <w:sz w:val="24"/>
              </w:rPr>
              <w:t>项目施工期固体废物主要为</w:t>
            </w:r>
            <w:r>
              <w:rPr>
                <w:rFonts w:hint="eastAsia"/>
                <w:sz w:val="24"/>
              </w:rPr>
              <w:t>废弃土石方、</w:t>
            </w:r>
            <w:r>
              <w:rPr>
                <w:sz w:val="24"/>
              </w:rPr>
              <w:t>建筑垃圾、生活垃圾</w:t>
            </w:r>
            <w:r>
              <w:rPr>
                <w:rFonts w:hint="eastAsia"/>
                <w:sz w:val="24"/>
              </w:rPr>
              <w:t>、旱厕粪便、沉淀池泥沙</w:t>
            </w:r>
            <w:r>
              <w:rPr>
                <w:sz w:val="24"/>
              </w:rPr>
              <w:t>等。</w:t>
            </w:r>
          </w:p>
          <w:p w14:paraId="474BA643">
            <w:pPr>
              <w:topLinePunct/>
              <w:spacing w:line="360" w:lineRule="auto"/>
              <w:ind w:firstLine="482" w:firstLineChars="200"/>
              <w:rPr>
                <w:b/>
                <w:bCs/>
                <w:sz w:val="24"/>
              </w:rPr>
            </w:pPr>
            <w:r>
              <w:rPr>
                <w:b/>
                <w:bCs/>
                <w:sz w:val="24"/>
              </w:rPr>
              <w:t>1）废弃土石方</w:t>
            </w:r>
          </w:p>
          <w:p w14:paraId="19473A5F">
            <w:pPr>
              <w:pStyle w:val="112"/>
              <w:topLinePunct/>
              <w:adjustRightInd/>
              <w:snapToGrid/>
              <w:spacing w:line="360" w:lineRule="auto"/>
              <w:ind w:firstLine="480" w:firstLineChars="200"/>
              <w:rPr>
                <w:rFonts w:ascii="Times New Roman"/>
                <w:spacing w:val="0"/>
                <w:sz w:val="24"/>
              </w:rPr>
            </w:pPr>
            <w:r>
              <w:rPr>
                <w:rFonts w:ascii="Times New Roman"/>
                <w:spacing w:val="0"/>
                <w:sz w:val="24"/>
              </w:rPr>
              <w:t>根据《绿坪村光伏发电项目水土保持方案报告书》可知：本项目建设共开挖土石方19.97万m</w:t>
            </w:r>
            <w:r>
              <w:rPr>
                <w:rFonts w:ascii="Times New Roman"/>
                <w:spacing w:val="0"/>
                <w:sz w:val="24"/>
                <w:vertAlign w:val="superscript"/>
              </w:rPr>
              <w:t>3</w:t>
            </w:r>
            <w:r>
              <w:rPr>
                <w:rFonts w:ascii="Times New Roman"/>
                <w:spacing w:val="0"/>
                <w:sz w:val="24"/>
              </w:rPr>
              <w:t>（表土剥离1.48万m</w:t>
            </w:r>
            <w:r>
              <w:rPr>
                <w:rFonts w:ascii="Times New Roman"/>
                <w:spacing w:val="0"/>
                <w:sz w:val="24"/>
                <w:vertAlign w:val="superscript"/>
              </w:rPr>
              <w:t>3</w:t>
            </w:r>
            <w:r>
              <w:rPr>
                <w:rFonts w:ascii="Times New Roman"/>
                <w:spacing w:val="0"/>
                <w:sz w:val="24"/>
              </w:rPr>
              <w:t>，场地平整0.40万m</w:t>
            </w:r>
            <w:r>
              <w:rPr>
                <w:rFonts w:ascii="Times New Roman"/>
                <w:spacing w:val="0"/>
                <w:sz w:val="24"/>
                <w:vertAlign w:val="superscript"/>
              </w:rPr>
              <w:t>3</w:t>
            </w:r>
            <w:r>
              <w:rPr>
                <w:rFonts w:ascii="Times New Roman"/>
                <w:spacing w:val="0"/>
                <w:sz w:val="24"/>
              </w:rPr>
              <w:t>，基础开挖土石方18.09万m</w:t>
            </w:r>
            <w:r>
              <w:rPr>
                <w:rFonts w:ascii="Times New Roman"/>
                <w:spacing w:val="0"/>
                <w:sz w:val="24"/>
                <w:vertAlign w:val="superscript"/>
              </w:rPr>
              <w:t>3</w:t>
            </w:r>
            <w:r>
              <w:rPr>
                <w:rFonts w:ascii="Times New Roman"/>
                <w:spacing w:val="0"/>
                <w:sz w:val="24"/>
              </w:rPr>
              <w:t>）；回填土石方19.97万m</w:t>
            </w:r>
            <w:r>
              <w:rPr>
                <w:rFonts w:ascii="Times New Roman"/>
                <w:spacing w:val="0"/>
                <w:sz w:val="24"/>
                <w:vertAlign w:val="superscript"/>
              </w:rPr>
              <w:t>3</w:t>
            </w:r>
            <w:r>
              <w:rPr>
                <w:rFonts w:ascii="Times New Roman"/>
                <w:spacing w:val="0"/>
                <w:sz w:val="24"/>
              </w:rPr>
              <w:t>（其中表土回覆1.48万m</w:t>
            </w:r>
            <w:r>
              <w:rPr>
                <w:rFonts w:ascii="Times New Roman"/>
                <w:spacing w:val="0"/>
                <w:sz w:val="24"/>
                <w:vertAlign w:val="superscript"/>
              </w:rPr>
              <w:t>3</w:t>
            </w:r>
            <w:r>
              <w:rPr>
                <w:rFonts w:ascii="Times New Roman"/>
                <w:spacing w:val="0"/>
                <w:sz w:val="24"/>
              </w:rPr>
              <w:t>，场平及基础回填18.49万m</w:t>
            </w:r>
            <w:r>
              <w:rPr>
                <w:rFonts w:ascii="Times New Roman"/>
                <w:spacing w:val="0"/>
                <w:sz w:val="24"/>
                <w:vertAlign w:val="superscript"/>
              </w:rPr>
              <w:t>3</w:t>
            </w:r>
            <w:r>
              <w:rPr>
                <w:rFonts w:ascii="Times New Roman"/>
                <w:spacing w:val="0"/>
                <w:sz w:val="24"/>
              </w:rPr>
              <w:t>）；项目建设土石方挖填平衡，不产生弃渣</w:t>
            </w:r>
            <w:r>
              <w:rPr>
                <w:rFonts w:hint="eastAsia" w:ascii="Times New Roman"/>
                <w:spacing w:val="0"/>
                <w:sz w:val="24"/>
              </w:rPr>
              <w:t>。</w:t>
            </w:r>
          </w:p>
          <w:p w14:paraId="2A41BB6A">
            <w:pPr>
              <w:topLinePunct/>
              <w:spacing w:line="360" w:lineRule="auto"/>
              <w:ind w:firstLine="482" w:firstLineChars="200"/>
              <w:rPr>
                <w:b/>
                <w:bCs/>
                <w:sz w:val="24"/>
              </w:rPr>
            </w:pPr>
            <w:r>
              <w:rPr>
                <w:rFonts w:hint="eastAsia"/>
                <w:b/>
                <w:bCs/>
                <w:sz w:val="24"/>
              </w:rPr>
              <w:t>2）</w:t>
            </w:r>
            <w:r>
              <w:rPr>
                <w:b/>
                <w:bCs/>
                <w:sz w:val="24"/>
              </w:rPr>
              <w:t>建筑垃圾</w:t>
            </w:r>
          </w:p>
          <w:p w14:paraId="6F69CBB8">
            <w:pPr>
              <w:topLinePunct/>
              <w:spacing w:line="360" w:lineRule="auto"/>
              <w:ind w:firstLine="480" w:firstLineChars="200"/>
              <w:rPr>
                <w:snapToGrid w:val="0"/>
                <w:kern w:val="0"/>
                <w:sz w:val="24"/>
              </w:rPr>
            </w:pPr>
            <w:r>
              <w:rPr>
                <w:rFonts w:hint="eastAsia"/>
                <w:sz w:val="24"/>
              </w:rPr>
              <w:t>施工建筑垃圾主要指建筑修筑、材料运输、基础工程施工期间产生的废弃建筑材料，如砂石、石灰、混凝土等。</w:t>
            </w:r>
            <w:r>
              <w:rPr>
                <w:rFonts w:hint="eastAsia" w:hAnsi="宋体"/>
                <w:snapToGrid w:val="0"/>
                <w:kern w:val="0"/>
                <w:sz w:val="24"/>
              </w:rPr>
              <w:t>本项目产生的建筑垃圾拟由承包商负责分类收集，可回收利用的外售相应收购商，不可回收部分委托有资质单位清运至政府部门指定的场所进行处置，采取上述措施后，基本不会对环境造成污染影响</w:t>
            </w:r>
            <w:r>
              <w:rPr>
                <w:snapToGrid w:val="0"/>
                <w:kern w:val="0"/>
                <w:sz w:val="24"/>
              </w:rPr>
              <w:t>。</w:t>
            </w:r>
          </w:p>
          <w:p w14:paraId="7A551E56">
            <w:pPr>
              <w:topLinePunct/>
              <w:spacing w:line="360" w:lineRule="auto"/>
              <w:ind w:firstLine="482" w:firstLineChars="200"/>
              <w:rPr>
                <w:b/>
                <w:bCs/>
                <w:sz w:val="24"/>
              </w:rPr>
            </w:pPr>
            <w:r>
              <w:rPr>
                <w:rFonts w:hint="eastAsia"/>
                <w:b/>
                <w:bCs/>
                <w:sz w:val="24"/>
              </w:rPr>
              <w:t>3）废旧光伏板</w:t>
            </w:r>
          </w:p>
          <w:p w14:paraId="0CE977D8">
            <w:pPr>
              <w:topLinePunct/>
              <w:spacing w:line="360" w:lineRule="auto"/>
              <w:ind w:firstLine="480" w:firstLineChars="200"/>
              <w:rPr>
                <w:rStyle w:val="214"/>
                <w:rFonts w:hint="eastAsia"/>
              </w:rPr>
            </w:pPr>
            <w:r>
              <w:rPr>
                <w:rStyle w:val="214"/>
                <w:rFonts w:hint="eastAsia"/>
              </w:rPr>
              <w:t>施工期进行光伏方阵的安装，方阵支架采用钢结构，外购后运至施工现场进行安装，现场仅进行少量钢构件的加工，固废的产生量较少，且为金属，统一收集后外卖。光伏板在安装过程中会因为人为操作以及其他原因产生一定量的损坏，此部分光伏板统一收集后做返厂处置或外售。根据《固体废物分类与代码目录》（生态环境部公告2024年第4号），废电池板废物代码为900-015-S17。</w:t>
            </w:r>
          </w:p>
          <w:p w14:paraId="43AF59D7">
            <w:pPr>
              <w:topLinePunct/>
              <w:spacing w:line="360" w:lineRule="auto"/>
              <w:ind w:firstLine="482" w:firstLineChars="200"/>
              <w:rPr>
                <w:b/>
                <w:bCs/>
                <w:sz w:val="24"/>
              </w:rPr>
            </w:pPr>
            <w:r>
              <w:rPr>
                <w:rFonts w:hint="eastAsia"/>
                <w:b/>
                <w:bCs/>
                <w:sz w:val="24"/>
              </w:rPr>
              <w:t>4）</w:t>
            </w:r>
            <w:r>
              <w:rPr>
                <w:b/>
                <w:bCs/>
                <w:sz w:val="24"/>
              </w:rPr>
              <w:t>生活垃圾</w:t>
            </w:r>
          </w:p>
          <w:p w14:paraId="315E4A0A">
            <w:pPr>
              <w:pStyle w:val="7"/>
              <w:topLinePunct/>
              <w:spacing w:line="360" w:lineRule="auto"/>
              <w:ind w:firstLine="480"/>
              <w:rPr>
                <w:snapToGrid w:val="0"/>
                <w:kern w:val="0"/>
                <w:sz w:val="24"/>
                <w:szCs w:val="24"/>
              </w:rPr>
            </w:pPr>
            <w:r>
              <w:rPr>
                <w:sz w:val="24"/>
                <w:szCs w:val="24"/>
              </w:rPr>
              <w:t>项目施工期平均施工人员为100人，生活垃圾产生量按1kg/人·d进行估算，则项目施工期生活垃圾产生量为100kg/d。该部分垃圾通过施工现场设置的临时垃圾桶收集后，交附近村庄垃圾收集点由环卫部门处理。新建</w:t>
            </w:r>
            <w:r>
              <w:rPr>
                <w:snapToGrid w:val="0"/>
                <w:kern w:val="0"/>
                <w:sz w:val="24"/>
                <w:szCs w:val="24"/>
              </w:rPr>
              <w:t>升压站施工人员生活垃圾较少，依托以礼河三级电站现有设施收集并定期外运处理。</w:t>
            </w:r>
          </w:p>
          <w:p w14:paraId="3E27070E">
            <w:pPr>
              <w:topLinePunct/>
              <w:spacing w:line="360" w:lineRule="auto"/>
              <w:ind w:firstLine="482" w:firstLineChars="200"/>
              <w:rPr>
                <w:rFonts w:hint="eastAsia"/>
                <w:b/>
                <w:bCs/>
                <w:sz w:val="24"/>
              </w:rPr>
            </w:pPr>
            <w:r>
              <w:rPr>
                <w:rFonts w:hint="eastAsia"/>
                <w:b/>
                <w:bCs/>
                <w:sz w:val="24"/>
              </w:rPr>
              <w:t>5）旱厕粪便</w:t>
            </w:r>
          </w:p>
          <w:p w14:paraId="240BEC88">
            <w:pPr>
              <w:pStyle w:val="7"/>
              <w:topLinePunct/>
              <w:spacing w:line="360" w:lineRule="auto"/>
              <w:ind w:firstLine="480"/>
              <w:rPr>
                <w:rFonts w:hint="eastAsia"/>
                <w:sz w:val="24"/>
                <w:szCs w:val="24"/>
              </w:rPr>
            </w:pPr>
            <w:r>
              <w:rPr>
                <w:rFonts w:hint="eastAsia"/>
                <w:sz w:val="24"/>
                <w:szCs w:val="24"/>
              </w:rPr>
              <w:t>施工期生产生活区旱厕产生的粪便，委托当地村民定期清掏。</w:t>
            </w:r>
          </w:p>
          <w:p w14:paraId="333A8ECF">
            <w:pPr>
              <w:topLinePunct/>
              <w:spacing w:line="360" w:lineRule="auto"/>
              <w:ind w:firstLine="482" w:firstLineChars="200"/>
              <w:rPr>
                <w:b/>
                <w:bCs/>
                <w:sz w:val="24"/>
              </w:rPr>
            </w:pPr>
            <w:r>
              <w:rPr>
                <w:rFonts w:hint="eastAsia"/>
                <w:b/>
                <w:bCs/>
                <w:sz w:val="24"/>
              </w:rPr>
              <w:t>6）沉淀池泥</w:t>
            </w:r>
          </w:p>
          <w:p w14:paraId="28806A33">
            <w:pPr>
              <w:pStyle w:val="29"/>
              <w:topLinePunct/>
              <w:spacing w:after="0" w:line="360" w:lineRule="auto"/>
              <w:ind w:left="0" w:leftChars="0" w:firstLine="480"/>
              <w:rPr>
                <w:rFonts w:hint="eastAsia"/>
                <w:sz w:val="24"/>
              </w:rPr>
            </w:pPr>
            <w:r>
              <w:rPr>
                <w:rFonts w:hint="eastAsia"/>
                <w:sz w:val="24"/>
              </w:rPr>
              <w:t>沉淀池泥沙清掏，用于周边绿化覆盖，不外排。</w:t>
            </w:r>
          </w:p>
          <w:p w14:paraId="052AFF17">
            <w:pPr>
              <w:topLinePunct/>
              <w:spacing w:line="360" w:lineRule="auto"/>
              <w:ind w:firstLine="480" w:firstLineChars="200"/>
              <w:rPr>
                <w:rFonts w:hint="eastAsia" w:hAnsi="宋体"/>
                <w:snapToGrid w:val="0"/>
                <w:kern w:val="0"/>
                <w:sz w:val="24"/>
                <w:szCs w:val="24"/>
              </w:rPr>
            </w:pPr>
            <w:r>
              <w:rPr>
                <w:rFonts w:hint="eastAsia" w:hAnsi="宋体"/>
                <w:snapToGrid w:val="0"/>
                <w:kern w:val="0"/>
                <w:sz w:val="24"/>
                <w:szCs w:val="24"/>
              </w:rPr>
              <w:t>综上，本项目土石方平衡，无弃渣产生，通过采取水土保持临时措施可防止临时堆土发生水土流失；对建筑垃圾由承包商分类收集，妥善处置；生活垃圾通过现场设置分类垃圾桶或依托以礼河三级电站收运设施，定期外运处置；旱厕粪便定期清掏作农肥；项目产生的固体废物均能得到妥善处置。</w:t>
            </w:r>
          </w:p>
          <w:p w14:paraId="75AB43D2">
            <w:pPr>
              <w:overflowPunct w:val="0"/>
              <w:topLinePunct/>
              <w:autoSpaceDE w:val="0"/>
              <w:autoSpaceDN w:val="0"/>
              <w:spacing w:line="360" w:lineRule="auto"/>
              <w:ind w:firstLine="482" w:firstLineChars="200"/>
              <w:rPr>
                <w:rFonts w:hint="eastAsia"/>
                <w:b/>
                <w:bCs/>
                <w:snapToGrid w:val="0"/>
                <w:kern w:val="0"/>
                <w:sz w:val="24"/>
                <w:lang w:bidi="ar"/>
              </w:rPr>
            </w:pPr>
            <w:r>
              <w:rPr>
                <w:rFonts w:hint="eastAsia"/>
                <w:b/>
                <w:bCs/>
                <w:snapToGrid w:val="0"/>
                <w:kern w:val="0"/>
                <w:sz w:val="24"/>
                <w:lang w:bidi="ar"/>
              </w:rPr>
              <w:t>（5）爆破影响分析</w:t>
            </w:r>
          </w:p>
          <w:p w14:paraId="38D54FB5">
            <w:pPr>
              <w:pStyle w:val="7"/>
              <w:spacing w:line="360" w:lineRule="auto"/>
              <w:ind w:firstLine="480"/>
              <w:rPr>
                <w:rFonts w:hAnsi="宋体"/>
                <w:snapToGrid w:val="0"/>
                <w:kern w:val="0"/>
                <w:sz w:val="24"/>
              </w:rPr>
            </w:pPr>
            <w:r>
              <w:rPr>
                <w:rFonts w:hAnsi="宋体"/>
                <w:snapToGrid w:val="0"/>
                <w:kern w:val="0"/>
                <w:sz w:val="24"/>
              </w:rPr>
              <w:t>本项目光伏场区位于山区，部分区域需进行爆破作业以平整场地、开挖基坑及清除岩石障碍物。爆破施工过程将主要产生以下环境影响：</w:t>
            </w:r>
          </w:p>
          <w:p w14:paraId="5BF474A2">
            <w:pPr>
              <w:pStyle w:val="7"/>
              <w:spacing w:line="360" w:lineRule="auto"/>
              <w:ind w:firstLine="480"/>
              <w:rPr>
                <w:rFonts w:hAnsi="宋体"/>
                <w:snapToGrid w:val="0"/>
                <w:kern w:val="0"/>
                <w:sz w:val="24"/>
              </w:rPr>
            </w:pPr>
            <w:r>
              <w:rPr>
                <w:rFonts w:hint="eastAsia" w:hAnsi="宋体"/>
                <w:snapToGrid w:val="0"/>
                <w:kern w:val="0"/>
                <w:sz w:val="24"/>
              </w:rPr>
              <w:t>①</w:t>
            </w:r>
            <w:r>
              <w:rPr>
                <w:rFonts w:hAnsi="宋体"/>
                <w:snapToGrid w:val="0"/>
                <w:kern w:val="0"/>
                <w:sz w:val="24"/>
              </w:rPr>
              <w:t>环境空气影响：爆破瞬间会产生大量粉尘（TSP），钻孔、二次破碎及石料清运过程中也将产生扬尘，导致局部空气中颗粒物浓度短期内急剧升高，对下风向区域空气环境质量造成暂时性影响。</w:t>
            </w:r>
          </w:p>
          <w:p w14:paraId="144DD4A8">
            <w:pPr>
              <w:pStyle w:val="7"/>
              <w:spacing w:line="360" w:lineRule="auto"/>
              <w:ind w:firstLine="480"/>
              <w:rPr>
                <w:rFonts w:hAnsi="宋体"/>
                <w:snapToGrid w:val="0"/>
                <w:kern w:val="0"/>
                <w:sz w:val="24"/>
              </w:rPr>
            </w:pPr>
            <w:r>
              <w:rPr>
                <w:rFonts w:hint="eastAsia" w:hAnsi="宋体"/>
                <w:snapToGrid w:val="0"/>
                <w:kern w:val="0"/>
                <w:sz w:val="24"/>
              </w:rPr>
              <w:t>②</w:t>
            </w:r>
            <w:r>
              <w:rPr>
                <w:rFonts w:hAnsi="宋体"/>
                <w:snapToGrid w:val="0"/>
                <w:kern w:val="0"/>
                <w:sz w:val="24"/>
              </w:rPr>
              <w:t>声环境影响：爆破噪声为高强度、瞬时性脉冲噪声，爆破及机械破碎作业产生的施工噪声可能对周边声环境敏感目标（如邻近村庄、野生动物）造成干扰。</w:t>
            </w:r>
          </w:p>
          <w:p w14:paraId="4937373E">
            <w:pPr>
              <w:pStyle w:val="7"/>
              <w:spacing w:line="360" w:lineRule="auto"/>
              <w:ind w:firstLine="480"/>
              <w:rPr>
                <w:rFonts w:hAnsi="宋体"/>
                <w:snapToGrid w:val="0"/>
                <w:kern w:val="0"/>
                <w:sz w:val="24"/>
              </w:rPr>
            </w:pPr>
            <w:r>
              <w:rPr>
                <w:rFonts w:hint="eastAsia" w:hAnsi="宋体"/>
                <w:snapToGrid w:val="0"/>
                <w:kern w:val="0"/>
                <w:sz w:val="24"/>
              </w:rPr>
              <w:t>③</w:t>
            </w:r>
            <w:r>
              <w:rPr>
                <w:rFonts w:hAnsi="宋体"/>
                <w:snapToGrid w:val="0"/>
                <w:kern w:val="0"/>
                <w:sz w:val="24"/>
              </w:rPr>
              <w:t>振动影响：爆破地震波可能对爆源邻近的建（构）筑物结构安全、周边山体稳定性及地下管线等产生一定影响，存在诱发滑坡、落石等次生地质灾害的潜在风险。</w:t>
            </w:r>
          </w:p>
          <w:p w14:paraId="5247C6A8">
            <w:pPr>
              <w:pStyle w:val="7"/>
              <w:spacing w:line="360" w:lineRule="auto"/>
              <w:ind w:firstLine="480"/>
              <w:rPr>
                <w:rFonts w:hAnsi="宋体"/>
                <w:snapToGrid w:val="0"/>
                <w:kern w:val="0"/>
                <w:sz w:val="24"/>
              </w:rPr>
            </w:pPr>
            <w:r>
              <w:rPr>
                <w:rFonts w:hint="eastAsia" w:hAnsi="宋体"/>
                <w:snapToGrid w:val="0"/>
                <w:kern w:val="0"/>
                <w:sz w:val="24"/>
              </w:rPr>
              <w:t>④</w:t>
            </w:r>
            <w:r>
              <w:rPr>
                <w:rFonts w:hAnsi="宋体"/>
                <w:snapToGrid w:val="0"/>
                <w:kern w:val="0"/>
                <w:sz w:val="24"/>
              </w:rPr>
              <w:t>固体废物影响：爆破产生的废弃石方若处置不当，可能占用土地、破坏植被，并存在水土流失隐患。</w:t>
            </w:r>
          </w:p>
          <w:p w14:paraId="36B51E6B">
            <w:pPr>
              <w:pStyle w:val="7"/>
              <w:spacing w:line="360" w:lineRule="auto"/>
              <w:ind w:firstLine="480"/>
              <w:rPr>
                <w:rFonts w:hAnsi="宋体"/>
                <w:snapToGrid w:val="0"/>
                <w:kern w:val="0"/>
                <w:sz w:val="24"/>
              </w:rPr>
            </w:pPr>
            <w:r>
              <w:rPr>
                <w:rFonts w:hint="eastAsia" w:hAnsi="宋体"/>
                <w:snapToGrid w:val="0"/>
                <w:kern w:val="0"/>
                <w:sz w:val="24"/>
              </w:rPr>
              <w:t>⑤</w:t>
            </w:r>
            <w:r>
              <w:rPr>
                <w:rFonts w:hAnsi="宋体"/>
                <w:snapToGrid w:val="0"/>
                <w:kern w:val="0"/>
                <w:sz w:val="24"/>
              </w:rPr>
              <w:t>生态影响：冲击波及飞石可能直接伤害附近动植物；噪声与振动可能惊扰周边野生动物，迫使其暂时迁移，干扰其正常栖息与活动。</w:t>
            </w:r>
          </w:p>
          <w:p w14:paraId="5C186006">
            <w:pPr>
              <w:pStyle w:val="7"/>
              <w:spacing w:line="360" w:lineRule="auto"/>
              <w:ind w:firstLine="480"/>
              <w:rPr>
                <w:rFonts w:hAnsi="宋体"/>
                <w:snapToGrid w:val="0"/>
                <w:kern w:val="0"/>
                <w:sz w:val="24"/>
              </w:rPr>
            </w:pPr>
            <w:r>
              <w:rPr>
                <w:rFonts w:hAnsi="宋体"/>
                <w:snapToGrid w:val="0"/>
                <w:kern w:val="0"/>
                <w:sz w:val="24"/>
              </w:rPr>
              <w:t>为最大限度减轻爆破作业的负面影响，确保施工安全与生态保护，拟采取以下综合防控措施：</w:t>
            </w:r>
          </w:p>
          <w:p w14:paraId="3183E9CC">
            <w:pPr>
              <w:pStyle w:val="7"/>
              <w:spacing w:line="360" w:lineRule="auto"/>
              <w:ind w:firstLine="480"/>
              <w:rPr>
                <w:rFonts w:hAnsi="宋体"/>
                <w:snapToGrid w:val="0"/>
                <w:kern w:val="0"/>
                <w:sz w:val="24"/>
              </w:rPr>
            </w:pPr>
            <w:r>
              <w:rPr>
                <w:rFonts w:hint="eastAsia" w:hAnsi="宋体"/>
                <w:snapToGrid w:val="0"/>
                <w:kern w:val="0"/>
                <w:sz w:val="24"/>
              </w:rPr>
              <w:t>①</w:t>
            </w:r>
            <w:r>
              <w:rPr>
                <w:rFonts w:hAnsi="宋体"/>
                <w:snapToGrid w:val="0"/>
                <w:kern w:val="0"/>
                <w:sz w:val="24"/>
              </w:rPr>
              <w:t>优化爆破设计与工艺控制</w:t>
            </w:r>
          </w:p>
          <w:p w14:paraId="7F167203">
            <w:pPr>
              <w:pStyle w:val="7"/>
              <w:spacing w:line="360" w:lineRule="auto"/>
              <w:ind w:firstLine="480"/>
              <w:rPr>
                <w:rFonts w:hAnsi="宋体"/>
                <w:snapToGrid w:val="0"/>
                <w:kern w:val="0"/>
                <w:sz w:val="24"/>
              </w:rPr>
            </w:pPr>
            <w:r>
              <w:rPr>
                <w:rFonts w:hAnsi="宋体"/>
                <w:snapToGrid w:val="0"/>
                <w:kern w:val="0"/>
                <w:sz w:val="24"/>
              </w:rPr>
              <w:t>科学设计：聘请专业爆破单位进行精细化设计与计算，优先采用深孔微差松动爆破、预裂爆破等先进技术，严格控制单孔装药量、一次爆破总药量及爆破规模。</w:t>
            </w:r>
          </w:p>
          <w:p w14:paraId="49C0DC24">
            <w:pPr>
              <w:pStyle w:val="7"/>
              <w:spacing w:line="360" w:lineRule="auto"/>
              <w:ind w:firstLine="480"/>
              <w:rPr>
                <w:rFonts w:hAnsi="宋体"/>
                <w:snapToGrid w:val="0"/>
                <w:kern w:val="0"/>
                <w:sz w:val="24"/>
              </w:rPr>
            </w:pPr>
            <w:r>
              <w:rPr>
                <w:rFonts w:hAnsi="宋体"/>
                <w:snapToGrid w:val="0"/>
                <w:kern w:val="0"/>
                <w:sz w:val="24"/>
              </w:rPr>
              <w:t>参数控制：合理确定最小抵抗线方向，避开敏感目标。通过选择低爆速炸药、采用间隔装药、非电导爆管起爆系统等措施，有效降低爆破振动与飞石风险。</w:t>
            </w:r>
          </w:p>
          <w:p w14:paraId="2FF525A6">
            <w:pPr>
              <w:pStyle w:val="7"/>
              <w:spacing w:line="360" w:lineRule="auto"/>
              <w:ind w:firstLine="480"/>
              <w:rPr>
                <w:rFonts w:hAnsi="宋体"/>
                <w:snapToGrid w:val="0"/>
                <w:kern w:val="0"/>
                <w:sz w:val="24"/>
              </w:rPr>
            </w:pPr>
            <w:r>
              <w:rPr>
                <w:rFonts w:hint="eastAsia" w:hAnsi="宋体"/>
                <w:snapToGrid w:val="0"/>
                <w:kern w:val="0"/>
                <w:sz w:val="24"/>
              </w:rPr>
              <w:t>②</w:t>
            </w:r>
            <w:r>
              <w:rPr>
                <w:rFonts w:hAnsi="宋体"/>
                <w:snapToGrid w:val="0"/>
                <w:kern w:val="0"/>
                <w:sz w:val="24"/>
              </w:rPr>
              <w:t>大气污染（粉尘）防治措施</w:t>
            </w:r>
          </w:p>
          <w:p w14:paraId="638E7B0E">
            <w:pPr>
              <w:pStyle w:val="7"/>
              <w:spacing w:line="360" w:lineRule="auto"/>
              <w:ind w:firstLine="480"/>
              <w:rPr>
                <w:rFonts w:hAnsi="宋体"/>
                <w:snapToGrid w:val="0"/>
                <w:kern w:val="0"/>
                <w:sz w:val="24"/>
              </w:rPr>
            </w:pPr>
            <w:r>
              <w:rPr>
                <w:rFonts w:hAnsi="宋体"/>
                <w:snapToGrid w:val="0"/>
                <w:kern w:val="0"/>
                <w:sz w:val="24"/>
              </w:rPr>
              <w:t>湿法作业：钻孔采用带除尘装置的钻机或进行喷水抑尘；爆破前对爆破体和地表进行预湿；爆后立即对爆堆及运输道路进行洒水降尘。</w:t>
            </w:r>
          </w:p>
          <w:p w14:paraId="5EADEFD5">
            <w:pPr>
              <w:pStyle w:val="7"/>
              <w:spacing w:line="360" w:lineRule="auto"/>
              <w:ind w:firstLine="480"/>
              <w:rPr>
                <w:rFonts w:hAnsi="宋体"/>
                <w:snapToGrid w:val="0"/>
                <w:kern w:val="0"/>
                <w:sz w:val="24"/>
              </w:rPr>
            </w:pPr>
            <w:r>
              <w:rPr>
                <w:rFonts w:hAnsi="宋体"/>
                <w:snapToGrid w:val="0"/>
                <w:kern w:val="0"/>
                <w:sz w:val="24"/>
              </w:rPr>
              <w:t>覆盖与封闭：对敏感区域附近的爆破，采用苫盖网或篷布覆盖爆堆。石料装车、运输过程需采取苫盖封闭措施。</w:t>
            </w:r>
          </w:p>
          <w:p w14:paraId="3D346DB9">
            <w:pPr>
              <w:pStyle w:val="7"/>
              <w:spacing w:line="360" w:lineRule="auto"/>
              <w:ind w:firstLine="480"/>
              <w:rPr>
                <w:rFonts w:hAnsi="宋体"/>
                <w:snapToGrid w:val="0"/>
                <w:kern w:val="0"/>
                <w:sz w:val="24"/>
              </w:rPr>
            </w:pPr>
            <w:r>
              <w:rPr>
                <w:rFonts w:hAnsi="宋体"/>
                <w:snapToGrid w:val="0"/>
                <w:kern w:val="0"/>
                <w:sz w:val="24"/>
              </w:rPr>
              <w:t>加强管理：遇大风（四级以上）等不利扩散天气，停止爆破作业。</w:t>
            </w:r>
          </w:p>
          <w:p w14:paraId="716C8F80">
            <w:pPr>
              <w:pStyle w:val="7"/>
              <w:spacing w:line="360" w:lineRule="auto"/>
              <w:ind w:firstLine="480"/>
              <w:rPr>
                <w:rFonts w:hAnsi="宋体"/>
                <w:snapToGrid w:val="0"/>
                <w:kern w:val="0"/>
                <w:sz w:val="24"/>
              </w:rPr>
            </w:pPr>
            <w:r>
              <w:rPr>
                <w:rFonts w:hint="eastAsia" w:hAnsi="宋体"/>
                <w:snapToGrid w:val="0"/>
                <w:kern w:val="0"/>
                <w:sz w:val="24"/>
              </w:rPr>
              <w:t>③</w:t>
            </w:r>
            <w:r>
              <w:rPr>
                <w:rFonts w:hAnsi="宋体"/>
                <w:snapToGrid w:val="0"/>
                <w:kern w:val="0"/>
                <w:sz w:val="24"/>
              </w:rPr>
              <w:t>噪声与振动控制措施</w:t>
            </w:r>
          </w:p>
          <w:p w14:paraId="06257076">
            <w:pPr>
              <w:pStyle w:val="7"/>
              <w:spacing w:line="360" w:lineRule="auto"/>
              <w:ind w:firstLine="480"/>
              <w:rPr>
                <w:rFonts w:hAnsi="宋体"/>
                <w:snapToGrid w:val="0"/>
                <w:kern w:val="0"/>
                <w:sz w:val="24"/>
              </w:rPr>
            </w:pPr>
            <w:r>
              <w:rPr>
                <w:rFonts w:hAnsi="宋体"/>
                <w:snapToGrid w:val="0"/>
                <w:kern w:val="0"/>
                <w:sz w:val="24"/>
              </w:rPr>
              <w:t>减振措施：在爆区与保护目标之间开挖减振沟，或利用地形地貌形成天然屏障。</w:t>
            </w:r>
          </w:p>
          <w:p w14:paraId="28A9DF85">
            <w:pPr>
              <w:pStyle w:val="7"/>
              <w:spacing w:line="360" w:lineRule="auto"/>
              <w:ind w:firstLine="480"/>
              <w:rPr>
                <w:rFonts w:hAnsi="宋体"/>
                <w:snapToGrid w:val="0"/>
                <w:kern w:val="0"/>
                <w:sz w:val="24"/>
              </w:rPr>
            </w:pPr>
            <w:r>
              <w:rPr>
                <w:rFonts w:hAnsi="宋体"/>
                <w:snapToGrid w:val="0"/>
                <w:kern w:val="0"/>
                <w:sz w:val="24"/>
              </w:rPr>
              <w:t>监测预警：每次爆破前进行振动速度预计算，并在邻近敏感点布设振动监测仪进行实时监测，确保质点振动速度符合《爆破安全规程》（GB6722）标准限值。</w:t>
            </w:r>
          </w:p>
          <w:p w14:paraId="680DAC65">
            <w:pPr>
              <w:pStyle w:val="7"/>
              <w:spacing w:line="360" w:lineRule="auto"/>
              <w:ind w:firstLine="480"/>
              <w:rPr>
                <w:rFonts w:hAnsi="宋体"/>
                <w:snapToGrid w:val="0"/>
                <w:kern w:val="0"/>
                <w:sz w:val="24"/>
              </w:rPr>
            </w:pPr>
            <w:r>
              <w:rPr>
                <w:rFonts w:hAnsi="宋体"/>
                <w:snapToGrid w:val="0"/>
                <w:kern w:val="0"/>
                <w:sz w:val="24"/>
              </w:rPr>
              <w:t>公告与避让：爆破前提前公告周边社区及单位，设置醒目警示标志，明确爆破时间，组织人员、牲畜临时撤离至安全警戒范围外。</w:t>
            </w:r>
          </w:p>
          <w:p w14:paraId="3FAB99F3">
            <w:pPr>
              <w:pStyle w:val="7"/>
              <w:spacing w:line="360" w:lineRule="auto"/>
              <w:ind w:firstLine="480"/>
              <w:rPr>
                <w:rFonts w:hAnsi="宋体"/>
                <w:snapToGrid w:val="0"/>
                <w:kern w:val="0"/>
                <w:sz w:val="24"/>
              </w:rPr>
            </w:pPr>
            <w:r>
              <w:rPr>
                <w:rFonts w:hint="eastAsia" w:hAnsi="宋体"/>
                <w:snapToGrid w:val="0"/>
                <w:kern w:val="0"/>
                <w:sz w:val="24"/>
              </w:rPr>
              <w:t>④</w:t>
            </w:r>
            <w:r>
              <w:rPr>
                <w:rFonts w:hAnsi="宋体"/>
                <w:snapToGrid w:val="0"/>
                <w:kern w:val="0"/>
                <w:sz w:val="24"/>
              </w:rPr>
              <w:t>固体废物管理与生态保护措施</w:t>
            </w:r>
          </w:p>
          <w:p w14:paraId="1D237022">
            <w:pPr>
              <w:pStyle w:val="7"/>
              <w:spacing w:line="360" w:lineRule="auto"/>
              <w:ind w:firstLine="480"/>
              <w:rPr>
                <w:rFonts w:hAnsi="宋体"/>
                <w:snapToGrid w:val="0"/>
                <w:kern w:val="0"/>
                <w:sz w:val="24"/>
              </w:rPr>
            </w:pPr>
            <w:r>
              <w:rPr>
                <w:rFonts w:hAnsi="宋体"/>
                <w:snapToGrid w:val="0"/>
                <w:kern w:val="0"/>
                <w:sz w:val="24"/>
              </w:rPr>
              <w:t>资源化利用：爆破产生的石方优先考虑在场区内就地综合利用，如用于道路垫层、挡墙砌筑等，减少弃渣。</w:t>
            </w:r>
          </w:p>
          <w:p w14:paraId="0256F14C">
            <w:pPr>
              <w:pStyle w:val="7"/>
              <w:spacing w:line="360" w:lineRule="auto"/>
              <w:ind w:firstLine="480"/>
              <w:rPr>
                <w:rFonts w:hAnsi="宋体"/>
                <w:snapToGrid w:val="0"/>
                <w:kern w:val="0"/>
                <w:sz w:val="24"/>
              </w:rPr>
            </w:pPr>
            <w:r>
              <w:rPr>
                <w:rFonts w:hAnsi="宋体"/>
                <w:snapToGrid w:val="0"/>
                <w:kern w:val="0"/>
                <w:sz w:val="24"/>
              </w:rPr>
              <w:t>规范弃渣：确需废弃的石渣，须运送至经批准的设计弃渣场，并按规定进行压实、防护，后期进行覆土绿化。</w:t>
            </w:r>
          </w:p>
          <w:p w14:paraId="12534225">
            <w:pPr>
              <w:pStyle w:val="7"/>
              <w:spacing w:line="360" w:lineRule="auto"/>
              <w:ind w:firstLine="480"/>
              <w:rPr>
                <w:rFonts w:hAnsi="宋体"/>
                <w:snapToGrid w:val="0"/>
                <w:kern w:val="0"/>
                <w:sz w:val="24"/>
              </w:rPr>
            </w:pPr>
            <w:r>
              <w:rPr>
                <w:rFonts w:hAnsi="宋体"/>
                <w:snapToGrid w:val="0"/>
                <w:kern w:val="0"/>
                <w:sz w:val="24"/>
              </w:rPr>
              <w:t>生态避让：爆破作业尽量避开野生动物活动频繁时段（如晨昏、繁殖季）。施工前对作业区进行清查，驱离</w:t>
            </w:r>
            <w:r>
              <w:rPr>
                <w:rFonts w:hint="eastAsia" w:hAnsi="宋体"/>
                <w:snapToGrid w:val="0"/>
                <w:kern w:val="0"/>
                <w:sz w:val="24"/>
              </w:rPr>
              <w:t>施工区域内的</w:t>
            </w:r>
            <w:r>
              <w:rPr>
                <w:rFonts w:hAnsi="宋体"/>
                <w:snapToGrid w:val="0"/>
                <w:kern w:val="0"/>
                <w:sz w:val="24"/>
              </w:rPr>
              <w:t>动物。</w:t>
            </w:r>
          </w:p>
          <w:p w14:paraId="172C4689">
            <w:pPr>
              <w:pStyle w:val="7"/>
              <w:spacing w:line="360" w:lineRule="auto"/>
              <w:ind w:firstLine="480"/>
              <w:rPr>
                <w:rFonts w:hAnsi="宋体"/>
                <w:snapToGrid w:val="0"/>
                <w:kern w:val="0"/>
                <w:sz w:val="24"/>
              </w:rPr>
            </w:pPr>
            <w:r>
              <w:rPr>
                <w:rFonts w:hAnsi="宋体"/>
                <w:snapToGrid w:val="0"/>
                <w:kern w:val="0"/>
                <w:sz w:val="24"/>
              </w:rPr>
              <w:t>通过全面落实上述措施，可将本项目爆破施工的环境影响控制在可接受范围内，实现工程建设与环境保护的协调。</w:t>
            </w:r>
          </w:p>
          <w:p w14:paraId="36FE4D08">
            <w:pPr>
              <w:overflowPunct w:val="0"/>
              <w:topLinePunct/>
              <w:autoSpaceDE w:val="0"/>
              <w:autoSpaceDN w:val="0"/>
              <w:spacing w:line="360" w:lineRule="auto"/>
              <w:ind w:firstLine="482" w:firstLineChars="200"/>
              <w:rPr>
                <w:rFonts w:hint="eastAsia"/>
                <w:b/>
                <w:bCs/>
                <w:snapToGrid w:val="0"/>
                <w:kern w:val="0"/>
                <w:sz w:val="24"/>
                <w:lang w:bidi="ar"/>
              </w:rPr>
            </w:pPr>
            <w:r>
              <w:rPr>
                <w:rFonts w:hint="eastAsia"/>
                <w:b/>
                <w:bCs/>
                <w:snapToGrid w:val="0"/>
                <w:kern w:val="0"/>
                <w:sz w:val="24"/>
                <w:lang w:bidi="ar"/>
              </w:rPr>
              <w:t>（</w:t>
            </w:r>
            <w:r>
              <w:rPr>
                <w:b/>
                <w:bCs/>
                <w:snapToGrid w:val="0"/>
                <w:kern w:val="0"/>
                <w:sz w:val="24"/>
                <w:lang w:bidi="ar"/>
              </w:rPr>
              <w:t>5</w:t>
            </w:r>
            <w:r>
              <w:rPr>
                <w:rFonts w:hint="eastAsia"/>
                <w:b/>
                <w:bCs/>
                <w:snapToGrid w:val="0"/>
                <w:kern w:val="0"/>
                <w:sz w:val="24"/>
                <w:lang w:bidi="ar"/>
              </w:rPr>
              <w:t>）施工期地下水环境影响分析</w:t>
            </w:r>
          </w:p>
          <w:p w14:paraId="310B8FF0">
            <w:pPr>
              <w:pStyle w:val="7"/>
              <w:spacing w:line="360" w:lineRule="auto"/>
              <w:ind w:firstLine="480"/>
              <w:rPr>
                <w:snapToGrid w:val="0"/>
                <w:kern w:val="0"/>
                <w:sz w:val="24"/>
              </w:rPr>
            </w:pPr>
            <w:r>
              <w:rPr>
                <w:snapToGrid w:val="0"/>
                <w:kern w:val="0"/>
                <w:sz w:val="24"/>
              </w:rPr>
              <w:t>根据《环境影响评价技术导则 地下水环境》（HJ 610-2016），本项目为E电力-34其他能源发电，工程所在区域为地下水不敏感区，地下水环境可不做影响分析。</w:t>
            </w:r>
          </w:p>
          <w:p w14:paraId="2579522D">
            <w:pPr>
              <w:overflowPunct w:val="0"/>
              <w:topLinePunct/>
              <w:autoSpaceDE w:val="0"/>
              <w:autoSpaceDN w:val="0"/>
              <w:spacing w:line="360" w:lineRule="auto"/>
              <w:ind w:firstLine="482" w:firstLineChars="200"/>
              <w:rPr>
                <w:rFonts w:hint="eastAsia"/>
                <w:b/>
                <w:bCs/>
                <w:snapToGrid w:val="0"/>
                <w:kern w:val="0"/>
                <w:sz w:val="24"/>
                <w:lang w:bidi="ar"/>
              </w:rPr>
            </w:pPr>
            <w:r>
              <w:rPr>
                <w:rFonts w:hint="eastAsia"/>
                <w:b/>
                <w:bCs/>
                <w:snapToGrid w:val="0"/>
                <w:kern w:val="0"/>
                <w:sz w:val="24"/>
                <w:lang w:bidi="ar"/>
              </w:rPr>
              <w:t>（</w:t>
            </w:r>
            <w:r>
              <w:rPr>
                <w:b/>
                <w:bCs/>
                <w:snapToGrid w:val="0"/>
                <w:kern w:val="0"/>
                <w:sz w:val="24"/>
                <w:lang w:bidi="ar"/>
              </w:rPr>
              <w:t>6</w:t>
            </w:r>
            <w:r>
              <w:rPr>
                <w:rFonts w:hint="eastAsia"/>
                <w:b/>
                <w:bCs/>
                <w:snapToGrid w:val="0"/>
                <w:kern w:val="0"/>
                <w:sz w:val="24"/>
                <w:lang w:bidi="ar"/>
              </w:rPr>
              <w:t>）施工期土壤环境影响分析</w:t>
            </w:r>
          </w:p>
          <w:p w14:paraId="1458DD43">
            <w:pPr>
              <w:pStyle w:val="7"/>
              <w:spacing w:line="360" w:lineRule="auto"/>
              <w:ind w:firstLine="480"/>
              <w:rPr>
                <w:snapToGrid w:val="0"/>
                <w:kern w:val="0"/>
                <w:sz w:val="24"/>
              </w:rPr>
            </w:pPr>
            <w:r>
              <w:rPr>
                <w:snapToGrid w:val="0"/>
                <w:kern w:val="0"/>
                <w:sz w:val="24"/>
              </w:rPr>
              <w:t>根据《环境影响评价技术导则 土壤环境（试行》（HJ964-2018）中相关要求，本项目为Ⅳ类项目，项目所在地土壤环境不敏感，可不开展土壤环境影响评价工作。</w:t>
            </w:r>
          </w:p>
          <w:p w14:paraId="6A00B353">
            <w:pPr>
              <w:overflowPunct w:val="0"/>
              <w:topLinePunct/>
              <w:autoSpaceDE w:val="0"/>
              <w:autoSpaceDN w:val="0"/>
              <w:spacing w:line="360" w:lineRule="auto"/>
              <w:ind w:firstLine="482" w:firstLineChars="200"/>
              <w:rPr>
                <w:rFonts w:hint="eastAsia"/>
                <w:b/>
                <w:bCs/>
                <w:snapToGrid w:val="0"/>
                <w:kern w:val="0"/>
                <w:sz w:val="24"/>
                <w:lang w:bidi="ar"/>
              </w:rPr>
            </w:pPr>
            <w:r>
              <w:rPr>
                <w:rFonts w:hint="eastAsia"/>
                <w:b/>
                <w:bCs/>
                <w:snapToGrid w:val="0"/>
                <w:kern w:val="0"/>
                <w:sz w:val="24"/>
                <w:lang w:bidi="ar"/>
              </w:rPr>
              <w:t>（</w:t>
            </w:r>
            <w:r>
              <w:rPr>
                <w:b/>
                <w:bCs/>
                <w:snapToGrid w:val="0"/>
                <w:kern w:val="0"/>
                <w:sz w:val="24"/>
                <w:lang w:bidi="ar"/>
              </w:rPr>
              <w:t>7</w:t>
            </w:r>
            <w:r>
              <w:rPr>
                <w:rFonts w:hint="eastAsia"/>
                <w:b/>
                <w:bCs/>
                <w:snapToGrid w:val="0"/>
                <w:kern w:val="0"/>
                <w:sz w:val="24"/>
                <w:lang w:bidi="ar"/>
              </w:rPr>
              <w:t>）施工期其他环境影响分析</w:t>
            </w:r>
          </w:p>
          <w:p w14:paraId="6BC51873">
            <w:pPr>
              <w:pStyle w:val="7"/>
              <w:spacing w:line="360" w:lineRule="auto"/>
              <w:ind w:firstLine="480"/>
              <w:rPr>
                <w:rFonts w:hint="eastAsia" w:hAnsi="宋体"/>
                <w:snapToGrid w:val="0"/>
                <w:kern w:val="0"/>
                <w:sz w:val="24"/>
              </w:rPr>
            </w:pPr>
            <w:r>
              <w:rPr>
                <w:rFonts w:hint="eastAsia" w:hAnsi="宋体"/>
                <w:snapToGrid w:val="0"/>
                <w:kern w:val="0"/>
                <w:sz w:val="24"/>
              </w:rPr>
              <w:t>施工时由于进出物料运输车辆的增加，将对项目所在地的交通造成一定的影响，影响附近居民的出行。为减缓交通压力，要求该项目进出施工场地车辆应按规定路线、时间进出，并设置专人负责指挥，以防止交通堵塞。</w:t>
            </w:r>
          </w:p>
          <w:p w14:paraId="2B9388AD">
            <w:pPr>
              <w:pStyle w:val="7"/>
              <w:spacing w:line="360" w:lineRule="auto"/>
              <w:ind w:firstLine="480"/>
              <w:rPr>
                <w:rFonts w:hint="eastAsia" w:hAnsi="宋体"/>
                <w:snapToGrid w:val="0"/>
                <w:kern w:val="0"/>
                <w:sz w:val="24"/>
              </w:rPr>
            </w:pPr>
            <w:r>
              <w:rPr>
                <w:rFonts w:hint="eastAsia" w:hAnsi="宋体"/>
                <w:snapToGrid w:val="0"/>
                <w:kern w:val="0"/>
                <w:sz w:val="24"/>
              </w:rPr>
              <w:t>施工期建筑材料运输量较大，运输路线经过郊区和城市道路时，运输过程中物料洒落、流失、飞扬等均可能对沿线环境产生影响。因此在建筑材料运输出入与施工固废运出时车辆必须加盖篷布。建筑材料运输量较大会对沿线运输道路路面造成影响，要求建设单位限制载重，产生影响通过采取这些措施可减小物料运输对环境的影响。</w:t>
            </w:r>
          </w:p>
        </w:tc>
      </w:tr>
      <w:tr w14:paraId="6DBE29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24" w:hRule="atLeast"/>
          <w:jc w:val="center"/>
        </w:trPr>
        <w:tc>
          <w:tcPr>
            <w:tcW w:w="227" w:type="pct"/>
            <w:tcMar>
              <w:left w:w="28" w:type="dxa"/>
              <w:right w:w="28" w:type="dxa"/>
            </w:tcMar>
            <w:vAlign w:val="center"/>
          </w:tcPr>
          <w:p w14:paraId="7FD1CD38">
            <w:pPr>
              <w:adjustRightInd w:val="0"/>
              <w:snapToGrid w:val="0"/>
              <w:jc w:val="center"/>
              <w:rPr>
                <w:bCs/>
                <w:snapToGrid w:val="0"/>
                <w:kern w:val="0"/>
              </w:rPr>
            </w:pPr>
            <w:r>
              <w:rPr>
                <w:rFonts w:hint="eastAsia"/>
                <w:snapToGrid w:val="0"/>
                <w:kern w:val="0"/>
                <w:sz w:val="24"/>
                <w:szCs w:val="24"/>
              </w:rPr>
              <w:t>运营期生态环境影响分析</w:t>
            </w:r>
          </w:p>
        </w:tc>
        <w:tc>
          <w:tcPr>
            <w:tcW w:w="4772" w:type="pct"/>
          </w:tcPr>
          <w:p w14:paraId="18BDF02D">
            <w:pPr>
              <w:overflowPunct w:val="0"/>
              <w:topLinePunct/>
              <w:autoSpaceDE w:val="0"/>
              <w:autoSpaceDN w:val="0"/>
              <w:spacing w:line="360" w:lineRule="auto"/>
              <w:rPr>
                <w:b/>
                <w:bCs/>
                <w:snapToGrid w:val="0"/>
                <w:kern w:val="0"/>
                <w:sz w:val="24"/>
              </w:rPr>
            </w:pPr>
            <w:r>
              <w:rPr>
                <w:b/>
                <w:bCs/>
                <w:sz w:val="24"/>
                <w:szCs w:val="24"/>
              </w:rPr>
              <w:t>4.2</w:t>
            </w:r>
            <w:r>
              <w:rPr>
                <w:rFonts w:hint="eastAsia"/>
                <w:b/>
                <w:bCs/>
                <w:sz w:val="24"/>
                <w:szCs w:val="24"/>
              </w:rPr>
              <w:t xml:space="preserve"> </w:t>
            </w:r>
            <w:r>
              <w:rPr>
                <w:b/>
                <w:bCs/>
                <w:snapToGrid w:val="0"/>
                <w:kern w:val="0"/>
                <w:sz w:val="24"/>
                <w:szCs w:val="24"/>
              </w:rPr>
              <w:t>运营期生态环境影响分析</w:t>
            </w:r>
          </w:p>
          <w:p w14:paraId="1DB442AA">
            <w:pPr>
              <w:overflowPunct w:val="0"/>
              <w:topLinePunct/>
              <w:autoSpaceDE w:val="0"/>
              <w:autoSpaceDN w:val="0"/>
              <w:spacing w:line="360" w:lineRule="auto"/>
              <w:rPr>
                <w:b/>
                <w:bCs/>
                <w:snapToGrid w:val="0"/>
                <w:kern w:val="0"/>
              </w:rPr>
            </w:pPr>
            <w:r>
              <w:rPr>
                <w:rFonts w:hint="eastAsia"/>
                <w:b/>
                <w:bCs/>
                <w:snapToGrid w:val="0"/>
                <w:kern w:val="0"/>
                <w:sz w:val="24"/>
              </w:rPr>
              <w:t>4.2.1 运营期产污环节</w:t>
            </w:r>
          </w:p>
          <w:p w14:paraId="28C40C79">
            <w:pPr>
              <w:spacing w:line="360" w:lineRule="auto"/>
              <w:ind w:firstLine="480" w:firstLineChars="200"/>
              <w:rPr>
                <w:rFonts w:hint="eastAsia"/>
                <w:sz w:val="24"/>
              </w:rPr>
            </w:pPr>
            <w:r>
              <w:rPr>
                <w:rFonts w:hint="eastAsia"/>
                <w:sz w:val="24"/>
              </w:rPr>
              <w:t>本</w:t>
            </w:r>
            <w:r>
              <w:rPr>
                <w:sz w:val="24"/>
              </w:rPr>
              <w:t>项目</w:t>
            </w:r>
            <w:r>
              <w:rPr>
                <w:rFonts w:hint="eastAsia"/>
                <w:sz w:val="24"/>
              </w:rPr>
              <w:t>运营期产生</w:t>
            </w:r>
            <w:r>
              <w:rPr>
                <w:sz w:val="24"/>
              </w:rPr>
              <w:t>属清洁能源，</w:t>
            </w:r>
            <w:r>
              <w:rPr>
                <w:rFonts w:hint="eastAsia"/>
                <w:sz w:val="24"/>
              </w:rPr>
              <w:t>排放少量污染物。</w:t>
            </w:r>
            <w:r>
              <w:rPr>
                <w:sz w:val="24"/>
              </w:rPr>
              <w:t>运营期主要污染物如下图所示</w:t>
            </w:r>
            <w:r>
              <w:rPr>
                <w:rFonts w:hint="eastAsia"/>
                <w:sz w:val="24"/>
              </w:rPr>
              <w:t>，主要有光伏板清洗废水、升压站废矿物油、箱变油、生活污水隔油池化粪池污泥、污水处理设施污泥等。</w:t>
            </w:r>
          </w:p>
          <w:p w14:paraId="5D37C900">
            <w:pPr>
              <w:spacing w:line="360" w:lineRule="auto"/>
              <w:jc w:val="center"/>
              <w:rPr>
                <w:rFonts w:hint="eastAsia"/>
                <w:snapToGrid w:val="0"/>
                <w:kern w:val="0"/>
                <w:sz w:val="24"/>
              </w:rPr>
            </w:pPr>
            <w:r>
              <w:object>
                <v:shape id="_x0000_i1025" o:spt="75" type="#_x0000_t75" style="height:193.4pt;width:380.95pt;" o:ole="t" filled="f" o:preferrelative="t" stroked="f" coordsize="21600,21600">
                  <v:path/>
                  <v:fill on="f" focussize="0,0"/>
                  <v:stroke on="f" joinstyle="miter"/>
                  <v:imagedata r:id="rId29" o:title=""/>
                  <o:lock v:ext="edit" aspectratio="t"/>
                  <w10:wrap type="none"/>
                  <w10:anchorlock/>
                </v:shape>
                <o:OLEObject Type="Embed" ProgID="PBrush" ShapeID="_x0000_i1025" DrawAspect="Content" ObjectID="_1468075725" r:id="rId28">
                  <o:LockedField>false</o:LockedField>
                </o:OLEObject>
              </w:object>
            </w:r>
          </w:p>
          <w:p w14:paraId="3975E569">
            <w:pPr>
              <w:adjustRightInd w:val="0"/>
              <w:snapToGrid w:val="0"/>
              <w:spacing w:line="360" w:lineRule="auto"/>
              <w:jc w:val="center"/>
              <w:rPr>
                <w:b/>
                <w:bCs/>
                <w:sz w:val="24"/>
                <w:szCs w:val="24"/>
              </w:rPr>
            </w:pPr>
            <w:r>
              <w:rPr>
                <w:rFonts w:hint="eastAsia"/>
                <w:b/>
                <w:bCs/>
                <w:sz w:val="24"/>
                <w:szCs w:val="24"/>
              </w:rPr>
              <w:t xml:space="preserve">图4.2.1-1  </w:t>
            </w:r>
            <w:r>
              <w:rPr>
                <w:b/>
                <w:bCs/>
                <w:sz w:val="24"/>
                <w:szCs w:val="24"/>
              </w:rPr>
              <w:t>运营期</w:t>
            </w:r>
            <w:r>
              <w:rPr>
                <w:rFonts w:hint="eastAsia"/>
                <w:b/>
                <w:bCs/>
                <w:sz w:val="24"/>
                <w:szCs w:val="24"/>
              </w:rPr>
              <w:t>项目</w:t>
            </w:r>
            <w:r>
              <w:rPr>
                <w:b/>
                <w:bCs/>
                <w:sz w:val="24"/>
                <w:szCs w:val="24"/>
              </w:rPr>
              <w:t>产污环节示意图</w:t>
            </w:r>
          </w:p>
          <w:p w14:paraId="17AA2F62">
            <w:pPr>
              <w:overflowPunct w:val="0"/>
              <w:topLinePunct/>
              <w:autoSpaceDE w:val="0"/>
              <w:autoSpaceDN w:val="0"/>
              <w:spacing w:line="360" w:lineRule="auto"/>
              <w:rPr>
                <w:rFonts w:hint="eastAsia"/>
                <w:b/>
                <w:bCs/>
                <w:snapToGrid w:val="0"/>
                <w:kern w:val="0"/>
                <w:sz w:val="24"/>
              </w:rPr>
            </w:pPr>
            <w:r>
              <w:rPr>
                <w:rFonts w:hint="eastAsia"/>
                <w:b/>
                <w:bCs/>
                <w:snapToGrid w:val="0"/>
                <w:kern w:val="0"/>
                <w:sz w:val="24"/>
              </w:rPr>
              <w:t>4.2.2 运营期生态环境影响分析</w:t>
            </w:r>
          </w:p>
          <w:p w14:paraId="0F438E71">
            <w:pPr>
              <w:overflowPunct w:val="0"/>
              <w:topLinePunct/>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（1）对当地植物的影响</w:t>
            </w:r>
          </w:p>
          <w:p w14:paraId="1571E7CE">
            <w:pPr>
              <w:overflowPunct w:val="0"/>
              <w:topLinePunct/>
              <w:autoSpaceDE w:val="0"/>
              <w:autoSpaceDN w:val="0"/>
              <w:spacing w:line="360" w:lineRule="auto"/>
              <w:ind w:firstLine="480" w:firstLineChars="200"/>
              <w:rPr>
                <w:color w:val="000000"/>
                <w:sz w:val="24"/>
              </w:rPr>
            </w:pPr>
            <w:r>
              <w:rPr>
                <w:color w:val="000000"/>
                <w:sz w:val="24"/>
              </w:rPr>
              <w:t>项目运行期对植被的影响主要体现在电池面板架设后，在地面产生的阴影对地面植被生长的影响。</w:t>
            </w:r>
            <w:r>
              <w:rPr>
                <w:rFonts w:hint="eastAsia"/>
                <w:color w:val="000000"/>
                <w:sz w:val="24"/>
              </w:rPr>
              <w:t>本项目</w:t>
            </w:r>
            <w:r>
              <w:rPr>
                <w:color w:val="000000"/>
                <w:sz w:val="24"/>
              </w:rPr>
              <w:t>受阴影影响区域内植被受到的日照减少，该区域内的植被将受到一定程度的影响。施工结束后，根据项目所在区域的环境特征，对施工破坏和扰动区域内的植被进行恢复，对受电池面板阴影影响范围内的区域，采用</w:t>
            </w:r>
            <w:r>
              <w:rPr>
                <w:rFonts w:hint="eastAsia"/>
                <w:color w:val="000000"/>
                <w:sz w:val="24"/>
              </w:rPr>
              <w:t>适宜</w:t>
            </w:r>
            <w:r>
              <w:rPr>
                <w:color w:val="000000"/>
                <w:sz w:val="24"/>
              </w:rPr>
              <w:t>植物进行植被恢复。采取以上措施后，能最大限度</w:t>
            </w:r>
            <w:r>
              <w:rPr>
                <w:rFonts w:hint="eastAsia"/>
                <w:color w:val="000000"/>
                <w:sz w:val="24"/>
              </w:rPr>
              <w:t>地</w:t>
            </w:r>
            <w:r>
              <w:rPr>
                <w:color w:val="000000"/>
                <w:sz w:val="24"/>
              </w:rPr>
              <w:t>减少工程建设对区域植被的影响，不会对区域生态系统的完整性和生物多样性产生影响。</w:t>
            </w:r>
          </w:p>
          <w:p w14:paraId="754D396B">
            <w:pPr>
              <w:overflowPunct w:val="0"/>
              <w:topLinePunct/>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（2）对当地动物的影响</w:t>
            </w:r>
          </w:p>
          <w:p w14:paraId="0D84C47E">
            <w:pPr>
              <w:pStyle w:val="212"/>
              <w:ind w:firstLine="480"/>
              <w:rPr>
                <w:rFonts w:hint="eastAsia"/>
              </w:rPr>
            </w:pPr>
            <w:r>
              <w:rPr>
                <w:rFonts w:hint="eastAsia"/>
              </w:rPr>
              <w:t>本项目建成后，项目区域设置围栏，以及光伏列阵的支架占用部分地面，将减少地面动物的活动区域，但围栏遮挡以及支架使用的面积较小，影响范围小；本项目声源少，噪声值较低，产生的噪声经光伏组件隔声和距离衰减后，不会对地面上动物的日常活动造成影响。因此，项目建设不会对区域内动物的生存环境造成明显影响。</w:t>
            </w:r>
          </w:p>
          <w:p w14:paraId="2A8492FA">
            <w:pPr>
              <w:overflowPunct w:val="0"/>
              <w:topLinePunct/>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（3）景观环境影响</w:t>
            </w:r>
          </w:p>
          <w:p w14:paraId="1C455BB2">
            <w:pPr>
              <w:pStyle w:val="212"/>
              <w:ind w:firstLine="480"/>
              <w:rPr>
                <w:rFonts w:hint="eastAsia"/>
              </w:rPr>
            </w:pPr>
            <w:r>
              <w:rPr>
                <w:rFonts w:hint="eastAsia"/>
              </w:rPr>
              <w:t>本项目的建设在一定程度上会改变区域的景观格局，项目建设所占用的土地类型主要为草地。项目建设的主要占地包括升压站占地和光伏阵列占地，光伏阵列采用支架进行安装，仅支架基础桩和升压站属于永久占地，不会对用地进行大规模开挖。因此，项目建设对现有地貌及植被的破坏较小。</w:t>
            </w:r>
          </w:p>
          <w:p w14:paraId="25E9AD83">
            <w:pPr>
              <w:pStyle w:val="212"/>
              <w:ind w:firstLine="480"/>
              <w:rPr>
                <w:color w:val="000000"/>
                <w:kern w:val="0"/>
                <w:szCs w:val="20"/>
              </w:rPr>
            </w:pPr>
            <w:r>
              <w:rPr>
                <w:rFonts w:hint="eastAsia"/>
                <w:kern w:val="0"/>
                <w:szCs w:val="20"/>
              </w:rPr>
              <w:t>项目建成后，不会改变现有的生态景观类型。电站在设计光伏组件布局时，在满足设计要求的前提下，尽量依据山势进行布置。此外，太阳能光伏板朝向天空，安装倾角不会面向地面，在视觉上不会直接映入人眼，且光伏板不会反光，从而减少了对景观形态的影响。本项目建成后，将实施绿化及植被恢复措施，</w:t>
            </w:r>
            <w:r>
              <w:rPr>
                <w:rFonts w:hint="eastAsia"/>
                <w:color w:val="000000"/>
                <w:kern w:val="0"/>
                <w:szCs w:val="20"/>
              </w:rPr>
              <w:t>所以项目建设对景观的影响不大。</w:t>
            </w:r>
          </w:p>
          <w:p w14:paraId="7E52137C">
            <w:pPr>
              <w:overflowPunct w:val="0"/>
              <w:topLinePunct/>
              <w:autoSpaceDE w:val="0"/>
              <w:autoSpaceDN w:val="0"/>
              <w:spacing w:line="360" w:lineRule="auto"/>
              <w:ind w:firstLine="482" w:firstLineChars="200"/>
              <w:rPr>
                <w:b/>
                <w:bCs/>
                <w:snapToGrid w:val="0"/>
                <w:kern w:val="0"/>
                <w:sz w:val="24"/>
              </w:rPr>
            </w:pPr>
            <w:r>
              <w:rPr>
                <w:rFonts w:hint="eastAsia"/>
                <w:b/>
                <w:bCs/>
                <w:snapToGrid w:val="0"/>
                <w:kern w:val="0"/>
                <w:sz w:val="24"/>
              </w:rPr>
              <w:t>（</w:t>
            </w:r>
            <w:r>
              <w:rPr>
                <w:b/>
                <w:bCs/>
                <w:snapToGrid w:val="0"/>
                <w:kern w:val="0"/>
                <w:sz w:val="24"/>
              </w:rPr>
              <w:t>4</w:t>
            </w:r>
            <w:r>
              <w:rPr>
                <w:rFonts w:hint="eastAsia"/>
                <w:b/>
                <w:bCs/>
                <w:snapToGrid w:val="0"/>
                <w:kern w:val="0"/>
                <w:sz w:val="24"/>
              </w:rPr>
              <w:t>）鸟类影响</w:t>
            </w:r>
          </w:p>
          <w:p w14:paraId="5264F0ED">
            <w:pPr>
              <w:pStyle w:val="212"/>
              <w:ind w:firstLine="480"/>
              <w:rPr>
                <w:kern w:val="0"/>
                <w:szCs w:val="20"/>
                <w:lang w:val="en-US"/>
              </w:rPr>
            </w:pPr>
            <w:r>
              <w:rPr>
                <w:rFonts w:hint="eastAsia"/>
                <w:kern w:val="0"/>
                <w:szCs w:val="20"/>
                <w:lang w:val="en-US"/>
              </w:rPr>
              <w:t>架空线路对鸟类的飞行会产生一定的不利影响，项目不涉及云南省候鸟迁徙通道，且通常情况下鸟类飞行高度大于100m，远远高于集电线路和塔基的高度，工程运行对鸟类影响较小。</w:t>
            </w:r>
          </w:p>
          <w:p w14:paraId="58176AA4">
            <w:pPr>
              <w:overflowPunct w:val="0"/>
              <w:topLinePunct/>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w:t>
            </w:r>
            <w:r>
              <w:rPr>
                <w:b/>
                <w:bCs/>
                <w:snapToGrid w:val="0"/>
                <w:kern w:val="0"/>
                <w:sz w:val="24"/>
              </w:rPr>
              <w:t>5</w:t>
            </w:r>
            <w:r>
              <w:rPr>
                <w:rFonts w:hint="eastAsia"/>
                <w:b/>
                <w:bCs/>
                <w:snapToGrid w:val="0"/>
                <w:kern w:val="0"/>
                <w:sz w:val="24"/>
              </w:rPr>
              <w:t>）水土流失影响分析</w:t>
            </w:r>
          </w:p>
          <w:p w14:paraId="0C072FB1">
            <w:pPr>
              <w:spacing w:line="360" w:lineRule="auto"/>
              <w:ind w:firstLine="480" w:firstLineChars="200"/>
              <w:rPr>
                <w:bCs/>
                <w:snapToGrid w:val="0"/>
                <w:kern w:val="0"/>
                <w:sz w:val="24"/>
                <w:szCs w:val="24"/>
              </w:rPr>
            </w:pPr>
            <w:r>
              <w:rPr>
                <w:rFonts w:hint="eastAsia"/>
                <w:bCs/>
                <w:snapToGrid w:val="0"/>
                <w:kern w:val="0"/>
                <w:sz w:val="24"/>
                <w:szCs w:val="24"/>
              </w:rPr>
              <w:t>项目投入运行后，其水土流失防护工程也完成并开始发挥作用，可有效控制项目建设引起的水土流失。光伏板区域采取种植作物，有保持水土的功效，但是项目部分区域采用植物措施，临时占地范围内的植被恢复一般在3年内才能逐步稳定，达到较好的水土保持效果。在水土保持工程和植物措施有效发挥作用后，项目区内的水土流失可得到完全控制，项目建设区的水土流失可达到轻度以下水平，工程建设造成的水土流失可得到基本治理，并使工程占地区域内水土流失状况得到明显改善。因此，项目运营期不会引起不良的水土流失。</w:t>
            </w:r>
          </w:p>
          <w:p w14:paraId="15E865DE">
            <w:pPr>
              <w:overflowPunct w:val="0"/>
              <w:topLinePunct/>
              <w:autoSpaceDE w:val="0"/>
              <w:autoSpaceDN w:val="0"/>
              <w:spacing w:line="360" w:lineRule="auto"/>
              <w:rPr>
                <w:rFonts w:hint="eastAsia"/>
                <w:b/>
                <w:bCs/>
                <w:snapToGrid w:val="0"/>
                <w:kern w:val="0"/>
                <w:sz w:val="24"/>
              </w:rPr>
            </w:pPr>
            <w:r>
              <w:rPr>
                <w:rFonts w:hint="eastAsia"/>
                <w:b/>
                <w:bCs/>
                <w:snapToGrid w:val="0"/>
                <w:kern w:val="0"/>
                <w:sz w:val="24"/>
              </w:rPr>
              <w:t>4.2.3 运营期光污染影响分析</w:t>
            </w:r>
          </w:p>
          <w:p w14:paraId="010D20FD">
            <w:pPr>
              <w:spacing w:line="360" w:lineRule="auto"/>
              <w:ind w:firstLine="480" w:firstLineChars="200"/>
              <w:rPr>
                <w:sz w:val="24"/>
                <w:szCs w:val="20"/>
              </w:rPr>
            </w:pPr>
            <w:r>
              <w:rPr>
                <w:sz w:val="24"/>
                <w:szCs w:val="20"/>
              </w:rPr>
              <w:t>本项目采用的晶体硅太阳能电池片是封装在两层建筑玻璃之间，电池本身不向外辐射任何形式的光。未被吸收的太阳光中一部分被前面板玻璃反射回去，前面板玻璃为普通建筑用钢化玻璃；另一部分将穿透前面板、硅材料吸收层和背面板，就如同穿透普通玻璃一般，没有任何变化。</w:t>
            </w:r>
          </w:p>
          <w:p w14:paraId="343A2A28">
            <w:pPr>
              <w:spacing w:line="360" w:lineRule="auto"/>
              <w:ind w:firstLine="480" w:firstLineChars="200"/>
              <w:rPr>
                <w:sz w:val="24"/>
                <w:szCs w:val="20"/>
              </w:rPr>
            </w:pPr>
            <w:r>
              <w:rPr>
                <w:sz w:val="24"/>
                <w:szCs w:val="20"/>
              </w:rPr>
              <w:t>光伏电池的制作中具有减反射的设计，主要是使用带激光刻槽或者化学腐蚀方法，使硅片表面形成凹凸不平的绒面</w:t>
            </w:r>
            <w:r>
              <w:rPr>
                <w:rFonts w:hint="eastAsia"/>
                <w:sz w:val="24"/>
                <w:szCs w:val="20"/>
              </w:rPr>
              <w:t>，</w:t>
            </w:r>
            <w:r>
              <w:rPr>
                <w:sz w:val="24"/>
                <w:szCs w:val="20"/>
              </w:rPr>
              <w:t>减少入射光的反射、增加光的吸收，提高光电转换效率。这些绒面在显微镜下呈现非周期性排列的金字塔型，对可见光和近红外光（波长400nm</w:t>
            </w:r>
            <w:r>
              <w:rPr>
                <w:rFonts w:hint="eastAsia"/>
                <w:sz w:val="24"/>
                <w:szCs w:val="20"/>
              </w:rPr>
              <w:t>~</w:t>
            </w:r>
            <w:r>
              <w:rPr>
                <w:sz w:val="24"/>
                <w:szCs w:val="20"/>
              </w:rPr>
              <w:t>1050nm）反射率仅为4%</w:t>
            </w:r>
            <w:r>
              <w:rPr>
                <w:rFonts w:hint="eastAsia"/>
                <w:sz w:val="24"/>
                <w:szCs w:val="20"/>
              </w:rPr>
              <w:t>~</w:t>
            </w:r>
            <w:r>
              <w:rPr>
                <w:sz w:val="24"/>
                <w:szCs w:val="20"/>
              </w:rPr>
              <w:t>11%，其它波长的光，包括紫外光和红外光（波长小于400nm和大于1050nm）都将穿透玻璃和硅材料。被反射的4%</w:t>
            </w:r>
            <w:r>
              <w:rPr>
                <w:rFonts w:hint="eastAsia"/>
                <w:sz w:val="24"/>
                <w:szCs w:val="20"/>
              </w:rPr>
              <w:t>~</w:t>
            </w:r>
            <w:r>
              <w:rPr>
                <w:sz w:val="24"/>
                <w:szCs w:val="20"/>
              </w:rPr>
              <w:t>11%可见光和近红外光属漫反射，不是指向某地固定方向的镜面反射，其反射率远远低于国家规定的30%，不会对周围环境产生光污染</w:t>
            </w:r>
            <w:r>
              <w:rPr>
                <w:rFonts w:hint="eastAsia"/>
                <w:sz w:val="24"/>
                <w:szCs w:val="20"/>
              </w:rPr>
              <w:t>。</w:t>
            </w:r>
          </w:p>
          <w:tbl>
            <w:tblPr>
              <w:tblStyle w:val="30"/>
              <w:tblW w:w="9240" w:type="dxa"/>
              <w:tblInd w:w="5" w:type="dxa"/>
              <w:tblLayout w:type="fixed"/>
              <w:tblCellMar>
                <w:top w:w="0" w:type="dxa"/>
                <w:left w:w="108" w:type="dxa"/>
                <w:bottom w:w="0" w:type="dxa"/>
                <w:right w:w="108" w:type="dxa"/>
              </w:tblCellMar>
            </w:tblPr>
            <w:tblGrid>
              <w:gridCol w:w="3869"/>
              <w:gridCol w:w="5371"/>
            </w:tblGrid>
            <w:tr w14:paraId="6FC94663">
              <w:tblPrEx>
                <w:tblCellMar>
                  <w:top w:w="0" w:type="dxa"/>
                  <w:left w:w="108" w:type="dxa"/>
                  <w:bottom w:w="0" w:type="dxa"/>
                  <w:right w:w="108" w:type="dxa"/>
                </w:tblCellMar>
              </w:tblPrEx>
              <w:trPr>
                <w:trHeight w:val="3325" w:hRule="atLeast"/>
              </w:trPr>
              <w:tc>
                <w:tcPr>
                  <w:tcW w:w="3869" w:type="dxa"/>
                  <w:vAlign w:val="center"/>
                </w:tcPr>
                <w:p w14:paraId="147DB66B">
                  <w:pPr>
                    <w:pStyle w:val="29"/>
                    <w:spacing w:after="0"/>
                    <w:ind w:left="0" w:leftChars="0" w:firstLine="0" w:firstLineChars="0"/>
                    <w:jc w:val="center"/>
                    <w:rPr>
                      <w:rFonts w:hint="eastAsia"/>
                    </w:rPr>
                  </w:pPr>
                  <w:r>
                    <w:rPr>
                      <w:rFonts w:eastAsia="黑体"/>
                      <w:color w:val="000000"/>
                      <w:kern w:val="0"/>
                      <w:szCs w:val="20"/>
                    </w:rPr>
                    <w:drawing>
                      <wp:inline distT="0" distB="0" distL="0" distR="0">
                        <wp:extent cx="2294890" cy="2001520"/>
                        <wp:effectExtent l="0" t="0" r="0" b="0"/>
                        <wp:docPr id="46" name="图片 136" descr="../../../Administrator/AppData/Roaming/Microsoft/Users/Administrator/AppData/Roaming/Microsoft/大古衙/Application%2525252525252525252525252525252525252525252525252525252525252525252525252525252525252525252525252525252525252525252525252525252525252525252525252525252525252525252525252525252525252525252525252525252525252525252525252520Data/Tencent/Users/104886133/QQ/WinTemp/RichOle/VVBWXB(%252525252525252525252525252525252525252525252525252525252525252525252525252525252525252525252525252525252525252525252525252525252525252525252525252525252525252525252525252525252525252525252525252525252525252525252525257bP0HPBE9JH0JC3F1.jpg"/>
                        <wp:cNvGraphicFramePr/>
                        <a:graphic xmlns:a="http://schemas.openxmlformats.org/drawingml/2006/main">
                          <a:graphicData uri="http://schemas.openxmlformats.org/drawingml/2006/picture">
                            <pic:pic xmlns:pic="http://schemas.openxmlformats.org/drawingml/2006/picture">
                              <pic:nvPicPr>
                                <pic:cNvPr id="46" name="图片 136" descr="../../../Administrator/AppData/Roaming/Microsoft/Users/Administrator/AppData/Roaming/Microsoft/大古衙/Application%2525252525252525252525252525252525252525252525252525252525252525252525252525252525252525252525252525252525252525252525252525252525252525252525252525252525252525252525252525252525252525252525252525252525252525252525252520Data/Tencent/Users/104886133/QQ/WinTemp/RichOle/VVBWXB(%252525252525252525252525252525252525252525252525252525252525252525252525252525252525252525252525252525252525252525252525252525252525252525252525252525252525252525252525252525252525252525252525252525252525252525252525257bP0HPBE9JH0JC3F1.jpg"/>
                                <pic:cNvPicPr preferRelativeResize="0">
                                  <a:picLocks noChangeArrowheads="1"/>
                                </pic:cNvPicPr>
                              </pic:nvPicPr>
                              <pic:blipFill>
                                <a:blip r:embed="rId30" r:link="rId31">
                                  <a:extLst>
                                    <a:ext uri="{28A0092B-C50C-407E-A947-70E740481C1C}">
                                      <a14:useLocalDpi xmlns:a14="http://schemas.microsoft.com/office/drawing/2010/main" val="0"/>
                                    </a:ext>
                                  </a:extLst>
                                </a:blip>
                                <a:srcRect l="13226" t="10480" r="44725" b="12370"/>
                                <a:stretch>
                                  <a:fillRect/>
                                </a:stretch>
                              </pic:blipFill>
                              <pic:spPr>
                                <a:xfrm>
                                  <a:off x="0" y="0"/>
                                  <a:ext cx="2294890" cy="2001520"/>
                                </a:xfrm>
                                <a:prstGeom prst="rect">
                                  <a:avLst/>
                                </a:prstGeom>
                                <a:noFill/>
                                <a:ln>
                                  <a:noFill/>
                                </a:ln>
                                <a:effectLst/>
                              </pic:spPr>
                            </pic:pic>
                          </a:graphicData>
                        </a:graphic>
                      </wp:inline>
                    </w:drawing>
                  </w:r>
                </w:p>
              </w:tc>
              <w:tc>
                <w:tcPr>
                  <w:tcW w:w="5371" w:type="dxa"/>
                  <w:vAlign w:val="center"/>
                </w:tcPr>
                <w:p w14:paraId="7746AA7C">
                  <w:pPr>
                    <w:pStyle w:val="29"/>
                    <w:spacing w:after="0"/>
                    <w:ind w:left="0" w:leftChars="0" w:firstLine="0" w:firstLineChars="0"/>
                    <w:jc w:val="center"/>
                    <w:rPr>
                      <w:rFonts w:hint="eastAsia"/>
                    </w:rPr>
                  </w:pPr>
                  <w:r>
                    <w:rPr>
                      <w:rFonts w:eastAsia="黑体"/>
                      <w:color w:val="000000"/>
                      <w:szCs w:val="20"/>
                    </w:rPr>
                    <w:drawing>
                      <wp:inline distT="0" distB="0" distL="0" distR="0">
                        <wp:extent cx="2717165" cy="1638935"/>
                        <wp:effectExtent l="0" t="0" r="0" b="0"/>
                        <wp:docPr id="47"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40"/>
                                <pic:cNvPicPr>
                                  <a:picLocks noChangeAspect="1" noChangeArrowheads="1"/>
                                </pic:cNvPicPr>
                              </pic:nvPicPr>
                              <pic:blipFill>
                                <a:blip r:embed="rId32" cstate="print">
                                  <a:extLst>
                                    <a:ext uri="{28A0092B-C50C-407E-A947-70E740481C1C}">
                                      <a14:useLocalDpi xmlns:a14="http://schemas.microsoft.com/office/drawing/2010/main" val="0"/>
                                    </a:ext>
                                  </a:extLst>
                                </a:blip>
                                <a:srcRect l="28134" t="28162" r="30399" b="33333"/>
                                <a:stretch>
                                  <a:fillRect/>
                                </a:stretch>
                              </pic:blipFill>
                              <pic:spPr>
                                <a:xfrm>
                                  <a:off x="0" y="0"/>
                                  <a:ext cx="2717165" cy="1638935"/>
                                </a:xfrm>
                                <a:prstGeom prst="rect">
                                  <a:avLst/>
                                </a:prstGeom>
                                <a:noFill/>
                                <a:ln>
                                  <a:noFill/>
                                </a:ln>
                                <a:effectLst/>
                              </pic:spPr>
                            </pic:pic>
                          </a:graphicData>
                        </a:graphic>
                      </wp:inline>
                    </w:drawing>
                  </w:r>
                </w:p>
              </w:tc>
            </w:tr>
          </w:tbl>
          <w:p w14:paraId="5F67B347">
            <w:pPr>
              <w:spacing w:line="360" w:lineRule="auto"/>
              <w:jc w:val="center"/>
              <w:rPr>
                <w:b/>
                <w:snapToGrid w:val="0"/>
                <w:color w:val="000000"/>
                <w:kern w:val="0"/>
                <w:sz w:val="24"/>
                <w:szCs w:val="20"/>
              </w:rPr>
            </w:pPr>
            <w:r>
              <w:rPr>
                <w:b/>
                <w:snapToGrid w:val="0"/>
                <w:color w:val="000000"/>
                <w:kern w:val="0"/>
                <w:sz w:val="24"/>
                <w:szCs w:val="20"/>
              </w:rPr>
              <w:t>图4</w:t>
            </w:r>
            <w:r>
              <w:rPr>
                <w:rFonts w:hint="eastAsia"/>
                <w:b/>
                <w:snapToGrid w:val="0"/>
                <w:color w:val="000000"/>
                <w:kern w:val="0"/>
                <w:sz w:val="24"/>
                <w:szCs w:val="20"/>
              </w:rPr>
              <w:t>.2.2</w:t>
            </w:r>
            <w:r>
              <w:rPr>
                <w:b/>
                <w:snapToGrid w:val="0"/>
                <w:color w:val="000000"/>
                <w:kern w:val="0"/>
                <w:sz w:val="24"/>
                <w:szCs w:val="20"/>
              </w:rPr>
              <w:t>-</w:t>
            </w:r>
            <w:r>
              <w:rPr>
                <w:rFonts w:hint="eastAsia"/>
                <w:b/>
                <w:snapToGrid w:val="0"/>
                <w:color w:val="000000"/>
                <w:kern w:val="0"/>
                <w:sz w:val="24"/>
                <w:szCs w:val="20"/>
              </w:rPr>
              <w:t xml:space="preserve">1  </w:t>
            </w:r>
            <w:r>
              <w:rPr>
                <w:b/>
                <w:snapToGrid w:val="0"/>
                <w:color w:val="000000"/>
                <w:kern w:val="0"/>
                <w:sz w:val="24"/>
                <w:szCs w:val="20"/>
              </w:rPr>
              <w:t>太阳能电池反射示意图</w:t>
            </w:r>
          </w:p>
          <w:p w14:paraId="2035A0B9">
            <w:pPr>
              <w:spacing w:line="360" w:lineRule="auto"/>
              <w:ind w:firstLine="480" w:firstLineChars="200"/>
              <w:rPr>
                <w:sz w:val="24"/>
                <w:szCs w:val="24"/>
              </w:rPr>
            </w:pPr>
            <w:r>
              <w:rPr>
                <w:sz w:val="24"/>
                <w:szCs w:val="24"/>
              </w:rPr>
              <w:t>项目在设计时充分考虑了反射光的影响，即太阳电池组件产品中采用的晶体硅是经过刻槽处理的（其上刻了小金字塔样的槽体），同时加了ZVA材料，最大限度的起到了吸收太阳光的作用，防止反射的同时充分吸收太阳光</w:t>
            </w:r>
            <w:r>
              <w:rPr>
                <w:rFonts w:hint="eastAsia"/>
                <w:sz w:val="24"/>
                <w:szCs w:val="24"/>
              </w:rPr>
              <w:t>，</w:t>
            </w:r>
            <w:r>
              <w:rPr>
                <w:sz w:val="24"/>
                <w:szCs w:val="24"/>
              </w:rPr>
              <w:t>减少反射光对周围敏感目标的影响</w:t>
            </w:r>
            <w:r>
              <w:rPr>
                <w:rFonts w:hint="eastAsia"/>
                <w:sz w:val="24"/>
                <w:szCs w:val="24"/>
              </w:rPr>
              <w:t>。</w:t>
            </w:r>
          </w:p>
          <w:p w14:paraId="1A47FFB7">
            <w:pPr>
              <w:spacing w:line="360" w:lineRule="auto"/>
              <w:ind w:firstLine="480" w:firstLineChars="200"/>
              <w:rPr>
                <w:sz w:val="24"/>
                <w:szCs w:val="24"/>
              </w:rPr>
            </w:pPr>
            <w:r>
              <w:rPr>
                <w:sz w:val="24"/>
                <w:szCs w:val="24"/>
              </w:rPr>
              <w:t>本项目建设周边50m范围内有11处环境敏感点，</w:t>
            </w:r>
            <w:r>
              <w:rPr>
                <w:rFonts w:hint="eastAsia"/>
                <w:sz w:val="24"/>
                <w:szCs w:val="24"/>
              </w:rPr>
              <w:t>其中L18光伏阵列区附近散户、黑泥塘居民点、酸多梨树居民点、田尾坝居民点、梁子上居民点、炭山坡居民点、杨家村居民点</w:t>
            </w:r>
            <w:r>
              <w:rPr>
                <w:sz w:val="24"/>
                <w:szCs w:val="24"/>
              </w:rPr>
              <w:t>距光伏板距离较近，在其周边种植树木，绿色植物可以将反射光转变为漫反射，从而达到防治光污染的目的。</w:t>
            </w:r>
          </w:p>
          <w:p w14:paraId="373F3458">
            <w:pPr>
              <w:overflowPunct w:val="0"/>
              <w:topLinePunct/>
              <w:autoSpaceDE w:val="0"/>
              <w:autoSpaceDN w:val="0"/>
              <w:spacing w:line="360" w:lineRule="auto"/>
              <w:rPr>
                <w:rFonts w:hint="eastAsia"/>
                <w:b/>
                <w:bCs/>
                <w:snapToGrid w:val="0"/>
                <w:kern w:val="0"/>
                <w:sz w:val="24"/>
              </w:rPr>
            </w:pPr>
            <w:r>
              <w:rPr>
                <w:rFonts w:hint="eastAsia"/>
                <w:b/>
                <w:bCs/>
                <w:snapToGrid w:val="0"/>
                <w:kern w:val="0"/>
                <w:sz w:val="24"/>
              </w:rPr>
              <w:t>4.2.4 运营期污染影响分析</w:t>
            </w:r>
          </w:p>
          <w:p w14:paraId="6D180E13">
            <w:pPr>
              <w:overflowPunct w:val="0"/>
              <w:topLinePunct/>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（1）运营期大气环境影响</w:t>
            </w:r>
          </w:p>
          <w:p w14:paraId="24ECCA26">
            <w:pPr>
              <w:spacing w:line="360" w:lineRule="auto"/>
              <w:ind w:firstLine="480" w:firstLineChars="200"/>
              <w:rPr>
                <w:sz w:val="24"/>
              </w:rPr>
            </w:pPr>
            <w:r>
              <w:rPr>
                <w:sz w:val="24"/>
              </w:rPr>
              <w:t>光伏发电是将太阳能转换为电能，在转换过程中没有废气排放。</w:t>
            </w:r>
            <w:r>
              <w:rPr>
                <w:rFonts w:hint="eastAsia"/>
                <w:sz w:val="24"/>
              </w:rPr>
              <w:t>运营期项目使用清洁能源电，产生的废气主要为食堂油烟、汽车尾气、污水处理设施异味及光伏阵列区清洗车辆扬尘。</w:t>
            </w:r>
          </w:p>
          <w:p w14:paraId="798B874F">
            <w:pPr>
              <w:spacing w:line="360" w:lineRule="auto"/>
              <w:ind w:firstLine="480" w:firstLineChars="200"/>
              <w:rPr>
                <w:sz w:val="24"/>
              </w:rPr>
            </w:pPr>
            <w:r>
              <w:rPr>
                <w:rFonts w:hint="eastAsia"/>
                <w:sz w:val="24"/>
              </w:rPr>
              <w:t>1）食堂油烟</w:t>
            </w:r>
          </w:p>
          <w:p w14:paraId="17FF8B1D">
            <w:pPr>
              <w:spacing w:line="360" w:lineRule="auto"/>
              <w:ind w:firstLine="480" w:firstLineChars="200"/>
              <w:rPr>
                <w:sz w:val="24"/>
              </w:rPr>
            </w:pPr>
            <w:r>
              <w:rPr>
                <w:rFonts w:hint="eastAsia"/>
                <w:sz w:val="24"/>
              </w:rPr>
              <w:t>本项目新增定员1人。以礼河三级电站综合楼内设置有食堂，食堂使用能源为电、液化气，设置</w:t>
            </w:r>
            <w:r>
              <w:rPr>
                <w:sz w:val="24"/>
              </w:rPr>
              <w:t>1</w:t>
            </w:r>
            <w:r>
              <w:rPr>
                <w:rFonts w:hint="eastAsia"/>
                <w:sz w:val="24"/>
              </w:rPr>
              <w:t>个灶头，食堂产生的少量油烟，经带免检标识的油烟净化器处理后排放，少量油烟废气对周围环境影响小。</w:t>
            </w:r>
          </w:p>
          <w:p w14:paraId="219BC2E5">
            <w:pPr>
              <w:spacing w:line="360" w:lineRule="auto"/>
              <w:ind w:firstLine="480" w:firstLineChars="200"/>
              <w:rPr>
                <w:sz w:val="24"/>
              </w:rPr>
            </w:pPr>
            <w:r>
              <w:rPr>
                <w:rFonts w:hint="eastAsia"/>
                <w:sz w:val="24"/>
              </w:rPr>
              <w:t>2）</w:t>
            </w:r>
            <w:r>
              <w:rPr>
                <w:sz w:val="24"/>
              </w:rPr>
              <w:t>汽车尾气</w:t>
            </w:r>
          </w:p>
          <w:p w14:paraId="0AEB67F3">
            <w:pPr>
              <w:spacing w:line="360" w:lineRule="auto"/>
              <w:ind w:firstLine="480" w:firstLineChars="200"/>
              <w:rPr>
                <w:sz w:val="24"/>
              </w:rPr>
            </w:pPr>
            <w:r>
              <w:rPr>
                <w:rFonts w:hint="eastAsia"/>
                <w:sz w:val="24"/>
              </w:rPr>
              <w:t>以礼河三级电站内停车区</w:t>
            </w:r>
            <w:r>
              <w:rPr>
                <w:sz w:val="24"/>
              </w:rPr>
              <w:t>车辆进出时排放少量的汽车尾气，</w:t>
            </w:r>
            <w:r>
              <w:rPr>
                <w:rFonts w:hint="eastAsia"/>
                <w:sz w:val="24"/>
              </w:rPr>
              <w:t>主要成分是</w:t>
            </w:r>
            <w:r>
              <w:rPr>
                <w:sz w:val="24"/>
              </w:rPr>
              <w:t>烯烃类、CO和NO</w:t>
            </w:r>
            <w:r>
              <w:rPr>
                <w:sz w:val="24"/>
                <w:vertAlign w:val="subscript"/>
              </w:rPr>
              <w:t>X</w:t>
            </w:r>
            <w:r>
              <w:rPr>
                <w:sz w:val="24"/>
              </w:rPr>
              <w:t>，属无组织排放，</w:t>
            </w:r>
            <w:r>
              <w:rPr>
                <w:rFonts w:hint="eastAsia"/>
                <w:sz w:val="24"/>
              </w:rPr>
              <w:t>间歇性</w:t>
            </w:r>
            <w:r>
              <w:rPr>
                <w:sz w:val="24"/>
              </w:rPr>
              <w:t>排放</w:t>
            </w:r>
            <w:r>
              <w:rPr>
                <w:rFonts w:hint="eastAsia"/>
                <w:sz w:val="24"/>
              </w:rPr>
              <w:t>，其</w:t>
            </w:r>
            <w:r>
              <w:rPr>
                <w:sz w:val="24"/>
              </w:rPr>
              <w:t>排放量少，可及时扩散，对环境的影响较小。</w:t>
            </w:r>
          </w:p>
          <w:p w14:paraId="7AC002EC">
            <w:pPr>
              <w:pStyle w:val="212"/>
              <w:ind w:firstLine="480"/>
            </w:pPr>
            <w:r>
              <w:rPr>
                <w:rFonts w:hint="eastAsia"/>
              </w:rPr>
              <w:t>3）污水处理设施异味</w:t>
            </w:r>
          </w:p>
          <w:p w14:paraId="2CC580D4">
            <w:pPr>
              <w:pStyle w:val="212"/>
              <w:ind w:firstLine="480"/>
            </w:pPr>
            <w:r>
              <w:rPr>
                <w:rFonts w:hint="eastAsia"/>
                <w:lang w:val="en-US"/>
              </w:rPr>
              <w:t>以礼河三级电站以新代老设置污水处理系统配套化粪池</w:t>
            </w:r>
            <w:r>
              <w:rPr>
                <w:rFonts w:hint="eastAsia"/>
              </w:rPr>
              <w:t>，由于规模较小，且</w:t>
            </w:r>
            <w:r>
              <w:rPr>
                <w:rFonts w:hint="eastAsia"/>
                <w:lang w:val="en-US"/>
              </w:rPr>
              <w:t>电站</w:t>
            </w:r>
            <w:r>
              <w:rPr>
                <w:rFonts w:hint="eastAsia"/>
              </w:rPr>
              <w:t>值班人员较少，产生的异味非常少，定期清掏且经过自然稀释以及周边绿化植物的吸收后，此部分异味对周围空气环境影响较小</w:t>
            </w:r>
            <w:r>
              <w:t>。</w:t>
            </w:r>
          </w:p>
          <w:p w14:paraId="049E3023">
            <w:pPr>
              <w:pStyle w:val="212"/>
              <w:ind w:firstLine="480"/>
            </w:pPr>
            <w:r>
              <w:rPr>
                <w:rFonts w:hint="eastAsia"/>
              </w:rPr>
              <w:t>4）道路扬尘</w:t>
            </w:r>
          </w:p>
          <w:p w14:paraId="487ABB1D">
            <w:pPr>
              <w:pStyle w:val="212"/>
              <w:ind w:firstLine="480"/>
              <w:rPr>
                <w:rFonts w:hint="eastAsia"/>
              </w:rPr>
            </w:pPr>
            <w:r>
              <w:rPr>
                <w:rFonts w:hint="eastAsia"/>
              </w:rPr>
              <w:t>清洗车辆行驶会造成近地面扬尘浓度升高，要求定期对道路进行清扫保洁，定时开展道路洒水降尘等工作。</w:t>
            </w:r>
          </w:p>
          <w:p w14:paraId="42BD6B97">
            <w:pPr>
              <w:overflowPunct w:val="0"/>
              <w:topLinePunct/>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（2）运营期水环境影响</w:t>
            </w:r>
          </w:p>
          <w:p w14:paraId="1520D8E2">
            <w:pPr>
              <w:spacing w:line="360" w:lineRule="auto"/>
              <w:ind w:firstLine="480"/>
              <w:rPr>
                <w:sz w:val="24"/>
              </w:rPr>
            </w:pPr>
            <w:r>
              <w:rPr>
                <w:rFonts w:hint="eastAsia"/>
                <w:sz w:val="24"/>
              </w:rPr>
              <w:t>项目运营期主要产生的废水为生活污水和太阳能电池清洗废水。</w:t>
            </w:r>
          </w:p>
          <w:p w14:paraId="786E4072">
            <w:pPr>
              <w:spacing w:line="360" w:lineRule="auto"/>
              <w:ind w:firstLine="480"/>
              <w:rPr>
                <w:rFonts w:hint="eastAsia"/>
                <w:sz w:val="24"/>
              </w:rPr>
            </w:pPr>
            <w:r>
              <w:rPr>
                <w:rFonts w:hint="eastAsia"/>
                <w:sz w:val="24"/>
              </w:rPr>
              <w:t>1）生活污水</w:t>
            </w:r>
          </w:p>
          <w:p w14:paraId="400EBAC5">
            <w:pPr>
              <w:spacing w:line="360" w:lineRule="auto"/>
              <w:ind w:firstLine="480" w:firstLineChars="200"/>
              <w:rPr>
                <w:sz w:val="24"/>
              </w:rPr>
            </w:pPr>
            <w:r>
              <w:rPr>
                <w:sz w:val="24"/>
              </w:rPr>
              <w:t>以礼河三级电站配置运行人员12人，绿坪光伏项目配置运行人员1人，合计配置工作人员为13人，根据《云南省地方标准用水定额》（DB53/T168-2026），生活用水量按0.11m</w:t>
            </w:r>
            <w:r>
              <w:rPr>
                <w:sz w:val="24"/>
                <w:vertAlign w:val="superscript"/>
              </w:rPr>
              <w:t>3</w:t>
            </w:r>
            <w:r>
              <w:rPr>
                <w:sz w:val="24"/>
              </w:rPr>
              <w:t>/（人·d）计算，生活用水量为1.43m</w:t>
            </w:r>
            <w:r>
              <w:rPr>
                <w:sz w:val="24"/>
                <w:vertAlign w:val="superscript"/>
              </w:rPr>
              <w:t>3</w:t>
            </w:r>
            <w:r>
              <w:rPr>
                <w:sz w:val="24"/>
              </w:rPr>
              <w:t>/d。排水系数以0.8计，则礼河三级电站内的生活污水产生量为</w:t>
            </w:r>
            <w:bookmarkStart w:id="143" w:name="OLE_LINK75"/>
            <w:r>
              <w:rPr>
                <w:bCs/>
                <w:sz w:val="24"/>
              </w:rPr>
              <w:t>1.144</w:t>
            </w:r>
            <w:bookmarkEnd w:id="143"/>
            <w:r>
              <w:rPr>
                <w:sz w:val="24"/>
              </w:rPr>
              <w:t>m</w:t>
            </w:r>
            <w:r>
              <w:rPr>
                <w:sz w:val="24"/>
                <w:vertAlign w:val="superscript"/>
              </w:rPr>
              <w:t>3</w:t>
            </w:r>
            <w:r>
              <w:rPr>
                <w:sz w:val="24"/>
              </w:rPr>
              <w:t>/d。类似的生活污水经过化粪池处理后，废水中主要污染物及浓度为COD（380mg/L），BOD</w:t>
            </w:r>
            <w:r>
              <w:rPr>
                <w:sz w:val="24"/>
                <w:vertAlign w:val="subscript"/>
              </w:rPr>
              <w:t>5</w:t>
            </w:r>
            <w:r>
              <w:rPr>
                <w:sz w:val="24"/>
              </w:rPr>
              <w:t>（120mg/L），SS（30mg/L），NH</w:t>
            </w:r>
            <w:r>
              <w:rPr>
                <w:sz w:val="24"/>
                <w:vertAlign w:val="subscript"/>
              </w:rPr>
              <w:t>3</w:t>
            </w:r>
            <w:r>
              <w:rPr>
                <w:sz w:val="24"/>
              </w:rPr>
              <w:t>-N（30mg/L），TP（3mg/L）；经过地埋式一体化污水处理设施处理后，废水中主要污染物及浓度为COD≤50mg/L，BOD</w:t>
            </w:r>
            <w:r>
              <w:rPr>
                <w:sz w:val="24"/>
                <w:vertAlign w:val="subscript"/>
              </w:rPr>
              <w:t>5</w:t>
            </w:r>
            <w:r>
              <w:rPr>
                <w:sz w:val="24"/>
              </w:rPr>
              <w:t>≤10mg/L，SS≤10mg/L，NH</w:t>
            </w:r>
            <w:r>
              <w:rPr>
                <w:sz w:val="24"/>
                <w:vertAlign w:val="subscript"/>
              </w:rPr>
              <w:t>3</w:t>
            </w:r>
            <w:r>
              <w:rPr>
                <w:sz w:val="24"/>
              </w:rPr>
              <w:t>-N≤8mg/L，TP≤1.0mg/L。</w:t>
            </w:r>
          </w:p>
          <w:p w14:paraId="1AC62D58">
            <w:pPr>
              <w:spacing w:line="360" w:lineRule="auto"/>
              <w:ind w:firstLine="482"/>
              <w:rPr>
                <w:rFonts w:hint="eastAsia"/>
                <w:sz w:val="24"/>
                <w:szCs w:val="24"/>
              </w:rPr>
            </w:pPr>
            <w:r>
              <w:rPr>
                <w:sz w:val="24"/>
                <w:szCs w:val="24"/>
              </w:rPr>
              <w:t>根据上述分析，生活污水产生量为</w:t>
            </w:r>
            <w:r>
              <w:rPr>
                <w:bCs/>
                <w:sz w:val="24"/>
              </w:rPr>
              <w:t>1.144</w:t>
            </w:r>
            <w:r>
              <w:rPr>
                <w:sz w:val="24"/>
                <w:szCs w:val="24"/>
              </w:rPr>
              <w:t>m</w:t>
            </w:r>
            <w:r>
              <w:rPr>
                <w:sz w:val="24"/>
                <w:szCs w:val="24"/>
                <w:vertAlign w:val="superscript"/>
              </w:rPr>
              <w:t>3</w:t>
            </w:r>
            <w:r>
              <w:rPr>
                <w:sz w:val="24"/>
                <w:szCs w:val="24"/>
              </w:rPr>
              <w:t>/d，项目对目前现有的污水处理设施进行以新代老，建设一座处理规模为0.5m</w:t>
            </w:r>
            <w:r>
              <w:rPr>
                <w:sz w:val="24"/>
                <w:szCs w:val="24"/>
                <w:vertAlign w:val="superscript"/>
              </w:rPr>
              <w:t>3</w:t>
            </w:r>
            <w:r>
              <w:rPr>
                <w:sz w:val="24"/>
                <w:szCs w:val="24"/>
              </w:rPr>
              <w:t>/h的一体化污水处理设施，处理能力达到12m</w:t>
            </w:r>
            <w:r>
              <w:rPr>
                <w:sz w:val="24"/>
                <w:szCs w:val="24"/>
                <w:vertAlign w:val="superscript"/>
              </w:rPr>
              <w:t>3</w:t>
            </w:r>
            <w:r>
              <w:rPr>
                <w:sz w:val="24"/>
                <w:szCs w:val="24"/>
              </w:rPr>
              <w:t>/d，能够处理升压站产生的生活污水。污水处理拟采用MBR处理工艺</w:t>
            </w:r>
            <w:r>
              <w:rPr>
                <w:rFonts w:hint="eastAsia"/>
                <w:sz w:val="24"/>
                <w:szCs w:val="24"/>
              </w:rPr>
              <w:t>，</w:t>
            </w:r>
            <w:r>
              <w:rPr>
                <w:sz w:val="24"/>
                <w:szCs w:val="24"/>
              </w:rPr>
              <w:t>工艺流程为格栅+调节池+缺氧池+MBR池+中水暂存池，此工艺成熟稳定，污水治理效果较好，</w:t>
            </w:r>
            <w:r>
              <w:rPr>
                <w:rFonts w:hint="eastAsia"/>
                <w:sz w:val="24"/>
                <w:szCs w:val="24"/>
              </w:rPr>
              <w:t>废水处理达《污水综合排放标准》（GB</w:t>
            </w:r>
            <w:r>
              <w:rPr>
                <w:sz w:val="24"/>
                <w:szCs w:val="24"/>
              </w:rPr>
              <w:t xml:space="preserve"> </w:t>
            </w:r>
            <w:r>
              <w:rPr>
                <w:rFonts w:hint="eastAsia"/>
                <w:sz w:val="24"/>
                <w:szCs w:val="24"/>
              </w:rPr>
              <w:t>8978-1996）后进入中水池，不外排；回用于绿化、降尘时，应满足《城市污水再生利用 城市杂用水水质》（GB/T</w:t>
            </w:r>
            <w:r>
              <w:rPr>
                <w:sz w:val="24"/>
                <w:szCs w:val="24"/>
              </w:rPr>
              <w:t xml:space="preserve"> </w:t>
            </w:r>
            <w:r>
              <w:rPr>
                <w:rFonts w:hint="eastAsia"/>
                <w:sz w:val="24"/>
                <w:szCs w:val="24"/>
              </w:rPr>
              <w:t>18920-2020）绿化标准。</w:t>
            </w:r>
            <w:r>
              <w:rPr>
                <w:sz w:val="24"/>
                <w:szCs w:val="24"/>
              </w:rPr>
              <w:t>经处理后的废水排入中水暂存池，非雨天全部回用于电站站区绿化，雨天暂存于中水暂存池，根据《云南省地方标准用水定额》（DB53/T 168-2026），绿化用水定额按3L/</w:t>
            </w:r>
            <w:r>
              <w:rPr>
                <w:rFonts w:hint="eastAsia"/>
                <w:sz w:val="24"/>
                <w:szCs w:val="24"/>
              </w:rPr>
              <w:t>（</w:t>
            </w:r>
            <w:r>
              <w:rPr>
                <w:sz w:val="24"/>
                <w:szCs w:val="24"/>
              </w:rPr>
              <w:t>m</w:t>
            </w:r>
            <w:r>
              <w:rPr>
                <w:sz w:val="24"/>
                <w:szCs w:val="24"/>
                <w:vertAlign w:val="superscript"/>
              </w:rPr>
              <w:t>2</w:t>
            </w:r>
            <w:r>
              <w:rPr>
                <w:sz w:val="24"/>
                <w:szCs w:val="24"/>
              </w:rPr>
              <w:t>·次</w:t>
            </w:r>
            <w:r>
              <w:rPr>
                <w:rFonts w:hint="eastAsia"/>
                <w:sz w:val="24"/>
                <w:szCs w:val="24"/>
              </w:rPr>
              <w:t>）</w:t>
            </w:r>
            <w:r>
              <w:rPr>
                <w:sz w:val="24"/>
                <w:szCs w:val="24"/>
              </w:rPr>
              <w:t>计算，则项目站区绿化用水量为450m</w:t>
            </w:r>
            <w:r>
              <w:rPr>
                <w:sz w:val="24"/>
                <w:szCs w:val="24"/>
                <w:vertAlign w:val="superscript"/>
              </w:rPr>
              <w:t>3</w:t>
            </w:r>
            <w:r>
              <w:rPr>
                <w:sz w:val="24"/>
                <w:szCs w:val="24"/>
              </w:rPr>
              <w:t>/d。</w:t>
            </w:r>
            <w:r>
              <w:rPr>
                <w:rFonts w:hint="eastAsia"/>
                <w:sz w:val="24"/>
                <w:szCs w:val="24"/>
              </w:rPr>
              <w:t>项目生活污水产生量为</w:t>
            </w:r>
            <w:r>
              <w:rPr>
                <w:bCs/>
                <w:sz w:val="24"/>
              </w:rPr>
              <w:t>1.144</w:t>
            </w:r>
            <w:r>
              <w:rPr>
                <w:rFonts w:hint="eastAsia"/>
                <w:sz w:val="24"/>
                <w:szCs w:val="24"/>
              </w:rPr>
              <w:t>m³/d，经处理后，非雨天可全部用于绿化消耗。绿化用水会被植物完全吸收或自然蒸发，无废水外排。在厂区设置一个容积为5m</w:t>
            </w:r>
            <w:r>
              <w:rPr>
                <w:rFonts w:hint="eastAsia"/>
                <w:sz w:val="24"/>
                <w:szCs w:val="24"/>
                <w:vertAlign w:val="superscript"/>
              </w:rPr>
              <w:t>3</w:t>
            </w:r>
            <w:r>
              <w:rPr>
                <w:rFonts w:hint="eastAsia"/>
                <w:sz w:val="24"/>
                <w:szCs w:val="24"/>
              </w:rPr>
              <w:t>的中水暂存池，用于收集雨天经处理后的废水，待非雨天时进行回用。</w:t>
            </w:r>
          </w:p>
          <w:p w14:paraId="43E848B6">
            <w:pPr>
              <w:pStyle w:val="212"/>
              <w:ind w:firstLine="480"/>
              <w:rPr>
                <w:rFonts w:hint="eastAsia"/>
              </w:rPr>
            </w:pPr>
            <w:r>
              <w:rPr>
                <w:rFonts w:hint="eastAsia"/>
              </w:rPr>
              <w:t>综上，本项目生活污水经一体化污水处理设施处理后全部回用不外排是可行的。</w:t>
            </w:r>
          </w:p>
          <w:p w14:paraId="6FB25CD8">
            <w:pPr>
              <w:spacing w:line="360" w:lineRule="auto"/>
              <w:ind w:firstLine="480"/>
              <w:rPr>
                <w:sz w:val="24"/>
              </w:rPr>
            </w:pPr>
            <w:r>
              <w:rPr>
                <w:rFonts w:hint="eastAsia"/>
                <w:sz w:val="24"/>
              </w:rPr>
              <w:t>2）</w:t>
            </w:r>
            <w:r>
              <w:rPr>
                <w:sz w:val="24"/>
              </w:rPr>
              <w:t>太阳能电池</w:t>
            </w:r>
            <w:r>
              <w:rPr>
                <w:rFonts w:hint="eastAsia"/>
                <w:sz w:val="24"/>
              </w:rPr>
              <w:t>板</w:t>
            </w:r>
            <w:r>
              <w:rPr>
                <w:sz w:val="24"/>
              </w:rPr>
              <w:t>清洁废水</w:t>
            </w:r>
          </w:p>
          <w:p w14:paraId="3857C57C">
            <w:pPr>
              <w:spacing w:line="360" w:lineRule="auto"/>
              <w:ind w:firstLine="480"/>
              <w:rPr>
                <w:snapToGrid w:val="0"/>
                <w:kern w:val="0"/>
                <w:sz w:val="24"/>
                <w:szCs w:val="24"/>
              </w:rPr>
            </w:pPr>
            <w:r>
              <w:rPr>
                <w:snapToGrid w:val="0"/>
                <w:kern w:val="0"/>
                <w:sz w:val="24"/>
                <w:szCs w:val="24"/>
              </w:rPr>
              <w:t>为保证太阳能电池的发电效率，电站运行期间平均每年对组件进行一次清洗。通过罐车等方式从周边村庄或河流取水至光伏场区对组件表面进行人工擦洗。本项目共有太阳能电池组件85722块，每个支架上安装26块单晶体硅光伏组件，构成1个组串，平面尺寸约为17.179m×4.788m，本项目共有3297个组串，光伏板总面积为271093.6m</w:t>
            </w:r>
            <w:r>
              <w:rPr>
                <w:snapToGrid w:val="0"/>
                <w:kern w:val="0"/>
                <w:sz w:val="24"/>
                <w:szCs w:val="24"/>
                <w:vertAlign w:val="superscript"/>
              </w:rPr>
              <w:t>2</w:t>
            </w:r>
            <w:r>
              <w:rPr>
                <w:snapToGrid w:val="0"/>
                <w:kern w:val="0"/>
                <w:sz w:val="24"/>
                <w:szCs w:val="24"/>
              </w:rPr>
              <w:t>。</w:t>
            </w:r>
            <w:r>
              <w:rPr>
                <w:snapToGrid w:val="0"/>
                <w:color w:val="000000"/>
                <w:kern w:val="0"/>
                <w:sz w:val="24"/>
                <w:szCs w:val="24"/>
              </w:rPr>
              <w:t>光伏组件清洗用水量按照同类工程确定的0.8L/m</w:t>
            </w:r>
            <w:r>
              <w:rPr>
                <w:snapToGrid w:val="0"/>
                <w:color w:val="000000"/>
                <w:kern w:val="0"/>
                <w:sz w:val="24"/>
                <w:szCs w:val="24"/>
                <w:vertAlign w:val="superscript"/>
              </w:rPr>
              <w:t>2</w:t>
            </w:r>
            <w:r>
              <w:rPr>
                <w:snapToGrid w:val="0"/>
                <w:color w:val="000000"/>
                <w:kern w:val="0"/>
                <w:sz w:val="24"/>
                <w:szCs w:val="24"/>
              </w:rPr>
              <w:t>估算，每次清洗总用水量216.9m</w:t>
            </w:r>
            <w:r>
              <w:rPr>
                <w:snapToGrid w:val="0"/>
                <w:color w:val="000000"/>
                <w:kern w:val="0"/>
                <w:sz w:val="24"/>
                <w:szCs w:val="24"/>
                <w:vertAlign w:val="superscript"/>
              </w:rPr>
              <w:t>3</w:t>
            </w:r>
            <w:r>
              <w:rPr>
                <w:snapToGrid w:val="0"/>
                <w:color w:val="000000"/>
                <w:kern w:val="0"/>
                <w:sz w:val="24"/>
                <w:szCs w:val="24"/>
              </w:rPr>
              <w:t>。</w:t>
            </w:r>
            <w:r>
              <w:rPr>
                <w:snapToGrid w:val="0"/>
                <w:kern w:val="0"/>
                <w:sz w:val="24"/>
                <w:szCs w:val="24"/>
              </w:rPr>
              <w:t>其人工清洗频率一般为旱季清洗，一年清洗1次，每次清洗约1个月时间完成，年清洗用水量216.9m</w:t>
            </w:r>
            <w:r>
              <w:rPr>
                <w:snapToGrid w:val="0"/>
                <w:kern w:val="0"/>
                <w:sz w:val="24"/>
                <w:szCs w:val="24"/>
                <w:vertAlign w:val="superscript"/>
              </w:rPr>
              <w:t>3</w:t>
            </w:r>
            <w:r>
              <w:rPr>
                <w:snapToGrid w:val="0"/>
                <w:kern w:val="0"/>
                <w:sz w:val="24"/>
                <w:szCs w:val="24"/>
              </w:rPr>
              <w:t>/a。组件清洗过程中，部分水分蒸发进入大气，废水产生系数按0.8计，则废水产生量约为173.5m</w:t>
            </w:r>
            <w:r>
              <w:rPr>
                <w:snapToGrid w:val="0"/>
                <w:kern w:val="0"/>
                <w:sz w:val="24"/>
                <w:szCs w:val="24"/>
                <w:vertAlign w:val="superscript"/>
              </w:rPr>
              <w:t>3</w:t>
            </w:r>
            <w:r>
              <w:rPr>
                <w:snapToGrid w:val="0"/>
                <w:kern w:val="0"/>
                <w:sz w:val="24"/>
                <w:szCs w:val="24"/>
              </w:rPr>
              <w:t>/a。产生的废水顺电池组件倾斜角度直接淋洒于下方林草植被上，用于植被生长。从水质情况看，由于组件清洗过程中不添加清洗剂，产生的废水无特殊污染物，主要为SS，用于植被浇洒不会对植物生长造成不良影响。从废水产生量的角度，由于组件清洗废水是分散产生的，每平方米组件清洗用水量仅0.8L/次，光伏组件清洗仅在非雨天进行，故清洗水淋于下方林草植被上，被植物吸收，不会在地面形成径流，对外环境影响很小。</w:t>
            </w:r>
          </w:p>
          <w:p w14:paraId="3BEFC902">
            <w:pPr>
              <w:overflowPunct w:val="0"/>
              <w:topLinePunct/>
              <w:autoSpaceDE w:val="0"/>
              <w:autoSpaceDN w:val="0"/>
              <w:spacing w:line="360" w:lineRule="auto"/>
              <w:ind w:firstLine="482" w:firstLineChars="200"/>
              <w:rPr>
                <w:rFonts w:hint="eastAsia"/>
                <w:b/>
                <w:bCs/>
                <w:snapToGrid w:val="0"/>
                <w:kern w:val="0"/>
                <w:sz w:val="24"/>
                <w:lang w:bidi="ar"/>
              </w:rPr>
            </w:pPr>
            <w:r>
              <w:rPr>
                <w:rFonts w:hint="eastAsia"/>
                <w:b/>
                <w:bCs/>
                <w:snapToGrid w:val="0"/>
                <w:kern w:val="0"/>
                <w:sz w:val="24"/>
                <w:lang w:bidi="ar"/>
              </w:rPr>
              <w:t>（3）运行期声环境影响</w:t>
            </w:r>
          </w:p>
          <w:p w14:paraId="0811C895">
            <w:pPr>
              <w:overflowPunct w:val="0"/>
              <w:topLinePunct/>
              <w:autoSpaceDE w:val="0"/>
              <w:autoSpaceDN w:val="0"/>
              <w:spacing w:line="360" w:lineRule="auto"/>
              <w:ind w:firstLine="480" w:firstLineChars="200"/>
              <w:rPr>
                <w:rFonts w:hint="eastAsia"/>
                <w:snapToGrid w:val="0"/>
                <w:kern w:val="0"/>
                <w:sz w:val="24"/>
              </w:rPr>
            </w:pPr>
            <w:r>
              <w:rPr>
                <w:rFonts w:hint="eastAsia"/>
                <w:snapToGrid w:val="0"/>
                <w:kern w:val="0"/>
                <w:sz w:val="24"/>
              </w:rPr>
              <w:t>1）噪声源强</w:t>
            </w:r>
          </w:p>
          <w:p w14:paraId="04F7F5FC">
            <w:pPr>
              <w:spacing w:line="360" w:lineRule="auto"/>
              <w:ind w:firstLine="480" w:firstLineChars="200"/>
              <w:jc w:val="left"/>
              <w:rPr>
                <w:sz w:val="24"/>
              </w:rPr>
            </w:pPr>
            <w:r>
              <w:rPr>
                <w:rFonts w:hint="eastAsia"/>
                <w:sz w:val="24"/>
              </w:rPr>
              <w:t>本</w:t>
            </w:r>
            <w:r>
              <w:rPr>
                <w:sz w:val="24"/>
              </w:rPr>
              <w:t>项目运营期光伏发电主体设备基本没有机械传动或运动部件，设备噪声源强较小。电站设备运行噪声主要为</w:t>
            </w:r>
            <w:r>
              <w:rPr>
                <w:rFonts w:hint="eastAsia"/>
                <w:sz w:val="24"/>
              </w:rPr>
              <w:t>光伏发电区的</w:t>
            </w:r>
            <w:r>
              <w:rPr>
                <w:rFonts w:hint="eastAsia"/>
                <w:bCs/>
                <w:sz w:val="24"/>
              </w:rPr>
              <w:t>箱式变压器及逆变器，新建升压站的</w:t>
            </w:r>
            <w:r>
              <w:rPr>
                <w:rFonts w:hint="eastAsia"/>
                <w:sz w:val="24"/>
              </w:rPr>
              <w:t>主变</w:t>
            </w:r>
            <w:r>
              <w:rPr>
                <w:sz w:val="24"/>
              </w:rPr>
              <w:t>及水泵房水泵运行时产生的噪声。</w:t>
            </w:r>
          </w:p>
          <w:p w14:paraId="5CB7AD84">
            <w:pPr>
              <w:spacing w:line="360" w:lineRule="auto"/>
              <w:ind w:firstLine="480" w:firstLineChars="200"/>
              <w:jc w:val="left"/>
              <w:rPr>
                <w:rFonts w:hint="eastAsia"/>
                <w:sz w:val="24"/>
              </w:rPr>
            </w:pPr>
            <w:r>
              <w:rPr>
                <w:rFonts w:hint="eastAsia"/>
                <w:sz w:val="24"/>
              </w:rPr>
              <w:t>2）光伏发电区噪声影响</w:t>
            </w:r>
          </w:p>
          <w:p w14:paraId="37E25277">
            <w:pPr>
              <w:spacing w:line="360" w:lineRule="auto"/>
              <w:ind w:firstLine="480" w:firstLineChars="200"/>
              <w:jc w:val="left"/>
              <w:rPr>
                <w:rFonts w:hint="eastAsia"/>
                <w:sz w:val="24"/>
              </w:rPr>
            </w:pPr>
            <w:r>
              <w:rPr>
                <w:rFonts w:hint="eastAsia"/>
                <w:sz w:val="24"/>
              </w:rPr>
              <w:t>项目光伏区箱式变压器及逆变器，噪声源1m处的噪声源强约为63dB(A)，只要布置合理，采用一定隔声措施，随着距离的衰减对周围环境影响较小。本项目配置</w:t>
            </w:r>
            <w:r>
              <w:rPr>
                <w:sz w:val="24"/>
              </w:rPr>
              <w:t>21</w:t>
            </w:r>
            <w:r>
              <w:rPr>
                <w:rFonts w:hint="eastAsia"/>
                <w:sz w:val="24"/>
              </w:rPr>
              <w:t>台箱变，157台逆变器。</w:t>
            </w:r>
          </w:p>
          <w:p w14:paraId="4AFBE10B">
            <w:pPr>
              <w:spacing w:line="360" w:lineRule="auto"/>
              <w:ind w:firstLine="480" w:firstLineChars="200"/>
              <w:jc w:val="left"/>
              <w:rPr>
                <w:bCs/>
                <w:sz w:val="24"/>
              </w:rPr>
            </w:pPr>
            <w:r>
              <w:rPr>
                <w:rFonts w:hint="eastAsia"/>
                <w:sz w:val="24"/>
              </w:rPr>
              <w:t>逆变器及箱式变压器相对分散，且箱式变压器设置于箱变房内，逆变器设置于逆变器箱内，进行密封隔声，隔声降噪量为5dB。逆变器和箱式变压器噪声可近似视为点源处理。根据点声源噪声衰减模式，计算出离点声源不同距离处的噪声值，预测模式如下：</w:t>
            </w:r>
          </w:p>
          <w:p w14:paraId="0A25E101">
            <w:pPr>
              <w:spacing w:line="360" w:lineRule="auto"/>
              <w:jc w:val="center"/>
              <w:rPr>
                <w:sz w:val="24"/>
                <w:szCs w:val="24"/>
              </w:rPr>
            </w:pPr>
            <w:r>
              <w:rPr>
                <w:i/>
                <w:iCs/>
                <w:sz w:val="24"/>
                <w:szCs w:val="24"/>
              </w:rPr>
              <w:t>L</w:t>
            </w:r>
            <w:r>
              <w:rPr>
                <w:sz w:val="24"/>
                <w:szCs w:val="24"/>
                <w:vertAlign w:val="subscript"/>
              </w:rPr>
              <w:t>A</w:t>
            </w:r>
            <w:r>
              <w:rPr>
                <w:sz w:val="24"/>
                <w:szCs w:val="24"/>
              </w:rPr>
              <w:t>=</w:t>
            </w:r>
            <w:r>
              <w:rPr>
                <w:i/>
                <w:iCs/>
                <w:sz w:val="24"/>
                <w:szCs w:val="24"/>
              </w:rPr>
              <w:t>L</w:t>
            </w:r>
            <w:r>
              <w:rPr>
                <w:sz w:val="24"/>
                <w:szCs w:val="24"/>
                <w:vertAlign w:val="subscript"/>
              </w:rPr>
              <w:t>0</w:t>
            </w:r>
            <w:r>
              <w:rPr>
                <w:sz w:val="24"/>
                <w:szCs w:val="24"/>
              </w:rPr>
              <w:t>-20lg（</w:t>
            </w:r>
            <w:r>
              <w:rPr>
                <w:i/>
                <w:iCs/>
                <w:sz w:val="24"/>
                <w:szCs w:val="24"/>
              </w:rPr>
              <w:t>r</w:t>
            </w:r>
            <w:r>
              <w:rPr>
                <w:sz w:val="24"/>
                <w:szCs w:val="24"/>
                <w:vertAlign w:val="subscript"/>
              </w:rPr>
              <w:t>A</w:t>
            </w:r>
            <w:r>
              <w:rPr>
                <w:sz w:val="24"/>
                <w:szCs w:val="24"/>
              </w:rPr>
              <w:t>/</w:t>
            </w:r>
            <w:r>
              <w:rPr>
                <w:i/>
                <w:iCs/>
                <w:sz w:val="24"/>
                <w:szCs w:val="24"/>
              </w:rPr>
              <w:t>r</w:t>
            </w:r>
            <w:r>
              <w:rPr>
                <w:sz w:val="24"/>
                <w:szCs w:val="24"/>
                <w:vertAlign w:val="subscript"/>
              </w:rPr>
              <w:t>0</w:t>
            </w:r>
            <w:r>
              <w:rPr>
                <w:sz w:val="24"/>
                <w:szCs w:val="24"/>
              </w:rPr>
              <w:t>）-</w:t>
            </w:r>
            <w:r>
              <w:rPr>
                <w:i/>
                <w:iCs/>
                <w:sz w:val="24"/>
                <w:szCs w:val="24"/>
              </w:rPr>
              <w:t>L</w:t>
            </w:r>
            <w:r>
              <w:rPr>
                <w:sz w:val="24"/>
                <w:szCs w:val="24"/>
                <w:vertAlign w:val="subscript"/>
              </w:rPr>
              <w:t>E</w:t>
            </w:r>
          </w:p>
          <w:p w14:paraId="4A596BAA">
            <w:pPr>
              <w:spacing w:after="120" w:line="360" w:lineRule="auto"/>
              <w:ind w:left="420" w:leftChars="200" w:firstLine="240" w:firstLineChars="100"/>
              <w:rPr>
                <w:sz w:val="24"/>
                <w:szCs w:val="24"/>
              </w:rPr>
            </w:pPr>
            <w:r>
              <w:rPr>
                <w:sz w:val="24"/>
                <w:szCs w:val="24"/>
              </w:rPr>
              <w:t>式中：</w:t>
            </w:r>
            <w:r>
              <w:rPr>
                <w:i/>
                <w:iCs/>
                <w:sz w:val="24"/>
                <w:szCs w:val="24"/>
              </w:rPr>
              <w:t>L</w:t>
            </w:r>
            <w:r>
              <w:rPr>
                <w:sz w:val="24"/>
                <w:szCs w:val="24"/>
                <w:vertAlign w:val="subscript"/>
              </w:rPr>
              <w:t>A</w:t>
            </w:r>
            <w:r>
              <w:rPr>
                <w:sz w:val="24"/>
                <w:szCs w:val="24"/>
              </w:rPr>
              <w:t>—计算点处的声压级，</w:t>
            </w:r>
            <w:r>
              <w:rPr>
                <w:rFonts w:hint="eastAsia"/>
                <w:sz w:val="24"/>
                <w:szCs w:val="24"/>
              </w:rPr>
              <w:t>dB(A)</w:t>
            </w:r>
            <w:r>
              <w:rPr>
                <w:sz w:val="24"/>
                <w:szCs w:val="24"/>
              </w:rPr>
              <w:t>；</w:t>
            </w:r>
          </w:p>
          <w:p w14:paraId="0A39B282">
            <w:pPr>
              <w:spacing w:after="120" w:line="360" w:lineRule="auto"/>
              <w:ind w:left="420" w:leftChars="200" w:firstLine="960" w:firstLineChars="400"/>
              <w:rPr>
                <w:sz w:val="24"/>
                <w:szCs w:val="24"/>
              </w:rPr>
            </w:pPr>
            <w:r>
              <w:rPr>
                <w:i/>
                <w:iCs/>
                <w:sz w:val="24"/>
                <w:szCs w:val="24"/>
              </w:rPr>
              <w:t>L</w:t>
            </w:r>
            <w:r>
              <w:rPr>
                <w:sz w:val="24"/>
                <w:szCs w:val="24"/>
                <w:vertAlign w:val="subscript"/>
              </w:rPr>
              <w:t>0</w:t>
            </w:r>
            <w:r>
              <w:rPr>
                <w:sz w:val="24"/>
                <w:szCs w:val="24"/>
              </w:rPr>
              <w:t>—噪声源强，取63</w:t>
            </w:r>
            <w:r>
              <w:rPr>
                <w:rFonts w:hint="eastAsia"/>
                <w:sz w:val="24"/>
                <w:szCs w:val="24"/>
              </w:rPr>
              <w:t>dB(A)</w:t>
            </w:r>
            <w:r>
              <w:rPr>
                <w:sz w:val="24"/>
                <w:szCs w:val="24"/>
              </w:rPr>
              <w:t>；</w:t>
            </w:r>
          </w:p>
          <w:p w14:paraId="1975F6AE">
            <w:pPr>
              <w:spacing w:after="120" w:line="360" w:lineRule="auto"/>
              <w:ind w:left="420" w:leftChars="200" w:firstLine="960" w:firstLineChars="400"/>
              <w:rPr>
                <w:sz w:val="24"/>
                <w:szCs w:val="24"/>
              </w:rPr>
            </w:pPr>
            <w:r>
              <w:rPr>
                <w:i/>
                <w:iCs/>
                <w:sz w:val="24"/>
                <w:szCs w:val="24"/>
              </w:rPr>
              <w:t>r</w:t>
            </w:r>
            <w:r>
              <w:rPr>
                <w:sz w:val="24"/>
                <w:szCs w:val="24"/>
                <w:vertAlign w:val="subscript"/>
              </w:rPr>
              <w:t>0</w:t>
            </w:r>
            <w:r>
              <w:rPr>
                <w:sz w:val="24"/>
                <w:szCs w:val="24"/>
              </w:rPr>
              <w:t>—参考距离，取为1m；</w:t>
            </w:r>
          </w:p>
          <w:p w14:paraId="5F6AEA77">
            <w:pPr>
              <w:spacing w:line="360" w:lineRule="auto"/>
              <w:ind w:firstLine="1440" w:firstLineChars="600"/>
              <w:rPr>
                <w:sz w:val="24"/>
                <w:szCs w:val="24"/>
              </w:rPr>
            </w:pPr>
            <w:r>
              <w:rPr>
                <w:i/>
                <w:iCs/>
                <w:sz w:val="24"/>
                <w:szCs w:val="24"/>
              </w:rPr>
              <w:t>r</w:t>
            </w:r>
            <w:r>
              <w:rPr>
                <w:sz w:val="24"/>
                <w:szCs w:val="24"/>
                <w:vertAlign w:val="subscript"/>
              </w:rPr>
              <w:t>A</w:t>
            </w:r>
            <w:r>
              <w:rPr>
                <w:sz w:val="24"/>
                <w:szCs w:val="24"/>
              </w:rPr>
              <w:t>—声源距计算点的距离，m；</w:t>
            </w:r>
          </w:p>
          <w:p w14:paraId="6EA631B8">
            <w:pPr>
              <w:spacing w:line="360" w:lineRule="auto"/>
              <w:ind w:firstLine="1440" w:firstLineChars="600"/>
              <w:rPr>
                <w:sz w:val="24"/>
                <w:szCs w:val="24"/>
              </w:rPr>
            </w:pPr>
            <w:r>
              <w:rPr>
                <w:i/>
                <w:iCs/>
                <w:sz w:val="24"/>
                <w:szCs w:val="24"/>
              </w:rPr>
              <w:t>L</w:t>
            </w:r>
            <w:r>
              <w:rPr>
                <w:sz w:val="24"/>
                <w:szCs w:val="24"/>
                <w:vertAlign w:val="subscript"/>
              </w:rPr>
              <w:t>E</w:t>
            </w:r>
            <w:r>
              <w:rPr>
                <w:sz w:val="24"/>
                <w:szCs w:val="24"/>
              </w:rPr>
              <w:t>—为隔声量，取5</w:t>
            </w:r>
            <w:r>
              <w:rPr>
                <w:rFonts w:hint="eastAsia"/>
                <w:sz w:val="24"/>
                <w:szCs w:val="24"/>
              </w:rPr>
              <w:t>dB(A)</w:t>
            </w:r>
            <w:r>
              <w:rPr>
                <w:sz w:val="24"/>
                <w:szCs w:val="24"/>
              </w:rPr>
              <w:t>（</w:t>
            </w:r>
            <w:r>
              <w:rPr>
                <w:rFonts w:hint="eastAsia"/>
                <w:sz w:val="24"/>
                <w:szCs w:val="24"/>
              </w:rPr>
              <w:t>本项目</w:t>
            </w:r>
            <w:r>
              <w:rPr>
                <w:sz w:val="24"/>
                <w:szCs w:val="24"/>
              </w:rPr>
              <w:t>考虑</w:t>
            </w:r>
            <w:r>
              <w:rPr>
                <w:rFonts w:hint="eastAsia"/>
                <w:sz w:val="24"/>
                <w:szCs w:val="24"/>
              </w:rPr>
              <w:t>箱变密封隔声量</w:t>
            </w:r>
            <w:r>
              <w:rPr>
                <w:sz w:val="24"/>
                <w:szCs w:val="24"/>
              </w:rPr>
              <w:t>）。</w:t>
            </w:r>
          </w:p>
          <w:p w14:paraId="3B58F8E1">
            <w:pPr>
              <w:pStyle w:val="14"/>
              <w:spacing w:line="360" w:lineRule="auto"/>
              <w:ind w:firstLineChars="200"/>
              <w:rPr>
                <w:rFonts w:hint="eastAsia" w:ascii="Times New Roman" w:hAnsi="Times New Roman" w:cs="Times New Roman"/>
                <w:color w:val="auto"/>
                <w:sz w:val="24"/>
              </w:rPr>
            </w:pPr>
            <w:r>
              <w:rPr>
                <w:rFonts w:hint="eastAsia" w:ascii="Times New Roman" w:hAnsi="Times New Roman" w:cs="Times New Roman"/>
                <w:color w:val="auto"/>
                <w:sz w:val="24"/>
              </w:rPr>
              <w:t>在同一受声点接受来自多个点声源的声能，可通过叠加得出该受声点的声压级。噪声叠加公式如下：</w:t>
            </w:r>
          </w:p>
          <w:p w14:paraId="45936394">
            <w:pPr>
              <w:jc w:val="center"/>
            </w:pPr>
            <w:r>
              <w:rPr>
                <w:kern w:val="0"/>
                <w:sz w:val="24"/>
              </w:rPr>
              <w:drawing>
                <wp:inline distT="0" distB="0" distL="0" distR="0">
                  <wp:extent cx="1578610" cy="422910"/>
                  <wp:effectExtent l="0" t="0" r="0" b="0"/>
                  <wp:docPr id="48"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578610" cy="422910"/>
                          </a:xfrm>
                          <a:prstGeom prst="rect">
                            <a:avLst/>
                          </a:prstGeom>
                          <a:noFill/>
                          <a:ln>
                            <a:noFill/>
                          </a:ln>
                        </pic:spPr>
                      </pic:pic>
                    </a:graphicData>
                  </a:graphic>
                </wp:inline>
              </w:drawing>
            </w:r>
          </w:p>
          <w:p w14:paraId="562F8BFB">
            <w:pPr>
              <w:spacing w:line="360" w:lineRule="auto"/>
              <w:ind w:firstLine="480" w:firstLineChars="200"/>
            </w:pPr>
            <w:r>
              <w:rPr>
                <w:sz w:val="24"/>
                <w:szCs w:val="24"/>
              </w:rPr>
              <w:t>式中：</w:t>
            </w:r>
            <w:r>
              <w:rPr>
                <w:i/>
                <w:iCs/>
                <w:sz w:val="24"/>
                <w:szCs w:val="24"/>
              </w:rPr>
              <w:t>L</w:t>
            </w:r>
            <w:r>
              <w:rPr>
                <w:sz w:val="24"/>
                <w:szCs w:val="24"/>
                <w:vertAlign w:val="subscript"/>
              </w:rPr>
              <w:t>i</w:t>
            </w:r>
            <w:r>
              <w:rPr>
                <w:sz w:val="24"/>
                <w:szCs w:val="24"/>
              </w:rPr>
              <w:t>——第i个声源的贡献值，</w:t>
            </w:r>
            <w:r>
              <w:rPr>
                <w:rFonts w:hint="eastAsia"/>
                <w:sz w:val="24"/>
                <w:szCs w:val="24"/>
              </w:rPr>
              <w:t>dB(A)</w:t>
            </w:r>
            <w:r>
              <w:rPr>
                <w:sz w:val="24"/>
                <w:szCs w:val="24"/>
              </w:rPr>
              <w:t>；</w:t>
            </w:r>
          </w:p>
          <w:p w14:paraId="3FDAB869">
            <w:pPr>
              <w:autoSpaceDE w:val="0"/>
              <w:autoSpaceDN w:val="0"/>
              <w:adjustRightInd w:val="0"/>
              <w:spacing w:line="360" w:lineRule="auto"/>
              <w:ind w:firstLine="1200" w:firstLineChars="500"/>
              <w:jc w:val="left"/>
              <w:rPr>
                <w:sz w:val="24"/>
                <w:szCs w:val="24"/>
              </w:rPr>
            </w:pPr>
            <w:r>
              <w:rPr>
                <w:i/>
                <w:iCs/>
                <w:sz w:val="24"/>
                <w:szCs w:val="24"/>
              </w:rPr>
              <w:t>L</w:t>
            </w:r>
            <w:r>
              <w:rPr>
                <w:sz w:val="24"/>
                <w:szCs w:val="24"/>
              </w:rPr>
              <w:t>——总声压级，</w:t>
            </w:r>
            <w:r>
              <w:rPr>
                <w:rFonts w:hint="eastAsia"/>
                <w:sz w:val="24"/>
                <w:szCs w:val="24"/>
              </w:rPr>
              <w:t>dB(A)</w:t>
            </w:r>
            <w:r>
              <w:rPr>
                <w:sz w:val="24"/>
                <w:szCs w:val="24"/>
              </w:rPr>
              <w:t>；</w:t>
            </w:r>
          </w:p>
          <w:p w14:paraId="692A2D9B">
            <w:pPr>
              <w:pStyle w:val="14"/>
              <w:ind w:firstLine="1262" w:firstLineChars="526"/>
              <w:rPr>
                <w:rFonts w:ascii="Times New Roman"/>
                <w:szCs w:val="24"/>
              </w:rPr>
            </w:pPr>
            <w:r>
              <w:rPr>
                <w:rFonts w:ascii="Times New Roman"/>
                <w:i/>
                <w:iCs/>
                <w:sz w:val="24"/>
                <w:szCs w:val="24"/>
              </w:rPr>
              <w:t>n</w:t>
            </w:r>
            <w:r>
              <w:rPr>
                <w:rFonts w:ascii="Times New Roman"/>
                <w:sz w:val="24"/>
                <w:szCs w:val="24"/>
              </w:rPr>
              <w:t>——噪声源数</w:t>
            </w:r>
            <w:r>
              <w:rPr>
                <w:rFonts w:ascii="Times New Roman"/>
                <w:szCs w:val="24"/>
              </w:rPr>
              <w:t>。</w:t>
            </w:r>
          </w:p>
          <w:p w14:paraId="097139E9">
            <w:pPr>
              <w:pStyle w:val="219"/>
              <w:spacing w:before="0" w:beforeLines="0"/>
              <w:rPr>
                <w:sz w:val="24"/>
                <w:szCs w:val="24"/>
              </w:rPr>
            </w:pPr>
            <w:r>
              <w:rPr>
                <w:sz w:val="24"/>
                <w:szCs w:val="24"/>
              </w:rPr>
              <w:t>表4</w:t>
            </w:r>
            <w:r>
              <w:rPr>
                <w:rFonts w:hint="eastAsia"/>
                <w:sz w:val="24"/>
                <w:szCs w:val="24"/>
              </w:rPr>
              <w:t xml:space="preserve">.2.4-1光伏区逆变器、箱式变压器噪声预测结果 </w:t>
            </w:r>
            <w:r>
              <w:rPr>
                <w:sz w:val="24"/>
                <w:szCs w:val="24"/>
              </w:rPr>
              <w:t xml:space="preserve"> </w:t>
            </w:r>
            <w:r>
              <w:rPr>
                <w:rFonts w:hint="eastAsia"/>
                <w:sz w:val="24"/>
                <w:szCs w:val="24"/>
              </w:rPr>
              <w:t>单位：dB(A)</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119"/>
              <w:gridCol w:w="567"/>
              <w:gridCol w:w="567"/>
              <w:gridCol w:w="567"/>
              <w:gridCol w:w="567"/>
              <w:gridCol w:w="567"/>
              <w:gridCol w:w="567"/>
              <w:gridCol w:w="567"/>
              <w:gridCol w:w="552"/>
            </w:tblGrid>
            <w:tr w14:paraId="1337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tblHeader/>
                <w:jc w:val="center"/>
              </w:trPr>
              <w:tc>
                <w:tcPr>
                  <w:tcW w:w="2384" w:type="pct"/>
                  <w:vAlign w:val="center"/>
                </w:tcPr>
                <w:p w14:paraId="2C3705DF">
                  <w:pPr>
                    <w:pStyle w:val="95"/>
                    <w:rPr>
                      <w:b/>
                      <w:bCs/>
                    </w:rPr>
                  </w:pPr>
                  <w:r>
                    <w:rPr>
                      <w:rFonts w:hint="eastAsia"/>
                      <w:b/>
                      <w:bCs/>
                    </w:rPr>
                    <w:t>距声源距离r</w:t>
                  </w:r>
                </w:p>
              </w:tc>
              <w:tc>
                <w:tcPr>
                  <w:tcW w:w="328" w:type="pct"/>
                  <w:vAlign w:val="center"/>
                </w:tcPr>
                <w:p w14:paraId="01DDE611">
                  <w:pPr>
                    <w:pStyle w:val="95"/>
                    <w:rPr>
                      <w:b/>
                      <w:bCs/>
                    </w:rPr>
                  </w:pPr>
                  <w:r>
                    <w:rPr>
                      <w:b/>
                      <w:bCs/>
                    </w:rPr>
                    <w:t>1m</w:t>
                  </w:r>
                </w:p>
              </w:tc>
              <w:tc>
                <w:tcPr>
                  <w:tcW w:w="328" w:type="pct"/>
                  <w:vAlign w:val="center"/>
                </w:tcPr>
                <w:p w14:paraId="7B140FA6">
                  <w:pPr>
                    <w:pStyle w:val="95"/>
                    <w:rPr>
                      <w:b/>
                      <w:bCs/>
                    </w:rPr>
                  </w:pPr>
                  <w:r>
                    <w:rPr>
                      <w:b/>
                      <w:bCs/>
                    </w:rPr>
                    <w:t>2</w:t>
                  </w:r>
                  <w:r>
                    <w:rPr>
                      <w:rFonts w:hint="eastAsia"/>
                      <w:b/>
                      <w:bCs/>
                    </w:rPr>
                    <w:t>m</w:t>
                  </w:r>
                </w:p>
              </w:tc>
              <w:tc>
                <w:tcPr>
                  <w:tcW w:w="328" w:type="pct"/>
                  <w:vAlign w:val="center"/>
                </w:tcPr>
                <w:p w14:paraId="4D8169C4">
                  <w:pPr>
                    <w:pStyle w:val="95"/>
                    <w:rPr>
                      <w:b/>
                      <w:bCs/>
                    </w:rPr>
                  </w:pPr>
                  <w:r>
                    <w:rPr>
                      <w:b/>
                      <w:bCs/>
                    </w:rPr>
                    <w:t>5</w:t>
                  </w:r>
                  <w:r>
                    <w:rPr>
                      <w:rFonts w:hint="eastAsia"/>
                      <w:b/>
                      <w:bCs/>
                    </w:rPr>
                    <w:t>m</w:t>
                  </w:r>
                </w:p>
              </w:tc>
              <w:tc>
                <w:tcPr>
                  <w:tcW w:w="328" w:type="pct"/>
                  <w:vAlign w:val="center"/>
                </w:tcPr>
                <w:p w14:paraId="49124EA8">
                  <w:pPr>
                    <w:pStyle w:val="95"/>
                    <w:rPr>
                      <w:b/>
                      <w:bCs/>
                    </w:rPr>
                  </w:pPr>
                  <w:r>
                    <w:rPr>
                      <w:b/>
                      <w:bCs/>
                    </w:rPr>
                    <w:t>10</w:t>
                  </w:r>
                  <w:r>
                    <w:rPr>
                      <w:rFonts w:hint="eastAsia"/>
                      <w:b/>
                      <w:bCs/>
                    </w:rPr>
                    <w:t>m</w:t>
                  </w:r>
                </w:p>
              </w:tc>
              <w:tc>
                <w:tcPr>
                  <w:tcW w:w="328" w:type="pct"/>
                  <w:vAlign w:val="center"/>
                </w:tcPr>
                <w:p w14:paraId="49E5CDBA">
                  <w:pPr>
                    <w:pStyle w:val="95"/>
                    <w:rPr>
                      <w:b/>
                      <w:bCs/>
                    </w:rPr>
                  </w:pPr>
                  <w:r>
                    <w:rPr>
                      <w:b/>
                      <w:bCs/>
                    </w:rPr>
                    <w:t>20</w:t>
                  </w:r>
                  <w:r>
                    <w:rPr>
                      <w:rFonts w:hint="eastAsia"/>
                      <w:b/>
                      <w:bCs/>
                    </w:rPr>
                    <w:t>m</w:t>
                  </w:r>
                </w:p>
              </w:tc>
              <w:tc>
                <w:tcPr>
                  <w:tcW w:w="328" w:type="pct"/>
                  <w:vAlign w:val="center"/>
                </w:tcPr>
                <w:p w14:paraId="42B33C45">
                  <w:pPr>
                    <w:pStyle w:val="95"/>
                    <w:rPr>
                      <w:b/>
                      <w:bCs/>
                    </w:rPr>
                  </w:pPr>
                  <w:r>
                    <w:rPr>
                      <w:b/>
                      <w:bCs/>
                    </w:rPr>
                    <w:t>30</w:t>
                  </w:r>
                  <w:r>
                    <w:rPr>
                      <w:rFonts w:hint="eastAsia"/>
                      <w:b/>
                      <w:bCs/>
                    </w:rPr>
                    <w:t>m</w:t>
                  </w:r>
                </w:p>
              </w:tc>
              <w:tc>
                <w:tcPr>
                  <w:tcW w:w="328" w:type="pct"/>
                  <w:vAlign w:val="center"/>
                </w:tcPr>
                <w:p w14:paraId="2E97613B">
                  <w:pPr>
                    <w:pStyle w:val="95"/>
                    <w:rPr>
                      <w:b/>
                      <w:bCs/>
                    </w:rPr>
                  </w:pPr>
                  <w:r>
                    <w:rPr>
                      <w:b/>
                      <w:bCs/>
                    </w:rPr>
                    <w:t>40</w:t>
                  </w:r>
                  <w:r>
                    <w:rPr>
                      <w:rFonts w:hint="eastAsia"/>
                      <w:b/>
                      <w:bCs/>
                    </w:rPr>
                    <w:t>m</w:t>
                  </w:r>
                </w:p>
              </w:tc>
              <w:tc>
                <w:tcPr>
                  <w:tcW w:w="319" w:type="pct"/>
                  <w:vAlign w:val="center"/>
                </w:tcPr>
                <w:p w14:paraId="0BEC5FA6">
                  <w:pPr>
                    <w:pStyle w:val="95"/>
                    <w:rPr>
                      <w:b/>
                      <w:bCs/>
                    </w:rPr>
                  </w:pPr>
                  <w:r>
                    <w:rPr>
                      <w:b/>
                      <w:bCs/>
                    </w:rPr>
                    <w:t>50</w:t>
                  </w:r>
                  <w:r>
                    <w:rPr>
                      <w:rFonts w:hint="eastAsia"/>
                      <w:b/>
                      <w:bCs/>
                    </w:rPr>
                    <w:t>m</w:t>
                  </w:r>
                </w:p>
              </w:tc>
            </w:tr>
            <w:tr w14:paraId="6489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2384" w:type="pct"/>
                  <w:vAlign w:val="center"/>
                </w:tcPr>
                <w:p w14:paraId="3A8C129E">
                  <w:pPr>
                    <w:pStyle w:val="95"/>
                  </w:pPr>
                  <w:r>
                    <w:rPr>
                      <w:rFonts w:hint="eastAsia"/>
                    </w:rPr>
                    <w:t>逆变器、箱式变压器不同距离处的贡献值</w:t>
                  </w:r>
                </w:p>
              </w:tc>
              <w:tc>
                <w:tcPr>
                  <w:tcW w:w="328" w:type="pct"/>
                  <w:vAlign w:val="center"/>
                </w:tcPr>
                <w:p w14:paraId="201CBF21">
                  <w:pPr>
                    <w:pStyle w:val="95"/>
                  </w:pPr>
                  <w:r>
                    <w:rPr>
                      <w:rFonts w:hint="eastAsia"/>
                    </w:rPr>
                    <w:t>5</w:t>
                  </w:r>
                  <w:r>
                    <w:t>8</w:t>
                  </w:r>
                </w:p>
              </w:tc>
              <w:tc>
                <w:tcPr>
                  <w:tcW w:w="328" w:type="pct"/>
                  <w:vAlign w:val="center"/>
                </w:tcPr>
                <w:p w14:paraId="46D2379D">
                  <w:pPr>
                    <w:pStyle w:val="95"/>
                  </w:pPr>
                  <w:r>
                    <w:rPr>
                      <w:rFonts w:hint="eastAsia"/>
                    </w:rPr>
                    <w:t>52</w:t>
                  </w:r>
                </w:p>
              </w:tc>
              <w:tc>
                <w:tcPr>
                  <w:tcW w:w="328" w:type="pct"/>
                  <w:vAlign w:val="center"/>
                </w:tcPr>
                <w:p w14:paraId="7BF2C716">
                  <w:pPr>
                    <w:pStyle w:val="95"/>
                  </w:pPr>
                  <w:r>
                    <w:t>44</w:t>
                  </w:r>
                </w:p>
              </w:tc>
              <w:tc>
                <w:tcPr>
                  <w:tcW w:w="328" w:type="pct"/>
                  <w:vAlign w:val="center"/>
                </w:tcPr>
                <w:p w14:paraId="0CC1EE75">
                  <w:pPr>
                    <w:pStyle w:val="95"/>
                  </w:pPr>
                  <w:r>
                    <w:t>38</w:t>
                  </w:r>
                </w:p>
              </w:tc>
              <w:tc>
                <w:tcPr>
                  <w:tcW w:w="328" w:type="pct"/>
                  <w:vAlign w:val="center"/>
                </w:tcPr>
                <w:p w14:paraId="50285288">
                  <w:pPr>
                    <w:pStyle w:val="95"/>
                  </w:pPr>
                  <w:r>
                    <w:rPr>
                      <w:rFonts w:hint="eastAsia"/>
                    </w:rPr>
                    <w:t>32</w:t>
                  </w:r>
                </w:p>
              </w:tc>
              <w:tc>
                <w:tcPr>
                  <w:tcW w:w="328" w:type="pct"/>
                  <w:vAlign w:val="center"/>
                </w:tcPr>
                <w:p w14:paraId="231500C9">
                  <w:pPr>
                    <w:pStyle w:val="95"/>
                  </w:pPr>
                  <w:r>
                    <w:rPr>
                      <w:rFonts w:hint="eastAsia"/>
                    </w:rPr>
                    <w:t>28</w:t>
                  </w:r>
                </w:p>
              </w:tc>
              <w:tc>
                <w:tcPr>
                  <w:tcW w:w="328" w:type="pct"/>
                  <w:vAlign w:val="center"/>
                </w:tcPr>
                <w:p w14:paraId="00E88B6F">
                  <w:pPr>
                    <w:pStyle w:val="95"/>
                  </w:pPr>
                  <w:r>
                    <w:rPr>
                      <w:rFonts w:hint="eastAsia"/>
                    </w:rPr>
                    <w:t>26</w:t>
                  </w:r>
                </w:p>
              </w:tc>
              <w:tc>
                <w:tcPr>
                  <w:tcW w:w="319" w:type="pct"/>
                  <w:vAlign w:val="center"/>
                </w:tcPr>
                <w:p w14:paraId="1FE5CB0E">
                  <w:pPr>
                    <w:pStyle w:val="95"/>
                  </w:pPr>
                  <w:r>
                    <w:rPr>
                      <w:rFonts w:hint="eastAsia"/>
                    </w:rPr>
                    <w:t>24</w:t>
                  </w:r>
                </w:p>
              </w:tc>
            </w:tr>
          </w:tbl>
          <w:p w14:paraId="5DA930DE">
            <w:pPr>
              <w:adjustRightInd w:val="0"/>
              <w:snapToGrid w:val="0"/>
              <w:spacing w:line="360" w:lineRule="auto"/>
              <w:ind w:firstLine="480" w:firstLineChars="200"/>
              <w:rPr>
                <w:sz w:val="24"/>
              </w:rPr>
            </w:pPr>
            <w:r>
              <w:rPr>
                <w:sz w:val="24"/>
              </w:rPr>
              <w:t>本项目箱变一般都为单个设立，不存在多个箱变和逆变器叠加的情况，根据预测，在逆变器及箱式变压器增加了隔声罩以后在距离逆变器和箱式变压器5m处贡献值昼、夜均满足《工业企业厂界环境噪声排放标准》（GB 12348-2008）2类（即昼间≤60dB(A)，夜间≤50dB(A)）标准要求，因此本项目运行期间光伏区的逆变器和箱式变压器对声环境的影响很小。</w:t>
            </w:r>
          </w:p>
          <w:p w14:paraId="44D06866">
            <w:pPr>
              <w:spacing w:line="360" w:lineRule="auto"/>
              <w:ind w:firstLine="480" w:firstLineChars="200"/>
              <w:jc w:val="left"/>
              <w:rPr>
                <w:rFonts w:hint="eastAsia"/>
                <w:sz w:val="24"/>
              </w:rPr>
            </w:pPr>
            <w:r>
              <w:rPr>
                <w:rFonts w:hint="eastAsia"/>
                <w:sz w:val="24"/>
              </w:rPr>
              <w:t>3）以礼河三级电站厂界噪声影响</w:t>
            </w:r>
          </w:p>
          <w:p w14:paraId="467B273B">
            <w:pPr>
              <w:pStyle w:val="14"/>
              <w:spacing w:line="360" w:lineRule="auto"/>
              <w:ind w:firstLineChars="200"/>
              <w:rPr>
                <w:rFonts w:ascii="Times New Roman" w:hAnsi="Times New Roman" w:cs="Times New Roman"/>
                <w:color w:val="auto"/>
                <w:sz w:val="24"/>
              </w:rPr>
            </w:pPr>
            <w:r>
              <w:rPr>
                <w:rFonts w:hint="eastAsia" w:ascii="Times New Roman" w:hAnsi="Times New Roman" w:cs="Times New Roman"/>
                <w:color w:val="auto"/>
                <w:sz w:val="24"/>
              </w:rPr>
              <w:t>目前以礼河三级电站已有两台90MW的主变和两台50MW的主变正常运行，因新建升压站（50MW）位于以礼河三级电站内，相当于在厂界内增加了一个噪声源，厂界噪声预测以整个以礼河三级电站厂界为边界。新建升压站内噪声污染源主要来自主变压器，噪声以中低频为主：本次理论计算拟按点声源衰减模式进行厂界噪声预测。根据《变电站噪声控制技术导则》（DL/T 1518-2016）附录B、《35</w:t>
            </w:r>
            <w:r>
              <w:rPr>
                <w:rFonts w:ascii="Times New Roman" w:hAnsi="Times New Roman" w:cs="Times New Roman"/>
                <w:color w:val="auto"/>
                <w:sz w:val="24"/>
              </w:rPr>
              <w:t>Kv</w:t>
            </w:r>
            <w:r>
              <w:rPr>
                <w:rFonts w:hint="eastAsia" w:ascii="Times New Roman" w:hAnsi="Times New Roman" w:cs="Times New Roman"/>
                <w:color w:val="auto"/>
                <w:sz w:val="24"/>
              </w:rPr>
              <w:t>~220kV变电站无功补偿装置设计技术规定》，110kV主变压器（油浸自冷）和电抗器噪声源强声压级分别为</w:t>
            </w:r>
            <w:bookmarkStart w:id="144" w:name="OLE_LINK92"/>
            <w:r>
              <w:rPr>
                <w:rFonts w:hint="eastAsia" w:ascii="Times New Roman" w:hAnsi="Times New Roman" w:cs="Times New Roman"/>
                <w:color w:val="auto"/>
                <w:sz w:val="24"/>
              </w:rPr>
              <w:t>63.7dB(A)</w:t>
            </w:r>
            <w:bookmarkEnd w:id="144"/>
            <w:r>
              <w:rPr>
                <w:rFonts w:hint="eastAsia" w:ascii="Times New Roman" w:hAnsi="Times New Roman" w:cs="Times New Roman"/>
                <w:color w:val="auto"/>
                <w:sz w:val="24"/>
              </w:rPr>
              <w:t>和6</w:t>
            </w:r>
            <w:r>
              <w:rPr>
                <w:rFonts w:ascii="Times New Roman" w:hAnsi="Times New Roman" w:cs="Times New Roman"/>
                <w:color w:val="auto"/>
                <w:sz w:val="24"/>
              </w:rPr>
              <w:t>2</w:t>
            </w:r>
            <w:r>
              <w:rPr>
                <w:rFonts w:hint="eastAsia" w:ascii="Times New Roman" w:hAnsi="Times New Roman" w:cs="Times New Roman"/>
                <w:color w:val="auto"/>
                <w:sz w:val="24"/>
              </w:rPr>
              <w:t>dB(A)。以礼河三级电站现状厂界噪声贡献值取各厂界（东、南、西、北）对应的最大值，经公式计算，预测结果见下表，厂界等声级线图见图4</w:t>
            </w:r>
            <w:r>
              <w:rPr>
                <w:rFonts w:ascii="Times New Roman" w:hAnsi="Times New Roman" w:cs="Times New Roman"/>
                <w:color w:val="auto"/>
                <w:sz w:val="24"/>
              </w:rPr>
              <w:t>.2.4-1</w:t>
            </w:r>
            <w:r>
              <w:rPr>
                <w:rFonts w:hint="eastAsia" w:ascii="Times New Roman" w:hAnsi="Times New Roman" w:cs="Times New Roman"/>
                <w:color w:val="auto"/>
                <w:sz w:val="24"/>
              </w:rPr>
              <w:t>。</w:t>
            </w:r>
          </w:p>
          <w:p w14:paraId="2CB74EE2">
            <w:pPr>
              <w:adjustRightInd w:val="0"/>
              <w:snapToGrid w:val="0"/>
              <w:spacing w:line="360" w:lineRule="auto"/>
              <w:jc w:val="center"/>
              <w:rPr>
                <w:rFonts w:hint="eastAsia"/>
                <w:b/>
                <w:sz w:val="24"/>
                <w:szCs w:val="24"/>
              </w:rPr>
            </w:pPr>
            <w:r>
              <w:rPr>
                <w:b/>
                <w:sz w:val="24"/>
                <w:szCs w:val="24"/>
              </w:rPr>
              <w:t>表4</w:t>
            </w:r>
            <w:r>
              <w:rPr>
                <w:rFonts w:hint="eastAsia"/>
                <w:b/>
                <w:sz w:val="24"/>
                <w:szCs w:val="24"/>
              </w:rPr>
              <w:t>.2.4-2  升压站厂界噪声预测结果单位：dB(A)</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637"/>
              <w:gridCol w:w="635"/>
              <w:gridCol w:w="1246"/>
              <w:gridCol w:w="624"/>
              <w:gridCol w:w="624"/>
              <w:gridCol w:w="624"/>
              <w:gridCol w:w="624"/>
              <w:gridCol w:w="624"/>
              <w:gridCol w:w="624"/>
              <w:gridCol w:w="624"/>
              <w:gridCol w:w="626"/>
            </w:tblGrid>
            <w:tr w14:paraId="10ED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9" w:type="dxa"/>
                  <w:vMerge w:val="restart"/>
                  <w:vAlign w:val="center"/>
                </w:tcPr>
                <w:p w14:paraId="4B75416A">
                  <w:pPr>
                    <w:jc w:val="center"/>
                    <w:rPr>
                      <w:b/>
                      <w:bCs/>
                    </w:rPr>
                  </w:pPr>
                  <w:r>
                    <w:rPr>
                      <w:b/>
                      <w:bCs/>
                    </w:rPr>
                    <w:t>位置</w:t>
                  </w:r>
                </w:p>
              </w:tc>
              <w:tc>
                <w:tcPr>
                  <w:tcW w:w="1270" w:type="dxa"/>
                  <w:gridSpan w:val="2"/>
                  <w:vAlign w:val="center"/>
                </w:tcPr>
                <w:p w14:paraId="437EA357">
                  <w:pPr>
                    <w:jc w:val="center"/>
                    <w:rPr>
                      <w:b/>
                      <w:bCs/>
                    </w:rPr>
                  </w:pPr>
                  <w:r>
                    <w:rPr>
                      <w:b/>
                      <w:bCs/>
                    </w:rPr>
                    <w:t>噪声</w:t>
                  </w:r>
                  <w:r>
                    <w:rPr>
                      <w:rFonts w:hint="eastAsia"/>
                      <w:b/>
                      <w:bCs/>
                    </w:rPr>
                    <w:t>现状值</w:t>
                  </w:r>
                  <w:r>
                    <w:rPr>
                      <w:b/>
                      <w:bCs/>
                    </w:rPr>
                    <w:t>/dB</w:t>
                  </w:r>
                  <w:r>
                    <w:rPr>
                      <w:rFonts w:hint="eastAsia"/>
                      <w:b/>
                      <w:bCs/>
                    </w:rPr>
                    <w:t>(</w:t>
                  </w:r>
                  <w:r>
                    <w:rPr>
                      <w:b/>
                      <w:bCs/>
                    </w:rPr>
                    <w:t>A</w:t>
                  </w:r>
                  <w:r>
                    <w:rPr>
                      <w:rFonts w:hint="eastAsia"/>
                      <w:b/>
                      <w:bCs/>
                    </w:rPr>
                    <w:t>)</w:t>
                  </w:r>
                </w:p>
              </w:tc>
              <w:tc>
                <w:tcPr>
                  <w:tcW w:w="1250" w:type="dxa"/>
                  <w:vMerge w:val="restart"/>
                  <w:vAlign w:val="center"/>
                </w:tcPr>
                <w:p w14:paraId="74736C0C">
                  <w:pPr>
                    <w:jc w:val="center"/>
                    <w:rPr>
                      <w:b/>
                      <w:bCs/>
                    </w:rPr>
                  </w:pPr>
                  <w:r>
                    <w:rPr>
                      <w:rFonts w:hint="eastAsia"/>
                      <w:b/>
                      <w:bCs/>
                    </w:rPr>
                    <w:t>距离（m）</w:t>
                  </w:r>
                </w:p>
              </w:tc>
              <w:tc>
                <w:tcPr>
                  <w:tcW w:w="1246" w:type="dxa"/>
                  <w:gridSpan w:val="2"/>
                  <w:vAlign w:val="center"/>
                </w:tcPr>
                <w:p w14:paraId="55980A2F">
                  <w:pPr>
                    <w:jc w:val="center"/>
                    <w:rPr>
                      <w:rFonts w:hint="eastAsia"/>
                      <w:b/>
                      <w:bCs/>
                    </w:rPr>
                  </w:pPr>
                  <w:r>
                    <w:rPr>
                      <w:rFonts w:hint="eastAsia"/>
                      <w:b/>
                      <w:bCs/>
                    </w:rPr>
                    <w:t>设备</w:t>
                  </w:r>
                  <w:r>
                    <w:rPr>
                      <w:b/>
                      <w:bCs/>
                    </w:rPr>
                    <w:t>噪声贡献值/</w:t>
                  </w:r>
                  <w:r>
                    <w:rPr>
                      <w:rFonts w:hint="eastAsia"/>
                      <w:b/>
                      <w:bCs/>
                    </w:rPr>
                    <w:t>dB(A)</w:t>
                  </w:r>
                </w:p>
              </w:tc>
              <w:tc>
                <w:tcPr>
                  <w:tcW w:w="1246" w:type="dxa"/>
                  <w:gridSpan w:val="2"/>
                  <w:vAlign w:val="center"/>
                </w:tcPr>
                <w:p w14:paraId="55962D6D">
                  <w:pPr>
                    <w:jc w:val="center"/>
                    <w:rPr>
                      <w:rFonts w:hint="eastAsia"/>
                      <w:b/>
                      <w:bCs/>
                    </w:rPr>
                  </w:pPr>
                  <w:r>
                    <w:rPr>
                      <w:b/>
                      <w:bCs/>
                    </w:rPr>
                    <w:t>噪声预测值/</w:t>
                  </w:r>
                  <w:r>
                    <w:rPr>
                      <w:rFonts w:hint="eastAsia"/>
                      <w:b/>
                      <w:bCs/>
                    </w:rPr>
                    <w:t>dB(A)</w:t>
                  </w:r>
                </w:p>
              </w:tc>
              <w:tc>
                <w:tcPr>
                  <w:tcW w:w="1246" w:type="dxa"/>
                  <w:gridSpan w:val="2"/>
                  <w:vAlign w:val="center"/>
                </w:tcPr>
                <w:p w14:paraId="0D1FD852">
                  <w:pPr>
                    <w:jc w:val="center"/>
                    <w:rPr>
                      <w:rFonts w:hint="eastAsia"/>
                      <w:b/>
                      <w:bCs/>
                    </w:rPr>
                  </w:pPr>
                  <w:r>
                    <w:rPr>
                      <w:b/>
                      <w:bCs/>
                    </w:rPr>
                    <w:t>噪声标准/</w:t>
                  </w:r>
                  <w:r>
                    <w:rPr>
                      <w:rFonts w:hint="eastAsia"/>
                      <w:b/>
                      <w:bCs/>
                    </w:rPr>
                    <w:t>dB(A)</w:t>
                  </w:r>
                </w:p>
              </w:tc>
              <w:tc>
                <w:tcPr>
                  <w:tcW w:w="1248" w:type="dxa"/>
                  <w:gridSpan w:val="2"/>
                  <w:vAlign w:val="center"/>
                </w:tcPr>
                <w:p w14:paraId="6CB24A9E">
                  <w:pPr>
                    <w:jc w:val="center"/>
                    <w:rPr>
                      <w:b/>
                      <w:bCs/>
                    </w:rPr>
                  </w:pPr>
                  <w:r>
                    <w:rPr>
                      <w:b/>
                      <w:bCs/>
                    </w:rPr>
                    <w:t>超标和达标情况</w:t>
                  </w:r>
                </w:p>
              </w:tc>
            </w:tr>
            <w:tr w14:paraId="1FC6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9" w:type="dxa"/>
                  <w:vMerge w:val="continue"/>
                  <w:vAlign w:val="center"/>
                </w:tcPr>
                <w:p w14:paraId="628AEE91">
                  <w:pPr>
                    <w:jc w:val="center"/>
                    <w:rPr>
                      <w:b/>
                      <w:bCs/>
                    </w:rPr>
                  </w:pPr>
                </w:p>
              </w:tc>
              <w:tc>
                <w:tcPr>
                  <w:tcW w:w="636" w:type="dxa"/>
                  <w:vAlign w:val="center"/>
                </w:tcPr>
                <w:p w14:paraId="64BE3868">
                  <w:pPr>
                    <w:jc w:val="center"/>
                    <w:rPr>
                      <w:b/>
                      <w:bCs/>
                    </w:rPr>
                  </w:pPr>
                  <w:r>
                    <w:rPr>
                      <w:b/>
                      <w:bCs/>
                    </w:rPr>
                    <w:t>昼间</w:t>
                  </w:r>
                </w:p>
              </w:tc>
              <w:tc>
                <w:tcPr>
                  <w:tcW w:w="634" w:type="dxa"/>
                  <w:vAlign w:val="center"/>
                </w:tcPr>
                <w:p w14:paraId="2A82AFEE">
                  <w:pPr>
                    <w:jc w:val="center"/>
                    <w:rPr>
                      <w:b/>
                      <w:bCs/>
                    </w:rPr>
                  </w:pPr>
                  <w:r>
                    <w:rPr>
                      <w:b/>
                      <w:bCs/>
                    </w:rPr>
                    <w:t>夜间</w:t>
                  </w:r>
                </w:p>
              </w:tc>
              <w:tc>
                <w:tcPr>
                  <w:tcW w:w="1250" w:type="dxa"/>
                  <w:vMerge w:val="continue"/>
                  <w:vAlign w:val="center"/>
                </w:tcPr>
                <w:p w14:paraId="42822499">
                  <w:pPr>
                    <w:jc w:val="center"/>
                    <w:rPr>
                      <w:b/>
                      <w:bCs/>
                    </w:rPr>
                  </w:pPr>
                </w:p>
              </w:tc>
              <w:tc>
                <w:tcPr>
                  <w:tcW w:w="623" w:type="dxa"/>
                  <w:vAlign w:val="center"/>
                </w:tcPr>
                <w:p w14:paraId="67E96E90">
                  <w:pPr>
                    <w:jc w:val="center"/>
                    <w:rPr>
                      <w:b/>
                      <w:bCs/>
                    </w:rPr>
                  </w:pPr>
                  <w:r>
                    <w:rPr>
                      <w:b/>
                      <w:bCs/>
                    </w:rPr>
                    <w:t>昼间</w:t>
                  </w:r>
                </w:p>
              </w:tc>
              <w:tc>
                <w:tcPr>
                  <w:tcW w:w="623" w:type="dxa"/>
                  <w:vAlign w:val="center"/>
                </w:tcPr>
                <w:p w14:paraId="3EDFF181">
                  <w:pPr>
                    <w:jc w:val="center"/>
                    <w:rPr>
                      <w:b/>
                      <w:bCs/>
                    </w:rPr>
                  </w:pPr>
                  <w:r>
                    <w:rPr>
                      <w:b/>
                      <w:bCs/>
                    </w:rPr>
                    <w:t>夜间</w:t>
                  </w:r>
                </w:p>
              </w:tc>
              <w:tc>
                <w:tcPr>
                  <w:tcW w:w="623" w:type="dxa"/>
                  <w:vAlign w:val="center"/>
                </w:tcPr>
                <w:p w14:paraId="45F1D9C4">
                  <w:pPr>
                    <w:jc w:val="center"/>
                    <w:rPr>
                      <w:b/>
                      <w:bCs/>
                    </w:rPr>
                  </w:pPr>
                  <w:r>
                    <w:rPr>
                      <w:b/>
                      <w:bCs/>
                    </w:rPr>
                    <w:t>昼间</w:t>
                  </w:r>
                </w:p>
              </w:tc>
              <w:tc>
                <w:tcPr>
                  <w:tcW w:w="623" w:type="dxa"/>
                  <w:vAlign w:val="center"/>
                </w:tcPr>
                <w:p w14:paraId="0D93B223">
                  <w:pPr>
                    <w:jc w:val="center"/>
                    <w:rPr>
                      <w:b/>
                      <w:bCs/>
                    </w:rPr>
                  </w:pPr>
                  <w:r>
                    <w:rPr>
                      <w:b/>
                      <w:bCs/>
                    </w:rPr>
                    <w:t>夜间</w:t>
                  </w:r>
                </w:p>
              </w:tc>
              <w:tc>
                <w:tcPr>
                  <w:tcW w:w="623" w:type="dxa"/>
                  <w:vAlign w:val="center"/>
                </w:tcPr>
                <w:p w14:paraId="7A3430D2">
                  <w:pPr>
                    <w:jc w:val="center"/>
                    <w:rPr>
                      <w:b/>
                      <w:bCs/>
                    </w:rPr>
                  </w:pPr>
                  <w:r>
                    <w:rPr>
                      <w:b/>
                      <w:bCs/>
                    </w:rPr>
                    <w:t>昼间</w:t>
                  </w:r>
                </w:p>
              </w:tc>
              <w:tc>
                <w:tcPr>
                  <w:tcW w:w="623" w:type="dxa"/>
                  <w:vAlign w:val="center"/>
                </w:tcPr>
                <w:p w14:paraId="285DD0F5">
                  <w:pPr>
                    <w:jc w:val="center"/>
                    <w:rPr>
                      <w:b/>
                      <w:bCs/>
                    </w:rPr>
                  </w:pPr>
                  <w:r>
                    <w:rPr>
                      <w:b/>
                      <w:bCs/>
                    </w:rPr>
                    <w:t>夜间</w:t>
                  </w:r>
                </w:p>
              </w:tc>
              <w:tc>
                <w:tcPr>
                  <w:tcW w:w="623" w:type="dxa"/>
                  <w:vAlign w:val="center"/>
                </w:tcPr>
                <w:p w14:paraId="393CC9E6">
                  <w:pPr>
                    <w:jc w:val="center"/>
                    <w:rPr>
                      <w:b/>
                      <w:bCs/>
                    </w:rPr>
                  </w:pPr>
                  <w:r>
                    <w:rPr>
                      <w:b/>
                      <w:bCs/>
                    </w:rPr>
                    <w:t>昼间</w:t>
                  </w:r>
                </w:p>
              </w:tc>
              <w:tc>
                <w:tcPr>
                  <w:tcW w:w="625" w:type="dxa"/>
                  <w:vAlign w:val="center"/>
                </w:tcPr>
                <w:p w14:paraId="5E1028AB">
                  <w:pPr>
                    <w:jc w:val="center"/>
                    <w:rPr>
                      <w:b/>
                      <w:bCs/>
                    </w:rPr>
                  </w:pPr>
                  <w:r>
                    <w:rPr>
                      <w:b/>
                      <w:bCs/>
                    </w:rPr>
                    <w:t>夜间</w:t>
                  </w:r>
                </w:p>
              </w:tc>
            </w:tr>
            <w:tr w14:paraId="50AA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9" w:type="dxa"/>
                  <w:vAlign w:val="center"/>
                </w:tcPr>
                <w:p w14:paraId="5BC2C0F6">
                  <w:pPr>
                    <w:pStyle w:val="83"/>
                    <w:adjustRightInd/>
                    <w:snapToGrid/>
                    <w:spacing w:beforeLines="0" w:afterLines="0" w:line="240" w:lineRule="auto"/>
                    <w:rPr>
                      <w:b/>
                      <w:bCs/>
                      <w:kern w:val="2"/>
                      <w:szCs w:val="21"/>
                    </w:rPr>
                  </w:pPr>
                  <w:bookmarkStart w:id="145" w:name="_Hlk235970656"/>
                  <w:r>
                    <w:rPr>
                      <w:rFonts w:ascii="Times New Roman"/>
                      <w:szCs w:val="21"/>
                    </w:rPr>
                    <w:t>东面围墙1m处</w:t>
                  </w:r>
                </w:p>
              </w:tc>
              <w:tc>
                <w:tcPr>
                  <w:tcW w:w="636" w:type="dxa"/>
                  <w:vAlign w:val="center"/>
                </w:tcPr>
                <w:p w14:paraId="3A4D047C">
                  <w:pPr>
                    <w:jc w:val="center"/>
                    <w:rPr>
                      <w:kern w:val="0"/>
                    </w:rPr>
                  </w:pPr>
                  <w:r>
                    <w:rPr>
                      <w:rFonts w:hint="eastAsia"/>
                      <w:kern w:val="0"/>
                    </w:rPr>
                    <w:t>4</w:t>
                  </w:r>
                  <w:r>
                    <w:rPr>
                      <w:kern w:val="0"/>
                    </w:rPr>
                    <w:t>4</w:t>
                  </w:r>
                </w:p>
              </w:tc>
              <w:tc>
                <w:tcPr>
                  <w:tcW w:w="634" w:type="dxa"/>
                  <w:vAlign w:val="center"/>
                </w:tcPr>
                <w:p w14:paraId="6943FEAE">
                  <w:pPr>
                    <w:jc w:val="center"/>
                    <w:rPr>
                      <w:kern w:val="0"/>
                    </w:rPr>
                  </w:pPr>
                  <w:r>
                    <w:rPr>
                      <w:rFonts w:hint="eastAsia"/>
                      <w:kern w:val="0"/>
                    </w:rPr>
                    <w:t>3</w:t>
                  </w:r>
                  <w:r>
                    <w:rPr>
                      <w:kern w:val="0"/>
                    </w:rPr>
                    <w:t>9</w:t>
                  </w:r>
                </w:p>
              </w:tc>
              <w:tc>
                <w:tcPr>
                  <w:tcW w:w="1250" w:type="dxa"/>
                  <w:vAlign w:val="center"/>
                </w:tcPr>
                <w:p w14:paraId="2B46056B">
                  <w:pPr>
                    <w:jc w:val="center"/>
                    <w:rPr>
                      <w:kern w:val="0"/>
                    </w:rPr>
                  </w:pPr>
                  <w:r>
                    <w:rPr>
                      <w:kern w:val="0"/>
                    </w:rPr>
                    <w:t>距</w:t>
                  </w:r>
                  <w:r>
                    <w:rPr>
                      <w:rFonts w:hint="eastAsia"/>
                      <w:kern w:val="0"/>
                    </w:rPr>
                    <w:t>新建</w:t>
                  </w:r>
                  <w:bookmarkStart w:id="146" w:name="OLE_LINK61"/>
                  <w:r>
                    <w:rPr>
                      <w:rFonts w:hint="eastAsia"/>
                      <w:kern w:val="0"/>
                    </w:rPr>
                    <w:t>升</w:t>
                  </w:r>
                  <w:bookmarkEnd w:id="146"/>
                  <w:r>
                    <w:rPr>
                      <w:rFonts w:hint="eastAsia"/>
                      <w:kern w:val="0"/>
                    </w:rPr>
                    <w:t>压站</w:t>
                  </w:r>
                  <w:r>
                    <w:rPr>
                      <w:kern w:val="0"/>
                    </w:rPr>
                    <w:t>主变距离380</w:t>
                  </w:r>
                  <w:r>
                    <w:rPr>
                      <w:rFonts w:hint="eastAsia"/>
                      <w:kern w:val="0"/>
                    </w:rPr>
                    <w:t>m</w:t>
                  </w:r>
                </w:p>
              </w:tc>
              <w:tc>
                <w:tcPr>
                  <w:tcW w:w="623" w:type="dxa"/>
                  <w:vAlign w:val="center"/>
                </w:tcPr>
                <w:p w14:paraId="1C5011B1">
                  <w:pPr>
                    <w:jc w:val="center"/>
                    <w:rPr>
                      <w:kern w:val="0"/>
                    </w:rPr>
                  </w:pPr>
                  <w:r>
                    <w:rPr>
                      <w:rFonts w:hint="eastAsia"/>
                      <w:kern w:val="0"/>
                    </w:rPr>
                    <w:t>1</w:t>
                  </w:r>
                  <w:r>
                    <w:rPr>
                      <w:kern w:val="0"/>
                    </w:rPr>
                    <w:t>4</w:t>
                  </w:r>
                </w:p>
              </w:tc>
              <w:tc>
                <w:tcPr>
                  <w:tcW w:w="623" w:type="dxa"/>
                  <w:vAlign w:val="center"/>
                </w:tcPr>
                <w:p w14:paraId="2D51E15D">
                  <w:pPr>
                    <w:jc w:val="center"/>
                    <w:rPr>
                      <w:kern w:val="0"/>
                    </w:rPr>
                  </w:pPr>
                  <w:r>
                    <w:rPr>
                      <w:rFonts w:hint="eastAsia"/>
                      <w:kern w:val="0"/>
                    </w:rPr>
                    <w:t>1</w:t>
                  </w:r>
                  <w:r>
                    <w:rPr>
                      <w:kern w:val="0"/>
                    </w:rPr>
                    <w:t>4</w:t>
                  </w:r>
                </w:p>
              </w:tc>
              <w:tc>
                <w:tcPr>
                  <w:tcW w:w="623" w:type="dxa"/>
                  <w:vAlign w:val="center"/>
                </w:tcPr>
                <w:p w14:paraId="76E7B4E0">
                  <w:pPr>
                    <w:jc w:val="center"/>
                    <w:rPr>
                      <w:kern w:val="0"/>
                    </w:rPr>
                  </w:pPr>
                  <w:r>
                    <w:rPr>
                      <w:rFonts w:hint="eastAsia"/>
                      <w:kern w:val="0"/>
                    </w:rPr>
                    <w:t>4</w:t>
                  </w:r>
                  <w:r>
                    <w:rPr>
                      <w:kern w:val="0"/>
                    </w:rPr>
                    <w:t>4</w:t>
                  </w:r>
                </w:p>
              </w:tc>
              <w:tc>
                <w:tcPr>
                  <w:tcW w:w="623" w:type="dxa"/>
                  <w:vAlign w:val="center"/>
                </w:tcPr>
                <w:p w14:paraId="09C1543C">
                  <w:pPr>
                    <w:jc w:val="center"/>
                    <w:rPr>
                      <w:kern w:val="0"/>
                    </w:rPr>
                  </w:pPr>
                  <w:r>
                    <w:rPr>
                      <w:kern w:val="0"/>
                    </w:rPr>
                    <w:t>39</w:t>
                  </w:r>
                </w:p>
              </w:tc>
              <w:tc>
                <w:tcPr>
                  <w:tcW w:w="623" w:type="dxa"/>
                  <w:vAlign w:val="center"/>
                </w:tcPr>
                <w:p w14:paraId="146D77F5">
                  <w:pPr>
                    <w:jc w:val="center"/>
                    <w:rPr>
                      <w:kern w:val="0"/>
                    </w:rPr>
                  </w:pPr>
                  <w:r>
                    <w:rPr>
                      <w:kern w:val="0"/>
                    </w:rPr>
                    <w:t>60</w:t>
                  </w:r>
                </w:p>
              </w:tc>
              <w:tc>
                <w:tcPr>
                  <w:tcW w:w="623" w:type="dxa"/>
                  <w:vAlign w:val="center"/>
                </w:tcPr>
                <w:p w14:paraId="05AE5AE6">
                  <w:pPr>
                    <w:jc w:val="center"/>
                    <w:rPr>
                      <w:kern w:val="0"/>
                    </w:rPr>
                  </w:pPr>
                  <w:r>
                    <w:rPr>
                      <w:rFonts w:hint="eastAsia"/>
                      <w:kern w:val="0"/>
                    </w:rPr>
                    <w:t>5</w:t>
                  </w:r>
                  <w:r>
                    <w:rPr>
                      <w:kern w:val="0"/>
                    </w:rPr>
                    <w:t>0</w:t>
                  </w:r>
                </w:p>
              </w:tc>
              <w:tc>
                <w:tcPr>
                  <w:tcW w:w="623" w:type="dxa"/>
                  <w:vAlign w:val="center"/>
                </w:tcPr>
                <w:p w14:paraId="187022DB">
                  <w:pPr>
                    <w:jc w:val="center"/>
                    <w:rPr>
                      <w:kern w:val="0"/>
                    </w:rPr>
                  </w:pPr>
                  <w:r>
                    <w:rPr>
                      <w:rFonts w:hint="eastAsia"/>
                      <w:kern w:val="0"/>
                    </w:rPr>
                    <w:t>达标</w:t>
                  </w:r>
                </w:p>
              </w:tc>
              <w:tc>
                <w:tcPr>
                  <w:tcW w:w="625" w:type="dxa"/>
                  <w:vAlign w:val="center"/>
                </w:tcPr>
                <w:p w14:paraId="4C9C7C6C">
                  <w:pPr>
                    <w:jc w:val="center"/>
                    <w:rPr>
                      <w:kern w:val="0"/>
                    </w:rPr>
                  </w:pPr>
                  <w:r>
                    <w:rPr>
                      <w:rFonts w:hint="eastAsia"/>
                      <w:kern w:val="0"/>
                    </w:rPr>
                    <w:t>达标</w:t>
                  </w:r>
                </w:p>
              </w:tc>
            </w:tr>
            <w:tr w14:paraId="53E8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9" w:type="dxa"/>
                  <w:vAlign w:val="center"/>
                </w:tcPr>
                <w:p w14:paraId="487C4BB1">
                  <w:pPr>
                    <w:pStyle w:val="83"/>
                    <w:adjustRightInd/>
                    <w:snapToGrid/>
                    <w:spacing w:beforeLines="0" w:afterLines="0" w:line="240" w:lineRule="auto"/>
                    <w:rPr>
                      <w:b/>
                      <w:bCs/>
                      <w:kern w:val="2"/>
                      <w:szCs w:val="21"/>
                    </w:rPr>
                  </w:pPr>
                  <w:r>
                    <w:rPr>
                      <w:rFonts w:ascii="Times New Roman"/>
                      <w:szCs w:val="21"/>
                    </w:rPr>
                    <w:t>南面围墙1m处</w:t>
                  </w:r>
                </w:p>
              </w:tc>
              <w:tc>
                <w:tcPr>
                  <w:tcW w:w="636" w:type="dxa"/>
                  <w:vAlign w:val="center"/>
                </w:tcPr>
                <w:p w14:paraId="79DF8D4D">
                  <w:pPr>
                    <w:jc w:val="center"/>
                    <w:rPr>
                      <w:kern w:val="0"/>
                    </w:rPr>
                  </w:pPr>
                  <w:r>
                    <w:rPr>
                      <w:rFonts w:hint="eastAsia"/>
                      <w:kern w:val="0"/>
                    </w:rPr>
                    <w:t>4</w:t>
                  </w:r>
                  <w:r>
                    <w:rPr>
                      <w:kern w:val="0"/>
                    </w:rPr>
                    <w:t>7</w:t>
                  </w:r>
                </w:p>
              </w:tc>
              <w:tc>
                <w:tcPr>
                  <w:tcW w:w="634" w:type="dxa"/>
                  <w:vAlign w:val="center"/>
                </w:tcPr>
                <w:p w14:paraId="5CBD2DA2">
                  <w:pPr>
                    <w:jc w:val="center"/>
                    <w:rPr>
                      <w:kern w:val="0"/>
                    </w:rPr>
                  </w:pPr>
                  <w:r>
                    <w:rPr>
                      <w:rFonts w:hint="eastAsia"/>
                      <w:kern w:val="0"/>
                    </w:rPr>
                    <w:t>4</w:t>
                  </w:r>
                  <w:r>
                    <w:rPr>
                      <w:kern w:val="0"/>
                    </w:rPr>
                    <w:t>2</w:t>
                  </w:r>
                </w:p>
              </w:tc>
              <w:tc>
                <w:tcPr>
                  <w:tcW w:w="1250" w:type="dxa"/>
                  <w:vAlign w:val="center"/>
                </w:tcPr>
                <w:p w14:paraId="00A1303B">
                  <w:pPr>
                    <w:jc w:val="center"/>
                    <w:rPr>
                      <w:kern w:val="0"/>
                    </w:rPr>
                  </w:pPr>
                  <w:r>
                    <w:rPr>
                      <w:kern w:val="0"/>
                    </w:rPr>
                    <w:t>距</w:t>
                  </w:r>
                  <w:r>
                    <w:rPr>
                      <w:rFonts w:hint="eastAsia"/>
                      <w:kern w:val="0"/>
                    </w:rPr>
                    <w:t>新建升压站</w:t>
                  </w:r>
                  <w:r>
                    <w:rPr>
                      <w:kern w:val="0"/>
                    </w:rPr>
                    <w:t>主变距离20</w:t>
                  </w:r>
                  <w:r>
                    <w:rPr>
                      <w:rFonts w:hint="eastAsia"/>
                      <w:kern w:val="0"/>
                    </w:rPr>
                    <w:t>m</w:t>
                  </w:r>
                </w:p>
              </w:tc>
              <w:tc>
                <w:tcPr>
                  <w:tcW w:w="623" w:type="dxa"/>
                  <w:vAlign w:val="center"/>
                </w:tcPr>
                <w:p w14:paraId="5F61686F">
                  <w:pPr>
                    <w:jc w:val="center"/>
                    <w:rPr>
                      <w:kern w:val="0"/>
                    </w:rPr>
                  </w:pPr>
                  <w:r>
                    <w:rPr>
                      <w:rFonts w:hint="eastAsia"/>
                      <w:kern w:val="0"/>
                    </w:rPr>
                    <w:t>4</w:t>
                  </w:r>
                  <w:r>
                    <w:rPr>
                      <w:kern w:val="0"/>
                    </w:rPr>
                    <w:t>2</w:t>
                  </w:r>
                </w:p>
              </w:tc>
              <w:tc>
                <w:tcPr>
                  <w:tcW w:w="623" w:type="dxa"/>
                  <w:vAlign w:val="center"/>
                </w:tcPr>
                <w:p w14:paraId="6666F997">
                  <w:pPr>
                    <w:jc w:val="center"/>
                    <w:rPr>
                      <w:kern w:val="0"/>
                    </w:rPr>
                  </w:pPr>
                  <w:r>
                    <w:rPr>
                      <w:rFonts w:hint="eastAsia"/>
                      <w:kern w:val="0"/>
                    </w:rPr>
                    <w:t>4</w:t>
                  </w:r>
                  <w:r>
                    <w:rPr>
                      <w:kern w:val="0"/>
                    </w:rPr>
                    <w:t>2</w:t>
                  </w:r>
                </w:p>
              </w:tc>
              <w:tc>
                <w:tcPr>
                  <w:tcW w:w="623" w:type="dxa"/>
                  <w:vAlign w:val="center"/>
                </w:tcPr>
                <w:p w14:paraId="754834A2">
                  <w:pPr>
                    <w:jc w:val="center"/>
                    <w:rPr>
                      <w:kern w:val="0"/>
                    </w:rPr>
                  </w:pPr>
                  <w:r>
                    <w:rPr>
                      <w:rFonts w:hint="eastAsia"/>
                      <w:kern w:val="0"/>
                    </w:rPr>
                    <w:t>4</w:t>
                  </w:r>
                  <w:r>
                    <w:rPr>
                      <w:kern w:val="0"/>
                    </w:rPr>
                    <w:t>8</w:t>
                  </w:r>
                </w:p>
              </w:tc>
              <w:tc>
                <w:tcPr>
                  <w:tcW w:w="623" w:type="dxa"/>
                  <w:vAlign w:val="center"/>
                </w:tcPr>
                <w:p w14:paraId="2B9ABB8C">
                  <w:pPr>
                    <w:jc w:val="center"/>
                    <w:rPr>
                      <w:kern w:val="0"/>
                    </w:rPr>
                  </w:pPr>
                  <w:r>
                    <w:rPr>
                      <w:rFonts w:hint="eastAsia"/>
                      <w:kern w:val="0"/>
                    </w:rPr>
                    <w:t>4</w:t>
                  </w:r>
                  <w:r>
                    <w:rPr>
                      <w:kern w:val="0"/>
                    </w:rPr>
                    <w:t>4</w:t>
                  </w:r>
                </w:p>
              </w:tc>
              <w:tc>
                <w:tcPr>
                  <w:tcW w:w="623" w:type="dxa"/>
                  <w:vAlign w:val="center"/>
                </w:tcPr>
                <w:p w14:paraId="715DE3CB">
                  <w:pPr>
                    <w:jc w:val="center"/>
                    <w:rPr>
                      <w:kern w:val="0"/>
                    </w:rPr>
                  </w:pPr>
                  <w:r>
                    <w:rPr>
                      <w:kern w:val="0"/>
                    </w:rPr>
                    <w:t>60</w:t>
                  </w:r>
                </w:p>
              </w:tc>
              <w:tc>
                <w:tcPr>
                  <w:tcW w:w="623" w:type="dxa"/>
                  <w:vAlign w:val="center"/>
                </w:tcPr>
                <w:p w14:paraId="28018DAE">
                  <w:pPr>
                    <w:jc w:val="center"/>
                    <w:rPr>
                      <w:kern w:val="0"/>
                    </w:rPr>
                  </w:pPr>
                  <w:r>
                    <w:rPr>
                      <w:rFonts w:hint="eastAsia"/>
                      <w:kern w:val="0"/>
                    </w:rPr>
                    <w:t>5</w:t>
                  </w:r>
                  <w:r>
                    <w:rPr>
                      <w:kern w:val="0"/>
                    </w:rPr>
                    <w:t>0</w:t>
                  </w:r>
                </w:p>
              </w:tc>
              <w:tc>
                <w:tcPr>
                  <w:tcW w:w="623" w:type="dxa"/>
                  <w:vAlign w:val="center"/>
                </w:tcPr>
                <w:p w14:paraId="0D146713">
                  <w:pPr>
                    <w:jc w:val="center"/>
                    <w:rPr>
                      <w:kern w:val="0"/>
                    </w:rPr>
                  </w:pPr>
                  <w:r>
                    <w:rPr>
                      <w:rFonts w:hint="eastAsia"/>
                      <w:kern w:val="0"/>
                    </w:rPr>
                    <w:t>达标</w:t>
                  </w:r>
                </w:p>
              </w:tc>
              <w:tc>
                <w:tcPr>
                  <w:tcW w:w="625" w:type="dxa"/>
                  <w:vAlign w:val="center"/>
                </w:tcPr>
                <w:p w14:paraId="4772C3B1">
                  <w:pPr>
                    <w:jc w:val="center"/>
                    <w:rPr>
                      <w:kern w:val="0"/>
                    </w:rPr>
                  </w:pPr>
                  <w:r>
                    <w:rPr>
                      <w:rFonts w:hint="eastAsia"/>
                      <w:kern w:val="0"/>
                    </w:rPr>
                    <w:t>达标</w:t>
                  </w:r>
                </w:p>
              </w:tc>
            </w:tr>
            <w:tr w14:paraId="10FE3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9" w:type="dxa"/>
                  <w:vAlign w:val="center"/>
                </w:tcPr>
                <w:p w14:paraId="58DBB598">
                  <w:pPr>
                    <w:pStyle w:val="83"/>
                    <w:adjustRightInd/>
                    <w:snapToGrid/>
                    <w:spacing w:beforeLines="0" w:afterLines="0" w:line="240" w:lineRule="auto"/>
                    <w:rPr>
                      <w:rFonts w:ascii="Times New Roman"/>
                      <w:kern w:val="2"/>
                      <w:szCs w:val="21"/>
                    </w:rPr>
                  </w:pPr>
                  <w:r>
                    <w:rPr>
                      <w:rFonts w:ascii="Times New Roman"/>
                      <w:szCs w:val="21"/>
                    </w:rPr>
                    <w:t>西面围墙1m处</w:t>
                  </w:r>
                </w:p>
              </w:tc>
              <w:tc>
                <w:tcPr>
                  <w:tcW w:w="636" w:type="dxa"/>
                  <w:vAlign w:val="center"/>
                </w:tcPr>
                <w:p w14:paraId="6BD08D36">
                  <w:pPr>
                    <w:jc w:val="center"/>
                    <w:rPr>
                      <w:kern w:val="0"/>
                    </w:rPr>
                  </w:pPr>
                  <w:r>
                    <w:rPr>
                      <w:rFonts w:hint="eastAsia"/>
                      <w:kern w:val="0"/>
                    </w:rPr>
                    <w:t>4</w:t>
                  </w:r>
                  <w:r>
                    <w:rPr>
                      <w:kern w:val="0"/>
                    </w:rPr>
                    <w:t>8</w:t>
                  </w:r>
                </w:p>
              </w:tc>
              <w:tc>
                <w:tcPr>
                  <w:tcW w:w="634" w:type="dxa"/>
                  <w:vAlign w:val="center"/>
                </w:tcPr>
                <w:p w14:paraId="1A380F86">
                  <w:pPr>
                    <w:jc w:val="center"/>
                    <w:rPr>
                      <w:kern w:val="0"/>
                    </w:rPr>
                  </w:pPr>
                  <w:r>
                    <w:rPr>
                      <w:rFonts w:hint="eastAsia"/>
                      <w:kern w:val="0"/>
                    </w:rPr>
                    <w:t>4</w:t>
                  </w:r>
                  <w:r>
                    <w:rPr>
                      <w:kern w:val="0"/>
                    </w:rPr>
                    <w:t>3</w:t>
                  </w:r>
                </w:p>
              </w:tc>
              <w:tc>
                <w:tcPr>
                  <w:tcW w:w="1250" w:type="dxa"/>
                  <w:vAlign w:val="center"/>
                </w:tcPr>
                <w:p w14:paraId="4916179E">
                  <w:pPr>
                    <w:jc w:val="center"/>
                    <w:rPr>
                      <w:kern w:val="0"/>
                    </w:rPr>
                  </w:pPr>
                  <w:r>
                    <w:rPr>
                      <w:rFonts w:hint="eastAsia"/>
                    </w:rPr>
                    <w:t>距</w:t>
                  </w:r>
                  <w:r>
                    <w:rPr>
                      <w:rFonts w:hint="eastAsia"/>
                      <w:kern w:val="0"/>
                    </w:rPr>
                    <w:t>新建升压站</w:t>
                  </w:r>
                  <w:r>
                    <w:rPr>
                      <w:kern w:val="0"/>
                    </w:rPr>
                    <w:t>主变距离80</w:t>
                  </w:r>
                  <w:r>
                    <w:rPr>
                      <w:rFonts w:hint="eastAsia"/>
                      <w:kern w:val="0"/>
                    </w:rPr>
                    <w:t>m</w:t>
                  </w:r>
                </w:p>
              </w:tc>
              <w:tc>
                <w:tcPr>
                  <w:tcW w:w="623" w:type="dxa"/>
                  <w:vAlign w:val="center"/>
                </w:tcPr>
                <w:p w14:paraId="006BCFDB">
                  <w:pPr>
                    <w:jc w:val="center"/>
                    <w:rPr>
                      <w:kern w:val="0"/>
                    </w:rPr>
                  </w:pPr>
                  <w:r>
                    <w:rPr>
                      <w:rFonts w:hint="eastAsia"/>
                      <w:kern w:val="0"/>
                    </w:rPr>
                    <w:t>2</w:t>
                  </w:r>
                  <w:r>
                    <w:rPr>
                      <w:kern w:val="0"/>
                    </w:rPr>
                    <w:t>8</w:t>
                  </w:r>
                </w:p>
              </w:tc>
              <w:tc>
                <w:tcPr>
                  <w:tcW w:w="623" w:type="dxa"/>
                  <w:vAlign w:val="center"/>
                </w:tcPr>
                <w:p w14:paraId="297A89FB">
                  <w:pPr>
                    <w:jc w:val="center"/>
                    <w:rPr>
                      <w:kern w:val="0"/>
                    </w:rPr>
                  </w:pPr>
                  <w:r>
                    <w:rPr>
                      <w:rFonts w:hint="eastAsia"/>
                      <w:kern w:val="0"/>
                    </w:rPr>
                    <w:t>2</w:t>
                  </w:r>
                  <w:r>
                    <w:rPr>
                      <w:kern w:val="0"/>
                    </w:rPr>
                    <w:t>8</w:t>
                  </w:r>
                </w:p>
              </w:tc>
              <w:tc>
                <w:tcPr>
                  <w:tcW w:w="623" w:type="dxa"/>
                  <w:vAlign w:val="center"/>
                </w:tcPr>
                <w:p w14:paraId="17D050E1">
                  <w:pPr>
                    <w:jc w:val="center"/>
                    <w:rPr>
                      <w:kern w:val="0"/>
                    </w:rPr>
                  </w:pPr>
                  <w:r>
                    <w:rPr>
                      <w:rFonts w:hint="eastAsia"/>
                      <w:kern w:val="0"/>
                    </w:rPr>
                    <w:t>4</w:t>
                  </w:r>
                  <w:r>
                    <w:rPr>
                      <w:kern w:val="0"/>
                    </w:rPr>
                    <w:t>8</w:t>
                  </w:r>
                </w:p>
              </w:tc>
              <w:tc>
                <w:tcPr>
                  <w:tcW w:w="623" w:type="dxa"/>
                  <w:vAlign w:val="center"/>
                </w:tcPr>
                <w:p w14:paraId="16C47471">
                  <w:pPr>
                    <w:jc w:val="center"/>
                    <w:rPr>
                      <w:kern w:val="0"/>
                    </w:rPr>
                  </w:pPr>
                  <w:r>
                    <w:rPr>
                      <w:rFonts w:hint="eastAsia"/>
                      <w:kern w:val="0"/>
                    </w:rPr>
                    <w:t>4</w:t>
                  </w:r>
                  <w:r>
                    <w:rPr>
                      <w:kern w:val="0"/>
                    </w:rPr>
                    <w:t>3</w:t>
                  </w:r>
                </w:p>
              </w:tc>
              <w:tc>
                <w:tcPr>
                  <w:tcW w:w="623" w:type="dxa"/>
                  <w:vAlign w:val="center"/>
                </w:tcPr>
                <w:p w14:paraId="1CC6752C">
                  <w:pPr>
                    <w:jc w:val="center"/>
                    <w:rPr>
                      <w:kern w:val="0"/>
                    </w:rPr>
                  </w:pPr>
                  <w:r>
                    <w:rPr>
                      <w:kern w:val="0"/>
                    </w:rPr>
                    <w:t>60</w:t>
                  </w:r>
                </w:p>
              </w:tc>
              <w:tc>
                <w:tcPr>
                  <w:tcW w:w="623" w:type="dxa"/>
                  <w:vAlign w:val="center"/>
                </w:tcPr>
                <w:p w14:paraId="2B95FBE7">
                  <w:pPr>
                    <w:jc w:val="center"/>
                    <w:rPr>
                      <w:kern w:val="0"/>
                    </w:rPr>
                  </w:pPr>
                  <w:r>
                    <w:rPr>
                      <w:rFonts w:hint="eastAsia"/>
                      <w:kern w:val="0"/>
                    </w:rPr>
                    <w:t>5</w:t>
                  </w:r>
                  <w:r>
                    <w:rPr>
                      <w:kern w:val="0"/>
                    </w:rPr>
                    <w:t>0</w:t>
                  </w:r>
                </w:p>
              </w:tc>
              <w:tc>
                <w:tcPr>
                  <w:tcW w:w="623" w:type="dxa"/>
                  <w:vAlign w:val="center"/>
                </w:tcPr>
                <w:p w14:paraId="1FA717C3">
                  <w:pPr>
                    <w:jc w:val="center"/>
                    <w:rPr>
                      <w:kern w:val="0"/>
                    </w:rPr>
                  </w:pPr>
                  <w:r>
                    <w:rPr>
                      <w:rFonts w:hint="eastAsia"/>
                      <w:kern w:val="0"/>
                    </w:rPr>
                    <w:t>达标</w:t>
                  </w:r>
                </w:p>
              </w:tc>
              <w:tc>
                <w:tcPr>
                  <w:tcW w:w="625" w:type="dxa"/>
                  <w:vAlign w:val="center"/>
                </w:tcPr>
                <w:p w14:paraId="36AD184F">
                  <w:pPr>
                    <w:jc w:val="center"/>
                    <w:rPr>
                      <w:kern w:val="0"/>
                    </w:rPr>
                  </w:pPr>
                  <w:r>
                    <w:rPr>
                      <w:rFonts w:hint="eastAsia"/>
                      <w:kern w:val="0"/>
                    </w:rPr>
                    <w:t>达标</w:t>
                  </w:r>
                </w:p>
              </w:tc>
            </w:tr>
            <w:tr w14:paraId="3D14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9" w:type="dxa"/>
                  <w:vAlign w:val="center"/>
                </w:tcPr>
                <w:p w14:paraId="7B227247">
                  <w:pPr>
                    <w:pStyle w:val="83"/>
                    <w:adjustRightInd/>
                    <w:snapToGrid/>
                    <w:spacing w:beforeLines="0" w:afterLines="0" w:line="240" w:lineRule="auto"/>
                    <w:rPr>
                      <w:b/>
                      <w:bCs/>
                      <w:kern w:val="2"/>
                      <w:szCs w:val="21"/>
                    </w:rPr>
                  </w:pPr>
                  <w:r>
                    <w:rPr>
                      <w:rFonts w:ascii="Times New Roman"/>
                      <w:szCs w:val="21"/>
                    </w:rPr>
                    <w:t>北面围墙1m处</w:t>
                  </w:r>
                </w:p>
              </w:tc>
              <w:tc>
                <w:tcPr>
                  <w:tcW w:w="636" w:type="dxa"/>
                  <w:vAlign w:val="center"/>
                </w:tcPr>
                <w:p w14:paraId="718A94DE">
                  <w:pPr>
                    <w:jc w:val="center"/>
                    <w:rPr>
                      <w:kern w:val="0"/>
                    </w:rPr>
                  </w:pPr>
                  <w:r>
                    <w:rPr>
                      <w:rFonts w:hint="eastAsia"/>
                      <w:kern w:val="0"/>
                    </w:rPr>
                    <w:t>4</w:t>
                  </w:r>
                  <w:r>
                    <w:rPr>
                      <w:kern w:val="0"/>
                    </w:rPr>
                    <w:t>3</w:t>
                  </w:r>
                </w:p>
              </w:tc>
              <w:tc>
                <w:tcPr>
                  <w:tcW w:w="634" w:type="dxa"/>
                  <w:vAlign w:val="center"/>
                </w:tcPr>
                <w:p w14:paraId="0672E94C">
                  <w:pPr>
                    <w:jc w:val="center"/>
                    <w:rPr>
                      <w:kern w:val="0"/>
                    </w:rPr>
                  </w:pPr>
                  <w:r>
                    <w:rPr>
                      <w:rFonts w:hint="eastAsia"/>
                      <w:kern w:val="0"/>
                    </w:rPr>
                    <w:t>3</w:t>
                  </w:r>
                  <w:r>
                    <w:rPr>
                      <w:kern w:val="0"/>
                    </w:rPr>
                    <w:t>9</w:t>
                  </w:r>
                </w:p>
              </w:tc>
              <w:tc>
                <w:tcPr>
                  <w:tcW w:w="1250" w:type="dxa"/>
                  <w:vAlign w:val="center"/>
                </w:tcPr>
                <w:p w14:paraId="0047B507">
                  <w:pPr>
                    <w:jc w:val="center"/>
                    <w:rPr>
                      <w:kern w:val="0"/>
                    </w:rPr>
                  </w:pPr>
                  <w:r>
                    <w:rPr>
                      <w:rFonts w:hint="eastAsia"/>
                    </w:rPr>
                    <w:t>距</w:t>
                  </w:r>
                  <w:r>
                    <w:rPr>
                      <w:rFonts w:hint="eastAsia"/>
                      <w:kern w:val="0"/>
                    </w:rPr>
                    <w:t>新建升压站</w:t>
                  </w:r>
                  <w:r>
                    <w:rPr>
                      <w:kern w:val="0"/>
                    </w:rPr>
                    <w:t>主变距离15</w:t>
                  </w:r>
                  <w:r>
                    <w:rPr>
                      <w:rFonts w:hint="eastAsia"/>
                      <w:kern w:val="0"/>
                    </w:rPr>
                    <w:t>m</w:t>
                  </w:r>
                </w:p>
              </w:tc>
              <w:tc>
                <w:tcPr>
                  <w:tcW w:w="623" w:type="dxa"/>
                  <w:vAlign w:val="center"/>
                </w:tcPr>
                <w:p w14:paraId="1C5809AF">
                  <w:pPr>
                    <w:jc w:val="center"/>
                    <w:rPr>
                      <w:kern w:val="0"/>
                    </w:rPr>
                  </w:pPr>
                  <w:r>
                    <w:rPr>
                      <w:rFonts w:hint="eastAsia"/>
                      <w:kern w:val="0"/>
                    </w:rPr>
                    <w:t>4</w:t>
                  </w:r>
                  <w:r>
                    <w:rPr>
                      <w:kern w:val="0"/>
                    </w:rPr>
                    <w:t>5</w:t>
                  </w:r>
                </w:p>
              </w:tc>
              <w:tc>
                <w:tcPr>
                  <w:tcW w:w="623" w:type="dxa"/>
                  <w:vAlign w:val="center"/>
                </w:tcPr>
                <w:p w14:paraId="3C7D1DC5">
                  <w:pPr>
                    <w:jc w:val="center"/>
                    <w:rPr>
                      <w:kern w:val="0"/>
                    </w:rPr>
                  </w:pPr>
                  <w:r>
                    <w:rPr>
                      <w:rFonts w:hint="eastAsia"/>
                      <w:kern w:val="0"/>
                    </w:rPr>
                    <w:t>4</w:t>
                  </w:r>
                  <w:r>
                    <w:rPr>
                      <w:kern w:val="0"/>
                    </w:rPr>
                    <w:t>5</w:t>
                  </w:r>
                </w:p>
              </w:tc>
              <w:tc>
                <w:tcPr>
                  <w:tcW w:w="623" w:type="dxa"/>
                  <w:vAlign w:val="center"/>
                </w:tcPr>
                <w:p w14:paraId="1875B72F">
                  <w:pPr>
                    <w:jc w:val="center"/>
                    <w:rPr>
                      <w:kern w:val="0"/>
                    </w:rPr>
                  </w:pPr>
                  <w:r>
                    <w:rPr>
                      <w:kern w:val="0"/>
                    </w:rPr>
                    <w:t>47</w:t>
                  </w:r>
                </w:p>
              </w:tc>
              <w:tc>
                <w:tcPr>
                  <w:tcW w:w="623" w:type="dxa"/>
                  <w:vAlign w:val="center"/>
                </w:tcPr>
                <w:p w14:paraId="5A1F5519">
                  <w:pPr>
                    <w:jc w:val="center"/>
                    <w:rPr>
                      <w:kern w:val="0"/>
                    </w:rPr>
                  </w:pPr>
                  <w:r>
                    <w:rPr>
                      <w:rFonts w:hint="eastAsia"/>
                      <w:kern w:val="0"/>
                    </w:rPr>
                    <w:t>4</w:t>
                  </w:r>
                  <w:r>
                    <w:rPr>
                      <w:kern w:val="0"/>
                    </w:rPr>
                    <w:t>5</w:t>
                  </w:r>
                </w:p>
              </w:tc>
              <w:tc>
                <w:tcPr>
                  <w:tcW w:w="623" w:type="dxa"/>
                  <w:vAlign w:val="center"/>
                </w:tcPr>
                <w:p w14:paraId="6D955F2B">
                  <w:pPr>
                    <w:jc w:val="center"/>
                    <w:rPr>
                      <w:kern w:val="0"/>
                    </w:rPr>
                  </w:pPr>
                  <w:r>
                    <w:rPr>
                      <w:kern w:val="0"/>
                    </w:rPr>
                    <w:t>60</w:t>
                  </w:r>
                </w:p>
              </w:tc>
              <w:tc>
                <w:tcPr>
                  <w:tcW w:w="623" w:type="dxa"/>
                  <w:vAlign w:val="center"/>
                </w:tcPr>
                <w:p w14:paraId="5466AED2">
                  <w:pPr>
                    <w:jc w:val="center"/>
                    <w:rPr>
                      <w:kern w:val="0"/>
                    </w:rPr>
                  </w:pPr>
                  <w:r>
                    <w:rPr>
                      <w:rFonts w:hint="eastAsia"/>
                      <w:kern w:val="0"/>
                    </w:rPr>
                    <w:t>5</w:t>
                  </w:r>
                  <w:r>
                    <w:rPr>
                      <w:kern w:val="0"/>
                    </w:rPr>
                    <w:t>0</w:t>
                  </w:r>
                </w:p>
              </w:tc>
              <w:tc>
                <w:tcPr>
                  <w:tcW w:w="623" w:type="dxa"/>
                  <w:vAlign w:val="center"/>
                </w:tcPr>
                <w:p w14:paraId="79CC9359">
                  <w:pPr>
                    <w:jc w:val="center"/>
                    <w:rPr>
                      <w:kern w:val="0"/>
                    </w:rPr>
                  </w:pPr>
                  <w:r>
                    <w:rPr>
                      <w:rFonts w:hint="eastAsia"/>
                      <w:kern w:val="0"/>
                    </w:rPr>
                    <w:t>达标</w:t>
                  </w:r>
                </w:p>
              </w:tc>
              <w:tc>
                <w:tcPr>
                  <w:tcW w:w="625" w:type="dxa"/>
                  <w:vAlign w:val="center"/>
                </w:tcPr>
                <w:p w14:paraId="50FC6FCA">
                  <w:pPr>
                    <w:jc w:val="center"/>
                    <w:rPr>
                      <w:kern w:val="0"/>
                    </w:rPr>
                  </w:pPr>
                  <w:r>
                    <w:rPr>
                      <w:rFonts w:hint="eastAsia"/>
                      <w:kern w:val="0"/>
                    </w:rPr>
                    <w:t>达标</w:t>
                  </w:r>
                </w:p>
              </w:tc>
            </w:tr>
            <w:bookmarkEnd w:id="145"/>
          </w:tbl>
          <w:p w14:paraId="0C7C2439">
            <w:pPr>
              <w:spacing w:line="360" w:lineRule="auto"/>
              <w:jc w:val="center"/>
              <w:rPr>
                <w:sz w:val="24"/>
              </w:rPr>
            </w:pPr>
            <w:r>
              <w:rPr>
                <w:sz w:val="24"/>
              </w:rPr>
              <w:drawing>
                <wp:inline distT="0" distB="0" distL="0" distR="0">
                  <wp:extent cx="5486400" cy="3554095"/>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486400" cy="3554095"/>
                          </a:xfrm>
                          <a:prstGeom prst="rect">
                            <a:avLst/>
                          </a:prstGeom>
                          <a:noFill/>
                          <a:ln>
                            <a:noFill/>
                          </a:ln>
                        </pic:spPr>
                      </pic:pic>
                    </a:graphicData>
                  </a:graphic>
                </wp:inline>
              </w:drawing>
            </w:r>
          </w:p>
          <w:p w14:paraId="26CC00BC">
            <w:pPr>
              <w:adjustRightInd w:val="0"/>
              <w:snapToGrid w:val="0"/>
              <w:spacing w:line="360" w:lineRule="auto"/>
              <w:jc w:val="center"/>
              <w:rPr>
                <w:rFonts w:hint="eastAsia"/>
                <w:b/>
                <w:sz w:val="24"/>
                <w:szCs w:val="24"/>
              </w:rPr>
            </w:pPr>
            <w:r>
              <w:rPr>
                <w:rFonts w:hint="eastAsia"/>
                <w:b/>
                <w:sz w:val="24"/>
                <w:szCs w:val="24"/>
              </w:rPr>
              <w:t>图</w:t>
            </w:r>
            <w:r>
              <w:rPr>
                <w:b/>
                <w:sz w:val="24"/>
                <w:szCs w:val="24"/>
              </w:rPr>
              <w:t>4</w:t>
            </w:r>
            <w:r>
              <w:rPr>
                <w:rFonts w:hint="eastAsia"/>
                <w:b/>
                <w:sz w:val="24"/>
                <w:szCs w:val="24"/>
              </w:rPr>
              <w:t>.2.4-</w:t>
            </w:r>
            <w:r>
              <w:rPr>
                <w:b/>
                <w:sz w:val="24"/>
                <w:szCs w:val="24"/>
              </w:rPr>
              <w:t>1</w:t>
            </w:r>
            <w:r>
              <w:rPr>
                <w:rFonts w:hint="eastAsia"/>
                <w:b/>
                <w:sz w:val="24"/>
                <w:szCs w:val="24"/>
              </w:rPr>
              <w:t xml:space="preserve">  升压站厂界等声级线图</w:t>
            </w:r>
          </w:p>
          <w:p w14:paraId="77EEC69F">
            <w:pPr>
              <w:spacing w:line="360" w:lineRule="auto"/>
              <w:ind w:firstLine="480" w:firstLineChars="200"/>
              <w:rPr>
                <w:sz w:val="24"/>
              </w:rPr>
            </w:pPr>
            <w:r>
              <w:rPr>
                <w:rFonts w:hint="eastAsia"/>
                <w:sz w:val="24"/>
              </w:rPr>
              <w:t>综上</w:t>
            </w:r>
            <w:r>
              <w:rPr>
                <w:sz w:val="24"/>
              </w:rPr>
              <w:t>，本项目升压站建设完成后，</w:t>
            </w:r>
            <w:r>
              <w:rPr>
                <w:rFonts w:hint="eastAsia"/>
                <w:sz w:val="24"/>
              </w:rPr>
              <w:t>运营期升压站主变贡献值叠加以礼河三级电站噪声现状贡献值后预测得到厂界噪声，</w:t>
            </w:r>
            <w:r>
              <w:rPr>
                <w:sz w:val="24"/>
              </w:rPr>
              <w:t>昼间为44~48dB(A)，夜间为39~44dB(A)，昼、夜均满足《工业企业厂界环境噪声排放标准》（GB 12348-2008）</w:t>
            </w:r>
            <w:r>
              <w:rPr>
                <w:rFonts w:hint="eastAsia"/>
                <w:sz w:val="24"/>
              </w:rPr>
              <w:t>2</w:t>
            </w:r>
            <w:r>
              <w:rPr>
                <w:sz w:val="24"/>
              </w:rPr>
              <w:t>类（即昼间≤60dB(A)，夜间≤50dB(A)）标准要求。</w:t>
            </w:r>
          </w:p>
          <w:p w14:paraId="302E12D6">
            <w:pPr>
              <w:spacing w:line="360" w:lineRule="auto"/>
              <w:ind w:firstLine="480" w:firstLineChars="200"/>
              <w:rPr>
                <w:rFonts w:hint="eastAsia"/>
                <w:sz w:val="24"/>
              </w:rPr>
            </w:pPr>
            <w:r>
              <w:rPr>
                <w:rFonts w:hint="eastAsia"/>
                <w:sz w:val="24"/>
              </w:rPr>
              <w:t>4）</w:t>
            </w:r>
            <w:bookmarkStart w:id="147" w:name="OLE_LINK63"/>
            <w:r>
              <w:rPr>
                <w:rFonts w:hint="eastAsia"/>
                <w:sz w:val="24"/>
              </w:rPr>
              <w:t>环境保护目标噪声影响</w:t>
            </w:r>
            <w:bookmarkEnd w:id="147"/>
            <w:r>
              <w:rPr>
                <w:rFonts w:hint="eastAsia"/>
                <w:sz w:val="24"/>
              </w:rPr>
              <w:t>分析</w:t>
            </w:r>
          </w:p>
          <w:p w14:paraId="24FD8F0B">
            <w:pPr>
              <w:spacing w:line="360" w:lineRule="auto"/>
              <w:ind w:firstLine="480" w:firstLineChars="200"/>
              <w:rPr>
                <w:rFonts w:hint="eastAsia"/>
                <w:sz w:val="24"/>
              </w:rPr>
            </w:pPr>
            <w:r>
              <w:rPr>
                <w:rFonts w:hint="eastAsia"/>
                <w:sz w:val="24"/>
              </w:rPr>
              <w:t>运行期环境保护目标噪声影响主要来自箱变和升压站，箱变和升压站</w:t>
            </w:r>
            <w:r>
              <w:rPr>
                <w:sz w:val="24"/>
              </w:rPr>
              <w:t>50</w:t>
            </w:r>
            <w:r>
              <w:rPr>
                <w:rFonts w:hint="eastAsia"/>
                <w:sz w:val="24"/>
              </w:rPr>
              <w:t>m范围内声环境保护目标预测结果见下表。</w:t>
            </w:r>
          </w:p>
          <w:p w14:paraId="6CA1885C">
            <w:pPr>
              <w:adjustRightInd w:val="0"/>
              <w:snapToGrid w:val="0"/>
              <w:spacing w:line="360" w:lineRule="auto"/>
              <w:jc w:val="center"/>
              <w:rPr>
                <w:b/>
                <w:sz w:val="24"/>
                <w:szCs w:val="24"/>
              </w:rPr>
            </w:pPr>
            <w:r>
              <w:rPr>
                <w:b/>
                <w:sz w:val="24"/>
                <w:szCs w:val="24"/>
              </w:rPr>
              <w:t>表4</w:t>
            </w:r>
            <w:r>
              <w:rPr>
                <w:rFonts w:hint="eastAsia"/>
                <w:b/>
                <w:sz w:val="24"/>
                <w:szCs w:val="24"/>
              </w:rPr>
              <w:t>.2.4-3  声环境保护目标噪声预测结果单位：dB(A)</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570"/>
              <w:gridCol w:w="568"/>
              <w:gridCol w:w="2114"/>
              <w:gridCol w:w="569"/>
              <w:gridCol w:w="569"/>
              <w:gridCol w:w="569"/>
              <w:gridCol w:w="569"/>
              <w:gridCol w:w="569"/>
              <w:gridCol w:w="569"/>
              <w:gridCol w:w="427"/>
              <w:gridCol w:w="412"/>
            </w:tblGrid>
            <w:tr w14:paraId="1F1B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139" w:type="dxa"/>
                  <w:vMerge w:val="restart"/>
                  <w:vAlign w:val="center"/>
                </w:tcPr>
                <w:p w14:paraId="202F81AD">
                  <w:pPr>
                    <w:adjustRightInd w:val="0"/>
                    <w:snapToGrid w:val="0"/>
                    <w:jc w:val="center"/>
                    <w:rPr>
                      <w:b/>
                      <w:bCs/>
                    </w:rPr>
                  </w:pPr>
                  <w:r>
                    <w:rPr>
                      <w:b/>
                      <w:bCs/>
                    </w:rPr>
                    <w:t>声环境保护目标名称</w:t>
                  </w:r>
                </w:p>
              </w:tc>
              <w:tc>
                <w:tcPr>
                  <w:tcW w:w="1137" w:type="dxa"/>
                  <w:gridSpan w:val="2"/>
                  <w:vAlign w:val="center"/>
                </w:tcPr>
                <w:p w14:paraId="1F1660F0">
                  <w:pPr>
                    <w:adjustRightInd w:val="0"/>
                    <w:snapToGrid w:val="0"/>
                    <w:jc w:val="center"/>
                    <w:rPr>
                      <w:rFonts w:hint="eastAsia"/>
                      <w:b/>
                      <w:bCs/>
                    </w:rPr>
                  </w:pPr>
                  <w:r>
                    <w:rPr>
                      <w:b/>
                      <w:bCs/>
                    </w:rPr>
                    <w:t>噪声</w:t>
                  </w:r>
                  <w:r>
                    <w:rPr>
                      <w:rFonts w:hint="eastAsia"/>
                      <w:b/>
                      <w:bCs/>
                    </w:rPr>
                    <w:t>现状值</w:t>
                  </w:r>
                </w:p>
                <w:p w14:paraId="6766D685">
                  <w:pPr>
                    <w:adjustRightInd w:val="0"/>
                    <w:snapToGrid w:val="0"/>
                    <w:jc w:val="center"/>
                    <w:rPr>
                      <w:b/>
                      <w:bCs/>
                    </w:rPr>
                  </w:pPr>
                  <w:r>
                    <w:rPr>
                      <w:b/>
                      <w:bCs/>
                    </w:rPr>
                    <w:t>/dB</w:t>
                  </w:r>
                  <w:r>
                    <w:rPr>
                      <w:rFonts w:hint="eastAsia"/>
                      <w:b/>
                      <w:bCs/>
                    </w:rPr>
                    <w:t>(</w:t>
                  </w:r>
                  <w:r>
                    <w:rPr>
                      <w:b/>
                      <w:bCs/>
                    </w:rPr>
                    <w:t>A</w:t>
                  </w:r>
                  <w:r>
                    <w:rPr>
                      <w:rFonts w:hint="eastAsia"/>
                      <w:b/>
                      <w:bCs/>
                    </w:rPr>
                    <w:t>)</w:t>
                  </w:r>
                </w:p>
              </w:tc>
              <w:tc>
                <w:tcPr>
                  <w:tcW w:w="2126" w:type="dxa"/>
                  <w:vMerge w:val="restart"/>
                  <w:vAlign w:val="center"/>
                </w:tcPr>
                <w:p w14:paraId="2DD76F04">
                  <w:pPr>
                    <w:adjustRightInd w:val="0"/>
                    <w:snapToGrid w:val="0"/>
                    <w:jc w:val="center"/>
                    <w:rPr>
                      <w:b/>
                      <w:bCs/>
                    </w:rPr>
                  </w:pPr>
                  <w:r>
                    <w:rPr>
                      <w:rFonts w:hint="eastAsia"/>
                      <w:b/>
                      <w:bCs/>
                    </w:rPr>
                    <w:t>距离</w:t>
                  </w:r>
                </w:p>
              </w:tc>
              <w:tc>
                <w:tcPr>
                  <w:tcW w:w="1134" w:type="dxa"/>
                  <w:gridSpan w:val="2"/>
                  <w:vAlign w:val="center"/>
                </w:tcPr>
                <w:p w14:paraId="4AF9F9F5">
                  <w:pPr>
                    <w:adjustRightInd w:val="0"/>
                    <w:snapToGrid w:val="0"/>
                    <w:jc w:val="center"/>
                    <w:rPr>
                      <w:rFonts w:hint="eastAsia"/>
                      <w:b/>
                      <w:bCs/>
                    </w:rPr>
                  </w:pPr>
                  <w:r>
                    <w:rPr>
                      <w:b/>
                      <w:bCs/>
                    </w:rPr>
                    <w:t>噪声贡献值/</w:t>
                  </w:r>
                  <w:r>
                    <w:rPr>
                      <w:rFonts w:hint="eastAsia"/>
                      <w:b/>
                      <w:bCs/>
                    </w:rPr>
                    <w:t>dB(A)</w:t>
                  </w:r>
                </w:p>
              </w:tc>
              <w:tc>
                <w:tcPr>
                  <w:tcW w:w="1134" w:type="dxa"/>
                  <w:gridSpan w:val="2"/>
                  <w:vAlign w:val="center"/>
                </w:tcPr>
                <w:p w14:paraId="264F0ABC">
                  <w:pPr>
                    <w:adjustRightInd w:val="0"/>
                    <w:snapToGrid w:val="0"/>
                    <w:jc w:val="center"/>
                    <w:rPr>
                      <w:rFonts w:hint="eastAsia"/>
                      <w:b/>
                      <w:bCs/>
                    </w:rPr>
                  </w:pPr>
                  <w:r>
                    <w:rPr>
                      <w:b/>
                      <w:bCs/>
                    </w:rPr>
                    <w:t>噪声预测值/</w:t>
                  </w:r>
                  <w:r>
                    <w:rPr>
                      <w:rFonts w:hint="eastAsia"/>
                      <w:b/>
                      <w:bCs/>
                    </w:rPr>
                    <w:t>dB(A)</w:t>
                  </w:r>
                </w:p>
              </w:tc>
              <w:tc>
                <w:tcPr>
                  <w:tcW w:w="1134" w:type="dxa"/>
                  <w:gridSpan w:val="2"/>
                  <w:vAlign w:val="center"/>
                </w:tcPr>
                <w:p w14:paraId="4BE9E224">
                  <w:pPr>
                    <w:adjustRightInd w:val="0"/>
                    <w:snapToGrid w:val="0"/>
                    <w:jc w:val="center"/>
                    <w:rPr>
                      <w:rFonts w:hint="eastAsia"/>
                      <w:b/>
                      <w:bCs/>
                    </w:rPr>
                  </w:pPr>
                  <w:r>
                    <w:rPr>
                      <w:b/>
                      <w:bCs/>
                    </w:rPr>
                    <w:t>噪声标准/</w:t>
                  </w:r>
                  <w:r>
                    <w:rPr>
                      <w:rFonts w:hint="eastAsia"/>
                      <w:b/>
                      <w:bCs/>
                    </w:rPr>
                    <w:t>dB(A)</w:t>
                  </w:r>
                </w:p>
              </w:tc>
              <w:tc>
                <w:tcPr>
                  <w:tcW w:w="834" w:type="dxa"/>
                  <w:gridSpan w:val="2"/>
                  <w:vAlign w:val="center"/>
                </w:tcPr>
                <w:p w14:paraId="52595324">
                  <w:pPr>
                    <w:adjustRightInd w:val="0"/>
                    <w:snapToGrid w:val="0"/>
                    <w:jc w:val="center"/>
                    <w:rPr>
                      <w:b/>
                      <w:bCs/>
                    </w:rPr>
                  </w:pPr>
                  <w:r>
                    <w:rPr>
                      <w:b/>
                      <w:bCs/>
                    </w:rPr>
                    <w:t>超标情况</w:t>
                  </w:r>
                </w:p>
              </w:tc>
            </w:tr>
            <w:tr w14:paraId="31CD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139" w:type="dxa"/>
                  <w:vMerge w:val="continue"/>
                  <w:vAlign w:val="center"/>
                </w:tcPr>
                <w:p w14:paraId="583CF467">
                  <w:pPr>
                    <w:adjustRightInd w:val="0"/>
                    <w:snapToGrid w:val="0"/>
                    <w:jc w:val="center"/>
                    <w:rPr>
                      <w:b/>
                      <w:bCs/>
                    </w:rPr>
                  </w:pPr>
                </w:p>
              </w:tc>
              <w:tc>
                <w:tcPr>
                  <w:tcW w:w="570" w:type="dxa"/>
                  <w:vAlign w:val="center"/>
                </w:tcPr>
                <w:p w14:paraId="21795427">
                  <w:pPr>
                    <w:adjustRightInd w:val="0"/>
                    <w:snapToGrid w:val="0"/>
                    <w:jc w:val="center"/>
                    <w:rPr>
                      <w:b/>
                      <w:bCs/>
                    </w:rPr>
                  </w:pPr>
                  <w:r>
                    <w:rPr>
                      <w:b/>
                      <w:bCs/>
                    </w:rPr>
                    <w:t>昼间</w:t>
                  </w:r>
                </w:p>
              </w:tc>
              <w:tc>
                <w:tcPr>
                  <w:tcW w:w="567" w:type="dxa"/>
                  <w:vAlign w:val="center"/>
                </w:tcPr>
                <w:p w14:paraId="11326BEC">
                  <w:pPr>
                    <w:adjustRightInd w:val="0"/>
                    <w:snapToGrid w:val="0"/>
                    <w:jc w:val="center"/>
                    <w:rPr>
                      <w:b/>
                      <w:bCs/>
                    </w:rPr>
                  </w:pPr>
                  <w:r>
                    <w:rPr>
                      <w:b/>
                      <w:bCs/>
                    </w:rPr>
                    <w:t>夜间</w:t>
                  </w:r>
                </w:p>
              </w:tc>
              <w:tc>
                <w:tcPr>
                  <w:tcW w:w="2126" w:type="dxa"/>
                  <w:vMerge w:val="continue"/>
                  <w:vAlign w:val="center"/>
                </w:tcPr>
                <w:p w14:paraId="4BDF9996">
                  <w:pPr>
                    <w:adjustRightInd w:val="0"/>
                    <w:snapToGrid w:val="0"/>
                    <w:jc w:val="center"/>
                    <w:rPr>
                      <w:b/>
                      <w:bCs/>
                    </w:rPr>
                  </w:pPr>
                </w:p>
              </w:tc>
              <w:tc>
                <w:tcPr>
                  <w:tcW w:w="567" w:type="dxa"/>
                  <w:vAlign w:val="center"/>
                </w:tcPr>
                <w:p w14:paraId="1EE50E6E">
                  <w:pPr>
                    <w:adjustRightInd w:val="0"/>
                    <w:snapToGrid w:val="0"/>
                    <w:jc w:val="center"/>
                    <w:rPr>
                      <w:b/>
                      <w:bCs/>
                    </w:rPr>
                  </w:pPr>
                  <w:r>
                    <w:rPr>
                      <w:b/>
                      <w:bCs/>
                    </w:rPr>
                    <w:t>昼间</w:t>
                  </w:r>
                </w:p>
              </w:tc>
              <w:tc>
                <w:tcPr>
                  <w:tcW w:w="567" w:type="dxa"/>
                  <w:vAlign w:val="center"/>
                </w:tcPr>
                <w:p w14:paraId="27486A47">
                  <w:pPr>
                    <w:adjustRightInd w:val="0"/>
                    <w:snapToGrid w:val="0"/>
                    <w:jc w:val="center"/>
                    <w:rPr>
                      <w:b/>
                      <w:bCs/>
                    </w:rPr>
                  </w:pPr>
                  <w:r>
                    <w:rPr>
                      <w:b/>
                      <w:bCs/>
                    </w:rPr>
                    <w:t>夜间</w:t>
                  </w:r>
                </w:p>
              </w:tc>
              <w:tc>
                <w:tcPr>
                  <w:tcW w:w="567" w:type="dxa"/>
                  <w:vAlign w:val="center"/>
                </w:tcPr>
                <w:p w14:paraId="202AA814">
                  <w:pPr>
                    <w:adjustRightInd w:val="0"/>
                    <w:snapToGrid w:val="0"/>
                    <w:jc w:val="center"/>
                    <w:rPr>
                      <w:b/>
                      <w:bCs/>
                    </w:rPr>
                  </w:pPr>
                  <w:r>
                    <w:rPr>
                      <w:b/>
                      <w:bCs/>
                    </w:rPr>
                    <w:t>昼间</w:t>
                  </w:r>
                </w:p>
              </w:tc>
              <w:tc>
                <w:tcPr>
                  <w:tcW w:w="567" w:type="dxa"/>
                  <w:vAlign w:val="center"/>
                </w:tcPr>
                <w:p w14:paraId="308BA22A">
                  <w:pPr>
                    <w:adjustRightInd w:val="0"/>
                    <w:snapToGrid w:val="0"/>
                    <w:jc w:val="center"/>
                    <w:rPr>
                      <w:b/>
                      <w:bCs/>
                    </w:rPr>
                  </w:pPr>
                  <w:r>
                    <w:rPr>
                      <w:b/>
                      <w:bCs/>
                    </w:rPr>
                    <w:t>夜间</w:t>
                  </w:r>
                </w:p>
              </w:tc>
              <w:tc>
                <w:tcPr>
                  <w:tcW w:w="567" w:type="dxa"/>
                  <w:vAlign w:val="center"/>
                </w:tcPr>
                <w:p w14:paraId="796F0E02">
                  <w:pPr>
                    <w:adjustRightInd w:val="0"/>
                    <w:snapToGrid w:val="0"/>
                    <w:jc w:val="center"/>
                    <w:rPr>
                      <w:b/>
                      <w:bCs/>
                    </w:rPr>
                  </w:pPr>
                  <w:r>
                    <w:rPr>
                      <w:b/>
                      <w:bCs/>
                    </w:rPr>
                    <w:t>昼间</w:t>
                  </w:r>
                </w:p>
              </w:tc>
              <w:tc>
                <w:tcPr>
                  <w:tcW w:w="567" w:type="dxa"/>
                  <w:vAlign w:val="center"/>
                </w:tcPr>
                <w:p w14:paraId="58E9B006">
                  <w:pPr>
                    <w:adjustRightInd w:val="0"/>
                    <w:snapToGrid w:val="0"/>
                    <w:jc w:val="center"/>
                    <w:rPr>
                      <w:b/>
                      <w:bCs/>
                    </w:rPr>
                  </w:pPr>
                  <w:r>
                    <w:rPr>
                      <w:b/>
                      <w:bCs/>
                    </w:rPr>
                    <w:t>夜间</w:t>
                  </w:r>
                </w:p>
              </w:tc>
              <w:tc>
                <w:tcPr>
                  <w:tcW w:w="425" w:type="dxa"/>
                  <w:vAlign w:val="center"/>
                </w:tcPr>
                <w:p w14:paraId="642568C2">
                  <w:pPr>
                    <w:adjustRightInd w:val="0"/>
                    <w:snapToGrid w:val="0"/>
                    <w:jc w:val="center"/>
                    <w:rPr>
                      <w:b/>
                      <w:bCs/>
                    </w:rPr>
                  </w:pPr>
                  <w:r>
                    <w:rPr>
                      <w:b/>
                      <w:bCs/>
                    </w:rPr>
                    <w:t>昼间</w:t>
                  </w:r>
                </w:p>
              </w:tc>
              <w:tc>
                <w:tcPr>
                  <w:tcW w:w="409" w:type="dxa"/>
                  <w:vAlign w:val="center"/>
                </w:tcPr>
                <w:p w14:paraId="73E46196">
                  <w:pPr>
                    <w:adjustRightInd w:val="0"/>
                    <w:snapToGrid w:val="0"/>
                    <w:jc w:val="center"/>
                    <w:rPr>
                      <w:b/>
                      <w:bCs/>
                    </w:rPr>
                  </w:pPr>
                  <w:r>
                    <w:rPr>
                      <w:b/>
                      <w:bCs/>
                    </w:rPr>
                    <w:t>夜间</w:t>
                  </w:r>
                </w:p>
              </w:tc>
            </w:tr>
            <w:tr w14:paraId="32F5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9" w:type="dxa"/>
                  <w:vAlign w:val="center"/>
                </w:tcPr>
                <w:p w14:paraId="35D7358F">
                  <w:pPr>
                    <w:adjustRightInd w:val="0"/>
                    <w:snapToGrid w:val="0"/>
                    <w:jc w:val="center"/>
                  </w:pPr>
                  <w:r>
                    <w:rPr>
                      <w:rFonts w:hint="eastAsia"/>
                    </w:rPr>
                    <w:t>酸多梨树居民点</w:t>
                  </w:r>
                </w:p>
              </w:tc>
              <w:tc>
                <w:tcPr>
                  <w:tcW w:w="570" w:type="dxa"/>
                  <w:vAlign w:val="center"/>
                </w:tcPr>
                <w:p w14:paraId="243386BD">
                  <w:pPr>
                    <w:jc w:val="center"/>
                    <w:rPr>
                      <w:kern w:val="0"/>
                    </w:rPr>
                  </w:pPr>
                  <w:r>
                    <w:rPr>
                      <w:color w:val="000000"/>
                    </w:rPr>
                    <w:t>45</w:t>
                  </w:r>
                </w:p>
              </w:tc>
              <w:tc>
                <w:tcPr>
                  <w:tcW w:w="567" w:type="dxa"/>
                  <w:vAlign w:val="center"/>
                </w:tcPr>
                <w:p w14:paraId="34909554">
                  <w:pPr>
                    <w:jc w:val="center"/>
                    <w:rPr>
                      <w:kern w:val="0"/>
                    </w:rPr>
                  </w:pPr>
                  <w:r>
                    <w:rPr>
                      <w:color w:val="000000"/>
                    </w:rPr>
                    <w:t>41</w:t>
                  </w:r>
                </w:p>
              </w:tc>
              <w:tc>
                <w:tcPr>
                  <w:tcW w:w="2126" w:type="dxa"/>
                  <w:vAlign w:val="center"/>
                </w:tcPr>
                <w:p w14:paraId="6B3688A0">
                  <w:pPr>
                    <w:jc w:val="center"/>
                    <w:rPr>
                      <w:kern w:val="0"/>
                    </w:rPr>
                  </w:pPr>
                  <w:r>
                    <w:rPr>
                      <w:rFonts w:hint="eastAsia"/>
                    </w:rPr>
                    <w:t>距离箱变约</w:t>
                  </w:r>
                  <w:r>
                    <w:t>50</w:t>
                  </w:r>
                  <w:r>
                    <w:rPr>
                      <w:rFonts w:hint="eastAsia"/>
                    </w:rPr>
                    <w:t>m</w:t>
                  </w:r>
                </w:p>
              </w:tc>
              <w:tc>
                <w:tcPr>
                  <w:tcW w:w="567" w:type="dxa"/>
                  <w:vAlign w:val="center"/>
                </w:tcPr>
                <w:p w14:paraId="221BB048">
                  <w:pPr>
                    <w:jc w:val="center"/>
                    <w:rPr>
                      <w:kern w:val="0"/>
                    </w:rPr>
                  </w:pPr>
                  <w:r>
                    <w:rPr>
                      <w:rFonts w:hint="eastAsia"/>
                      <w:kern w:val="0"/>
                    </w:rPr>
                    <w:t>2</w:t>
                  </w:r>
                  <w:r>
                    <w:rPr>
                      <w:kern w:val="0"/>
                    </w:rPr>
                    <w:t>4</w:t>
                  </w:r>
                </w:p>
              </w:tc>
              <w:tc>
                <w:tcPr>
                  <w:tcW w:w="567" w:type="dxa"/>
                  <w:vAlign w:val="center"/>
                </w:tcPr>
                <w:p w14:paraId="7280243A">
                  <w:pPr>
                    <w:jc w:val="center"/>
                    <w:rPr>
                      <w:kern w:val="0"/>
                    </w:rPr>
                  </w:pPr>
                  <w:r>
                    <w:rPr>
                      <w:rFonts w:hint="eastAsia"/>
                      <w:kern w:val="0"/>
                    </w:rPr>
                    <w:t>2</w:t>
                  </w:r>
                  <w:r>
                    <w:rPr>
                      <w:kern w:val="0"/>
                    </w:rPr>
                    <w:t>4</w:t>
                  </w:r>
                </w:p>
              </w:tc>
              <w:tc>
                <w:tcPr>
                  <w:tcW w:w="567" w:type="dxa"/>
                  <w:vAlign w:val="center"/>
                </w:tcPr>
                <w:p w14:paraId="1C35C879">
                  <w:pPr>
                    <w:jc w:val="center"/>
                    <w:rPr>
                      <w:kern w:val="0"/>
                    </w:rPr>
                  </w:pPr>
                  <w:r>
                    <w:rPr>
                      <w:rFonts w:hint="eastAsia"/>
                      <w:kern w:val="0"/>
                    </w:rPr>
                    <w:t>4</w:t>
                  </w:r>
                  <w:r>
                    <w:rPr>
                      <w:kern w:val="0"/>
                    </w:rPr>
                    <w:t>5</w:t>
                  </w:r>
                </w:p>
              </w:tc>
              <w:tc>
                <w:tcPr>
                  <w:tcW w:w="567" w:type="dxa"/>
                  <w:vAlign w:val="center"/>
                </w:tcPr>
                <w:p w14:paraId="1A7D3238">
                  <w:pPr>
                    <w:jc w:val="center"/>
                    <w:rPr>
                      <w:kern w:val="0"/>
                    </w:rPr>
                  </w:pPr>
                  <w:r>
                    <w:rPr>
                      <w:rFonts w:hint="eastAsia"/>
                      <w:kern w:val="0"/>
                    </w:rPr>
                    <w:t>4</w:t>
                  </w:r>
                  <w:r>
                    <w:rPr>
                      <w:kern w:val="0"/>
                    </w:rPr>
                    <w:t>1</w:t>
                  </w:r>
                </w:p>
              </w:tc>
              <w:tc>
                <w:tcPr>
                  <w:tcW w:w="567" w:type="dxa"/>
                  <w:vAlign w:val="center"/>
                </w:tcPr>
                <w:p w14:paraId="5C40A75A">
                  <w:pPr>
                    <w:jc w:val="center"/>
                    <w:rPr>
                      <w:kern w:val="0"/>
                    </w:rPr>
                  </w:pPr>
                  <w:r>
                    <w:rPr>
                      <w:kern w:val="0"/>
                    </w:rPr>
                    <w:t>60</w:t>
                  </w:r>
                </w:p>
              </w:tc>
              <w:tc>
                <w:tcPr>
                  <w:tcW w:w="567" w:type="dxa"/>
                  <w:vAlign w:val="center"/>
                </w:tcPr>
                <w:p w14:paraId="01527095">
                  <w:pPr>
                    <w:jc w:val="center"/>
                    <w:rPr>
                      <w:kern w:val="0"/>
                    </w:rPr>
                  </w:pPr>
                  <w:r>
                    <w:rPr>
                      <w:rFonts w:hint="eastAsia"/>
                      <w:kern w:val="0"/>
                    </w:rPr>
                    <w:t>5</w:t>
                  </w:r>
                  <w:r>
                    <w:rPr>
                      <w:kern w:val="0"/>
                    </w:rPr>
                    <w:t>0</w:t>
                  </w:r>
                </w:p>
              </w:tc>
              <w:tc>
                <w:tcPr>
                  <w:tcW w:w="425" w:type="dxa"/>
                </w:tcPr>
                <w:p w14:paraId="4EC22AF4">
                  <w:pPr>
                    <w:jc w:val="center"/>
                    <w:rPr>
                      <w:kern w:val="0"/>
                    </w:rPr>
                  </w:pPr>
                  <w:r>
                    <w:rPr>
                      <w:rFonts w:hint="eastAsia"/>
                      <w:kern w:val="0"/>
                    </w:rPr>
                    <w:t>达标</w:t>
                  </w:r>
                </w:p>
              </w:tc>
              <w:tc>
                <w:tcPr>
                  <w:tcW w:w="409" w:type="dxa"/>
                </w:tcPr>
                <w:p w14:paraId="54677C8E">
                  <w:pPr>
                    <w:jc w:val="center"/>
                    <w:rPr>
                      <w:kern w:val="0"/>
                    </w:rPr>
                  </w:pPr>
                  <w:r>
                    <w:rPr>
                      <w:rFonts w:hint="eastAsia"/>
                      <w:kern w:val="0"/>
                    </w:rPr>
                    <w:t>达标</w:t>
                  </w:r>
                </w:p>
              </w:tc>
            </w:tr>
            <w:tr w14:paraId="23D4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39" w:type="dxa"/>
                  <w:vAlign w:val="center"/>
                </w:tcPr>
                <w:p w14:paraId="18CB0A70">
                  <w:pPr>
                    <w:pStyle w:val="95"/>
                    <w:spacing w:before="0" w:after="0"/>
                    <w:rPr>
                      <w:szCs w:val="21"/>
                    </w:rPr>
                  </w:pPr>
                  <w:r>
                    <w:rPr>
                      <w:rFonts w:hint="eastAsia"/>
                      <w:szCs w:val="21"/>
                    </w:rPr>
                    <w:t>田尾坝居民点</w:t>
                  </w:r>
                </w:p>
              </w:tc>
              <w:tc>
                <w:tcPr>
                  <w:tcW w:w="570" w:type="dxa"/>
                  <w:vAlign w:val="center"/>
                </w:tcPr>
                <w:p w14:paraId="57BE7A55">
                  <w:pPr>
                    <w:jc w:val="center"/>
                    <w:rPr>
                      <w:kern w:val="0"/>
                    </w:rPr>
                  </w:pPr>
                  <w:r>
                    <w:rPr>
                      <w:color w:val="000000"/>
                    </w:rPr>
                    <w:t>43</w:t>
                  </w:r>
                </w:p>
              </w:tc>
              <w:tc>
                <w:tcPr>
                  <w:tcW w:w="567" w:type="dxa"/>
                  <w:vAlign w:val="center"/>
                </w:tcPr>
                <w:p w14:paraId="2B1113E8">
                  <w:pPr>
                    <w:jc w:val="center"/>
                    <w:rPr>
                      <w:kern w:val="0"/>
                    </w:rPr>
                  </w:pPr>
                  <w:r>
                    <w:rPr>
                      <w:color w:val="000000"/>
                    </w:rPr>
                    <w:t>39</w:t>
                  </w:r>
                </w:p>
              </w:tc>
              <w:tc>
                <w:tcPr>
                  <w:tcW w:w="2126" w:type="dxa"/>
                  <w:vAlign w:val="center"/>
                </w:tcPr>
                <w:p w14:paraId="2088CDF0">
                  <w:pPr>
                    <w:jc w:val="center"/>
                    <w:rPr>
                      <w:kern w:val="0"/>
                    </w:rPr>
                  </w:pPr>
                  <w:r>
                    <w:rPr>
                      <w:rFonts w:hint="eastAsia"/>
                    </w:rPr>
                    <w:t>距离箱变约1</w:t>
                  </w:r>
                  <w:r>
                    <w:t>0</w:t>
                  </w:r>
                  <w:r>
                    <w:rPr>
                      <w:rFonts w:hint="eastAsia"/>
                    </w:rPr>
                    <w:t>m</w:t>
                  </w:r>
                </w:p>
              </w:tc>
              <w:tc>
                <w:tcPr>
                  <w:tcW w:w="567" w:type="dxa"/>
                  <w:vAlign w:val="center"/>
                </w:tcPr>
                <w:p w14:paraId="48A41BEF">
                  <w:pPr>
                    <w:jc w:val="center"/>
                    <w:rPr>
                      <w:kern w:val="0"/>
                    </w:rPr>
                  </w:pPr>
                  <w:r>
                    <w:rPr>
                      <w:rFonts w:hint="eastAsia"/>
                      <w:kern w:val="0"/>
                    </w:rPr>
                    <w:t>3</w:t>
                  </w:r>
                  <w:r>
                    <w:rPr>
                      <w:kern w:val="0"/>
                    </w:rPr>
                    <w:t>8</w:t>
                  </w:r>
                </w:p>
              </w:tc>
              <w:tc>
                <w:tcPr>
                  <w:tcW w:w="567" w:type="dxa"/>
                  <w:vAlign w:val="center"/>
                </w:tcPr>
                <w:p w14:paraId="3C9172CB">
                  <w:pPr>
                    <w:jc w:val="center"/>
                    <w:rPr>
                      <w:kern w:val="0"/>
                    </w:rPr>
                  </w:pPr>
                  <w:r>
                    <w:rPr>
                      <w:rFonts w:hint="eastAsia"/>
                      <w:kern w:val="0"/>
                    </w:rPr>
                    <w:t>3</w:t>
                  </w:r>
                  <w:r>
                    <w:rPr>
                      <w:kern w:val="0"/>
                    </w:rPr>
                    <w:t>8</w:t>
                  </w:r>
                </w:p>
              </w:tc>
              <w:tc>
                <w:tcPr>
                  <w:tcW w:w="567" w:type="dxa"/>
                  <w:vAlign w:val="center"/>
                </w:tcPr>
                <w:p w14:paraId="4DB81D49">
                  <w:pPr>
                    <w:jc w:val="center"/>
                    <w:rPr>
                      <w:kern w:val="0"/>
                    </w:rPr>
                  </w:pPr>
                  <w:r>
                    <w:rPr>
                      <w:rFonts w:hint="eastAsia"/>
                      <w:kern w:val="0"/>
                    </w:rPr>
                    <w:t>4</w:t>
                  </w:r>
                  <w:r>
                    <w:rPr>
                      <w:kern w:val="0"/>
                    </w:rPr>
                    <w:t>4</w:t>
                  </w:r>
                </w:p>
              </w:tc>
              <w:tc>
                <w:tcPr>
                  <w:tcW w:w="567" w:type="dxa"/>
                  <w:vAlign w:val="center"/>
                </w:tcPr>
                <w:p w14:paraId="2F683B34">
                  <w:pPr>
                    <w:jc w:val="center"/>
                    <w:rPr>
                      <w:kern w:val="0"/>
                    </w:rPr>
                  </w:pPr>
                  <w:r>
                    <w:rPr>
                      <w:rFonts w:hint="eastAsia"/>
                      <w:kern w:val="0"/>
                    </w:rPr>
                    <w:t>4</w:t>
                  </w:r>
                  <w:r>
                    <w:rPr>
                      <w:kern w:val="0"/>
                    </w:rPr>
                    <w:t>3</w:t>
                  </w:r>
                </w:p>
              </w:tc>
              <w:tc>
                <w:tcPr>
                  <w:tcW w:w="567" w:type="dxa"/>
                  <w:vAlign w:val="center"/>
                </w:tcPr>
                <w:p w14:paraId="39E17186">
                  <w:pPr>
                    <w:jc w:val="center"/>
                    <w:rPr>
                      <w:kern w:val="0"/>
                    </w:rPr>
                  </w:pPr>
                  <w:r>
                    <w:rPr>
                      <w:kern w:val="0"/>
                    </w:rPr>
                    <w:t>60</w:t>
                  </w:r>
                </w:p>
              </w:tc>
              <w:tc>
                <w:tcPr>
                  <w:tcW w:w="567" w:type="dxa"/>
                  <w:vAlign w:val="center"/>
                </w:tcPr>
                <w:p w14:paraId="0E345732">
                  <w:pPr>
                    <w:jc w:val="center"/>
                    <w:rPr>
                      <w:kern w:val="0"/>
                    </w:rPr>
                  </w:pPr>
                  <w:r>
                    <w:rPr>
                      <w:rFonts w:hint="eastAsia"/>
                      <w:kern w:val="0"/>
                    </w:rPr>
                    <w:t>5</w:t>
                  </w:r>
                  <w:r>
                    <w:rPr>
                      <w:kern w:val="0"/>
                    </w:rPr>
                    <w:t>0</w:t>
                  </w:r>
                </w:p>
              </w:tc>
              <w:tc>
                <w:tcPr>
                  <w:tcW w:w="425" w:type="dxa"/>
                </w:tcPr>
                <w:p w14:paraId="6F935975">
                  <w:pPr>
                    <w:jc w:val="center"/>
                    <w:rPr>
                      <w:kern w:val="0"/>
                    </w:rPr>
                  </w:pPr>
                  <w:r>
                    <w:rPr>
                      <w:rFonts w:hint="eastAsia"/>
                      <w:kern w:val="0"/>
                    </w:rPr>
                    <w:t>达标</w:t>
                  </w:r>
                </w:p>
              </w:tc>
              <w:tc>
                <w:tcPr>
                  <w:tcW w:w="409" w:type="dxa"/>
                </w:tcPr>
                <w:p w14:paraId="7280DAA6">
                  <w:pPr>
                    <w:jc w:val="center"/>
                    <w:rPr>
                      <w:kern w:val="0"/>
                    </w:rPr>
                  </w:pPr>
                  <w:r>
                    <w:rPr>
                      <w:rFonts w:hint="eastAsia"/>
                      <w:kern w:val="0"/>
                    </w:rPr>
                    <w:t>达标</w:t>
                  </w:r>
                </w:p>
              </w:tc>
            </w:tr>
            <w:tr w14:paraId="3C13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39" w:type="dxa"/>
                  <w:vAlign w:val="center"/>
                </w:tcPr>
                <w:p w14:paraId="13AE5B9C">
                  <w:pPr>
                    <w:pStyle w:val="95"/>
                    <w:spacing w:before="0" w:after="0"/>
                    <w:rPr>
                      <w:rFonts w:hint="eastAsia"/>
                      <w:szCs w:val="21"/>
                    </w:rPr>
                  </w:pPr>
                  <w:r>
                    <w:rPr>
                      <w:rFonts w:hint="eastAsia"/>
                      <w:szCs w:val="21"/>
                    </w:rPr>
                    <w:t>升压站附近散户</w:t>
                  </w:r>
                </w:p>
              </w:tc>
              <w:tc>
                <w:tcPr>
                  <w:tcW w:w="570" w:type="dxa"/>
                  <w:vAlign w:val="center"/>
                </w:tcPr>
                <w:p w14:paraId="4B316842">
                  <w:pPr>
                    <w:jc w:val="center"/>
                    <w:rPr>
                      <w:color w:val="000000"/>
                    </w:rPr>
                  </w:pPr>
                  <w:r>
                    <w:rPr>
                      <w:rFonts w:hint="eastAsia"/>
                      <w:color w:val="000000"/>
                    </w:rPr>
                    <w:t>4</w:t>
                  </w:r>
                  <w:r>
                    <w:rPr>
                      <w:color w:val="000000"/>
                    </w:rPr>
                    <w:t>6</w:t>
                  </w:r>
                </w:p>
              </w:tc>
              <w:tc>
                <w:tcPr>
                  <w:tcW w:w="567" w:type="dxa"/>
                  <w:vAlign w:val="center"/>
                </w:tcPr>
                <w:p w14:paraId="04798E72">
                  <w:pPr>
                    <w:jc w:val="center"/>
                    <w:rPr>
                      <w:color w:val="000000"/>
                    </w:rPr>
                  </w:pPr>
                  <w:r>
                    <w:rPr>
                      <w:rFonts w:hint="eastAsia"/>
                      <w:color w:val="000000"/>
                    </w:rPr>
                    <w:t>4</w:t>
                  </w:r>
                  <w:r>
                    <w:rPr>
                      <w:color w:val="000000"/>
                    </w:rPr>
                    <w:t>0</w:t>
                  </w:r>
                </w:p>
              </w:tc>
              <w:tc>
                <w:tcPr>
                  <w:tcW w:w="2126" w:type="dxa"/>
                  <w:vAlign w:val="center"/>
                </w:tcPr>
                <w:p w14:paraId="6FF56632">
                  <w:pPr>
                    <w:jc w:val="center"/>
                    <w:rPr>
                      <w:rFonts w:hint="eastAsia"/>
                    </w:rPr>
                  </w:pPr>
                  <w:r>
                    <w:rPr>
                      <w:rFonts w:hint="eastAsia"/>
                    </w:rPr>
                    <w:t>距离升压站厂界东侧20m</w:t>
                  </w:r>
                </w:p>
              </w:tc>
              <w:tc>
                <w:tcPr>
                  <w:tcW w:w="567" w:type="dxa"/>
                  <w:vAlign w:val="center"/>
                </w:tcPr>
                <w:p w14:paraId="218F907B">
                  <w:pPr>
                    <w:jc w:val="center"/>
                    <w:rPr>
                      <w:rFonts w:hint="eastAsia"/>
                      <w:kern w:val="0"/>
                    </w:rPr>
                  </w:pPr>
                  <w:r>
                    <w:rPr>
                      <w:rFonts w:hint="eastAsia"/>
                      <w:kern w:val="0"/>
                    </w:rPr>
                    <w:t>1</w:t>
                  </w:r>
                  <w:r>
                    <w:rPr>
                      <w:kern w:val="0"/>
                    </w:rPr>
                    <w:t>1</w:t>
                  </w:r>
                </w:p>
              </w:tc>
              <w:tc>
                <w:tcPr>
                  <w:tcW w:w="567" w:type="dxa"/>
                  <w:vAlign w:val="center"/>
                </w:tcPr>
                <w:p w14:paraId="3EDF4C28">
                  <w:pPr>
                    <w:jc w:val="center"/>
                    <w:rPr>
                      <w:rFonts w:hint="eastAsia"/>
                      <w:kern w:val="0"/>
                    </w:rPr>
                  </w:pPr>
                  <w:r>
                    <w:rPr>
                      <w:rFonts w:hint="eastAsia"/>
                      <w:kern w:val="0"/>
                    </w:rPr>
                    <w:t>1</w:t>
                  </w:r>
                  <w:r>
                    <w:rPr>
                      <w:kern w:val="0"/>
                    </w:rPr>
                    <w:t>1</w:t>
                  </w:r>
                </w:p>
              </w:tc>
              <w:tc>
                <w:tcPr>
                  <w:tcW w:w="567" w:type="dxa"/>
                  <w:vAlign w:val="center"/>
                </w:tcPr>
                <w:p w14:paraId="5ABB01AB">
                  <w:pPr>
                    <w:jc w:val="center"/>
                    <w:rPr>
                      <w:rFonts w:hint="eastAsia"/>
                      <w:kern w:val="0"/>
                    </w:rPr>
                  </w:pPr>
                  <w:r>
                    <w:rPr>
                      <w:rFonts w:hint="eastAsia"/>
                      <w:kern w:val="0"/>
                    </w:rPr>
                    <w:t>4</w:t>
                  </w:r>
                  <w:r>
                    <w:rPr>
                      <w:kern w:val="0"/>
                    </w:rPr>
                    <w:t>6</w:t>
                  </w:r>
                </w:p>
              </w:tc>
              <w:tc>
                <w:tcPr>
                  <w:tcW w:w="567" w:type="dxa"/>
                  <w:vAlign w:val="center"/>
                </w:tcPr>
                <w:p w14:paraId="0F0A709E">
                  <w:pPr>
                    <w:jc w:val="center"/>
                    <w:rPr>
                      <w:rFonts w:hint="eastAsia"/>
                      <w:kern w:val="0"/>
                    </w:rPr>
                  </w:pPr>
                  <w:r>
                    <w:rPr>
                      <w:rFonts w:hint="eastAsia"/>
                      <w:kern w:val="0"/>
                    </w:rPr>
                    <w:t>4</w:t>
                  </w:r>
                  <w:r>
                    <w:rPr>
                      <w:kern w:val="0"/>
                    </w:rPr>
                    <w:t>0</w:t>
                  </w:r>
                </w:p>
              </w:tc>
              <w:tc>
                <w:tcPr>
                  <w:tcW w:w="567" w:type="dxa"/>
                  <w:vAlign w:val="center"/>
                </w:tcPr>
                <w:p w14:paraId="42F18B5F">
                  <w:pPr>
                    <w:jc w:val="center"/>
                    <w:rPr>
                      <w:kern w:val="0"/>
                    </w:rPr>
                  </w:pPr>
                  <w:r>
                    <w:rPr>
                      <w:kern w:val="0"/>
                    </w:rPr>
                    <w:t>60</w:t>
                  </w:r>
                </w:p>
              </w:tc>
              <w:tc>
                <w:tcPr>
                  <w:tcW w:w="567" w:type="dxa"/>
                  <w:vAlign w:val="center"/>
                </w:tcPr>
                <w:p w14:paraId="11009D8B">
                  <w:pPr>
                    <w:jc w:val="center"/>
                    <w:rPr>
                      <w:rFonts w:hint="eastAsia"/>
                      <w:kern w:val="0"/>
                    </w:rPr>
                  </w:pPr>
                  <w:r>
                    <w:rPr>
                      <w:rFonts w:hint="eastAsia"/>
                      <w:kern w:val="0"/>
                    </w:rPr>
                    <w:t>5</w:t>
                  </w:r>
                  <w:r>
                    <w:rPr>
                      <w:kern w:val="0"/>
                    </w:rPr>
                    <w:t>0</w:t>
                  </w:r>
                </w:p>
              </w:tc>
              <w:tc>
                <w:tcPr>
                  <w:tcW w:w="425" w:type="dxa"/>
                </w:tcPr>
                <w:p w14:paraId="687854DB">
                  <w:pPr>
                    <w:jc w:val="center"/>
                    <w:rPr>
                      <w:rFonts w:hint="eastAsia"/>
                      <w:kern w:val="0"/>
                    </w:rPr>
                  </w:pPr>
                  <w:r>
                    <w:rPr>
                      <w:rFonts w:hint="eastAsia"/>
                      <w:kern w:val="0"/>
                    </w:rPr>
                    <w:t>达标</w:t>
                  </w:r>
                </w:p>
              </w:tc>
              <w:tc>
                <w:tcPr>
                  <w:tcW w:w="409" w:type="dxa"/>
                </w:tcPr>
                <w:p w14:paraId="6C34E657">
                  <w:pPr>
                    <w:jc w:val="center"/>
                    <w:rPr>
                      <w:rFonts w:hint="eastAsia"/>
                      <w:kern w:val="0"/>
                    </w:rPr>
                  </w:pPr>
                  <w:r>
                    <w:rPr>
                      <w:rFonts w:hint="eastAsia"/>
                      <w:kern w:val="0"/>
                    </w:rPr>
                    <w:t>达标</w:t>
                  </w:r>
                </w:p>
              </w:tc>
            </w:tr>
          </w:tbl>
          <w:p w14:paraId="396924A6">
            <w:pPr>
              <w:spacing w:line="360" w:lineRule="auto"/>
              <w:ind w:firstLine="480" w:firstLineChars="200"/>
              <w:rPr>
                <w:sz w:val="24"/>
              </w:rPr>
            </w:pPr>
            <w:r>
              <w:rPr>
                <w:bCs/>
                <w:sz w:val="24"/>
              </w:rPr>
              <w:t>由上表可知，本项目光伏电站建成投运后，箱变</w:t>
            </w:r>
            <w:r>
              <w:rPr>
                <w:rFonts w:hint="eastAsia"/>
                <w:bCs/>
                <w:sz w:val="24"/>
              </w:rPr>
              <w:t>和升压站</w:t>
            </w:r>
            <w:r>
              <w:rPr>
                <w:bCs/>
                <w:sz w:val="24"/>
              </w:rPr>
              <w:t>50m范围内环境保护目标昼间噪声预测值为44</w:t>
            </w:r>
            <w:r>
              <w:rPr>
                <w:sz w:val="24"/>
              </w:rPr>
              <w:t>~46</w:t>
            </w:r>
            <w:r>
              <w:rPr>
                <w:bCs/>
                <w:sz w:val="24"/>
              </w:rPr>
              <w:t>dB(A)，夜间噪声预测值为40</w:t>
            </w:r>
            <w:r>
              <w:rPr>
                <w:sz w:val="24"/>
              </w:rPr>
              <w:t>~43</w:t>
            </w:r>
            <w:r>
              <w:rPr>
                <w:bCs/>
                <w:sz w:val="24"/>
              </w:rPr>
              <w:t>dB(A)，昼夜均满足</w:t>
            </w:r>
            <w:bookmarkStart w:id="148" w:name="OLE_LINK89"/>
            <w:r>
              <w:rPr>
                <w:bCs/>
                <w:sz w:val="24"/>
              </w:rPr>
              <w:t>《声环境质量标准》（GB 3096-2008）</w:t>
            </w:r>
            <w:r>
              <w:rPr>
                <w:rFonts w:hint="eastAsia"/>
                <w:bCs/>
                <w:sz w:val="24"/>
              </w:rPr>
              <w:t>2</w:t>
            </w:r>
            <w:r>
              <w:rPr>
                <w:bCs/>
                <w:sz w:val="24"/>
              </w:rPr>
              <w:t>类</w:t>
            </w:r>
            <w:bookmarkEnd w:id="148"/>
            <w:r>
              <w:rPr>
                <w:bCs/>
                <w:sz w:val="24"/>
              </w:rPr>
              <w:t>（即昼间≤60dB(A)，夜间≤50dB(A)）标准要求。</w:t>
            </w:r>
            <w:r>
              <w:rPr>
                <w:sz w:val="24"/>
              </w:rPr>
              <w:t>因此本项目运行期间对声环境的影响很小。</w:t>
            </w:r>
          </w:p>
          <w:p w14:paraId="6DA6864F">
            <w:pPr>
              <w:pStyle w:val="155"/>
              <w:ind w:firstLine="480" w:firstLineChars="200"/>
              <w:jc w:val="both"/>
              <w:rPr>
                <w:rFonts w:hint="eastAsia"/>
                <w:b w:val="0"/>
                <w:szCs w:val="21"/>
              </w:rPr>
            </w:pPr>
            <w:r>
              <w:rPr>
                <w:rFonts w:hint="eastAsia"/>
                <w:b w:val="0"/>
                <w:szCs w:val="21"/>
              </w:rPr>
              <w:t>5）集电线路噪声影响</w:t>
            </w:r>
          </w:p>
          <w:p w14:paraId="41CA5BC8">
            <w:pPr>
              <w:overflowPunct w:val="0"/>
              <w:topLinePunct/>
              <w:autoSpaceDE w:val="0"/>
              <w:autoSpaceDN w:val="0"/>
              <w:spacing w:line="360" w:lineRule="auto"/>
              <w:ind w:firstLine="480" w:firstLineChars="200"/>
              <w:rPr>
                <w:sz w:val="24"/>
              </w:rPr>
            </w:pPr>
            <w:r>
              <w:rPr>
                <w:sz w:val="24"/>
              </w:rPr>
              <w:t>输电线路噪声是指导线周围空气电晕放电时所产生的一种人耳能够直接听到的噪声。输电线路的对地高度、天气情况以及导线方式（单导线或分裂导线）密切相关。根据《输电线路可听噪声</w:t>
            </w:r>
            <w:r>
              <w:rPr>
                <w:rFonts w:hint="eastAsia"/>
                <w:snapToGrid w:val="0"/>
                <w:kern w:val="0"/>
                <w:sz w:val="24"/>
                <w:lang w:bidi="ar"/>
              </w:rPr>
              <w:t>研究</w:t>
            </w:r>
            <w:r>
              <w:rPr>
                <w:sz w:val="24"/>
              </w:rPr>
              <w:t>综述》，输电线路因电晕产生的可听噪声是500</w:t>
            </w:r>
            <w:r>
              <w:rPr>
                <w:rFonts w:hint="eastAsia"/>
                <w:sz w:val="24"/>
              </w:rPr>
              <w:t>kV</w:t>
            </w:r>
            <w:r>
              <w:rPr>
                <w:sz w:val="24"/>
              </w:rPr>
              <w:t>电压等级才出现的问题，本项目集电线路电压等级仅35</w:t>
            </w:r>
            <w:r>
              <w:rPr>
                <w:rFonts w:hint="eastAsia"/>
                <w:sz w:val="24"/>
              </w:rPr>
              <w:t>kV</w:t>
            </w:r>
            <w:r>
              <w:rPr>
                <w:sz w:val="24"/>
              </w:rPr>
              <w:t>不考虑输电线路噪声问题</w:t>
            </w:r>
            <w:r>
              <w:rPr>
                <w:rFonts w:hint="eastAsia"/>
                <w:sz w:val="24"/>
              </w:rPr>
              <w:t>。</w:t>
            </w:r>
          </w:p>
          <w:p w14:paraId="1A71E666">
            <w:pPr>
              <w:overflowPunct w:val="0"/>
              <w:topLinePunct/>
              <w:autoSpaceDE w:val="0"/>
              <w:autoSpaceDN w:val="0"/>
              <w:spacing w:line="360" w:lineRule="auto"/>
              <w:ind w:firstLine="482" w:firstLineChars="200"/>
              <w:rPr>
                <w:rFonts w:hint="eastAsia"/>
                <w:b/>
                <w:bCs/>
                <w:snapToGrid w:val="0"/>
                <w:kern w:val="0"/>
                <w:sz w:val="24"/>
                <w:lang w:bidi="ar"/>
              </w:rPr>
            </w:pPr>
            <w:r>
              <w:rPr>
                <w:rFonts w:hint="eastAsia"/>
                <w:b/>
                <w:bCs/>
                <w:snapToGrid w:val="0"/>
                <w:kern w:val="0"/>
                <w:sz w:val="24"/>
                <w:lang w:bidi="ar"/>
              </w:rPr>
              <w:t>（4）运行期固体废弃物</w:t>
            </w:r>
          </w:p>
          <w:p w14:paraId="4BDECB38">
            <w:pPr>
              <w:adjustRightInd w:val="0"/>
              <w:snapToGrid w:val="0"/>
              <w:spacing w:line="360" w:lineRule="auto"/>
              <w:ind w:firstLine="480" w:firstLineChars="200"/>
              <w:rPr>
                <w:bCs/>
                <w:sz w:val="24"/>
              </w:rPr>
            </w:pPr>
            <w:r>
              <w:rPr>
                <w:rFonts w:hint="eastAsia"/>
                <w:bCs/>
                <w:sz w:val="24"/>
              </w:rPr>
              <w:t>项目运行期固体废物包括一般固废和危险废物，其中一般固废包括：生活垃圾、污水处理设施污泥、废电池板；危险废物包括：废铅蓄电池、废矿物油、含油抹布等。</w:t>
            </w:r>
          </w:p>
          <w:p w14:paraId="798B0D1A">
            <w:pPr>
              <w:spacing w:line="360" w:lineRule="auto"/>
              <w:ind w:firstLine="480" w:firstLineChars="200"/>
              <w:rPr>
                <w:rFonts w:hint="eastAsia"/>
                <w:bCs/>
                <w:sz w:val="24"/>
              </w:rPr>
            </w:pPr>
            <w:r>
              <w:rPr>
                <w:rFonts w:hint="eastAsia"/>
                <w:bCs/>
                <w:sz w:val="24"/>
              </w:rPr>
              <w:t>1）一般固废</w:t>
            </w:r>
          </w:p>
          <w:p w14:paraId="6BFF7187">
            <w:pPr>
              <w:spacing w:line="360" w:lineRule="auto"/>
              <w:ind w:firstLine="480" w:firstLineChars="200"/>
              <w:rPr>
                <w:bCs/>
                <w:sz w:val="24"/>
              </w:rPr>
            </w:pPr>
            <w:r>
              <w:rPr>
                <w:rFonts w:hint="eastAsia"/>
                <w:bCs/>
                <w:sz w:val="24"/>
              </w:rPr>
              <w:t>①生活垃圾</w:t>
            </w:r>
          </w:p>
          <w:p w14:paraId="04F35028">
            <w:pPr>
              <w:spacing w:line="360" w:lineRule="auto"/>
              <w:ind w:firstLine="480" w:firstLineChars="200"/>
              <w:rPr>
                <w:bCs/>
                <w:sz w:val="24"/>
              </w:rPr>
            </w:pPr>
            <w:r>
              <w:rPr>
                <w:rFonts w:hint="eastAsia"/>
                <w:bCs/>
                <w:sz w:val="24"/>
              </w:rPr>
              <w:t>以礼河电厂三级电站和本项目劳动定员共计</w:t>
            </w:r>
            <w:r>
              <w:rPr>
                <w:bCs/>
                <w:sz w:val="24"/>
              </w:rPr>
              <w:t>13</w:t>
            </w:r>
            <w:r>
              <w:rPr>
                <w:rFonts w:hint="eastAsia"/>
                <w:bCs/>
                <w:sz w:val="24"/>
              </w:rPr>
              <w:t>人，均在项目内食宿，生活垃圾产生量以1kg/（人·</w:t>
            </w:r>
            <w:r>
              <w:rPr>
                <w:bCs/>
                <w:sz w:val="24"/>
              </w:rPr>
              <w:t>d</w:t>
            </w:r>
            <w:r>
              <w:rPr>
                <w:rFonts w:hint="eastAsia"/>
                <w:bCs/>
                <w:sz w:val="24"/>
              </w:rPr>
              <w:t>）计，则生活垃圾产生量约为</w:t>
            </w:r>
            <w:r>
              <w:rPr>
                <w:bCs/>
                <w:sz w:val="24"/>
              </w:rPr>
              <w:t>13</w:t>
            </w:r>
            <w:r>
              <w:rPr>
                <w:rFonts w:hint="eastAsia"/>
                <w:bCs/>
                <w:sz w:val="24"/>
              </w:rPr>
              <w:t>kg/d，年产生量为</w:t>
            </w:r>
            <w:r>
              <w:rPr>
                <w:bCs/>
                <w:sz w:val="24"/>
              </w:rPr>
              <w:t>4.75</w:t>
            </w:r>
            <w:r>
              <w:rPr>
                <w:rFonts w:hint="eastAsia"/>
                <w:bCs/>
                <w:sz w:val="24"/>
              </w:rPr>
              <w:t>t/a。项目产生的生活垃圾主要为平时工作人员用的生活废品，包括食堂菜叶、废纸、包装袋，项目内的生活垃圾分类收集后回收利用，不能利用的部分袋装后放入项目办公生活区的垃圾桶内，定期运至就近村庄的垃圾收集点，由当地环卫部门处置，处置率达100%。根据《固体废物分类与代码目录》（生态环境部公告2024年第4号），生活垃圾中的日常清扫垃圾及餐厨、废油等其他之外的废物代码为900-099-S64，生活垃圾中的可回收物（废纸）废物代码为900-001-S62，可回收物（废塑料）废物代码为900-002-S62，生活垃圾中的餐厨垃圾及隔油池油污废物代码为900-002-S61。</w:t>
            </w:r>
          </w:p>
          <w:p w14:paraId="33E5E815">
            <w:pPr>
              <w:spacing w:line="360" w:lineRule="auto"/>
              <w:ind w:firstLine="480" w:firstLineChars="200"/>
              <w:rPr>
                <w:bCs/>
                <w:sz w:val="24"/>
              </w:rPr>
            </w:pPr>
            <w:r>
              <w:rPr>
                <w:rFonts w:hint="eastAsia"/>
                <w:bCs/>
                <w:sz w:val="24"/>
              </w:rPr>
              <w:t>②污水处理设施污泥及废M</w:t>
            </w:r>
            <w:r>
              <w:rPr>
                <w:bCs/>
                <w:sz w:val="24"/>
              </w:rPr>
              <w:t>BR</w:t>
            </w:r>
            <w:r>
              <w:rPr>
                <w:rFonts w:hint="eastAsia"/>
                <w:bCs/>
                <w:sz w:val="24"/>
              </w:rPr>
              <w:t>膜</w:t>
            </w:r>
          </w:p>
          <w:p w14:paraId="49499C58">
            <w:pPr>
              <w:spacing w:line="360" w:lineRule="auto"/>
              <w:ind w:firstLine="480" w:firstLineChars="200"/>
              <w:rPr>
                <w:bCs/>
                <w:sz w:val="24"/>
              </w:rPr>
            </w:pPr>
            <w:r>
              <w:rPr>
                <w:rFonts w:hint="eastAsia"/>
                <w:bCs/>
                <w:sz w:val="24"/>
              </w:rPr>
              <w:t>生活污水处理过程中化粪池和地埋式一体化污水处理设施会产生少量的污泥，年产生量约1t/a，污泥中主要含有有机物，无其他有毒有害物质，清掏后用于电站绿化及周围农田施肥还田。根据《固体废物分类与代码目录》（生态环境部公告2024年第4号），化粪池产生的污泥、一体化污水处理设施的废物代码为900-099-S64。</w:t>
            </w:r>
          </w:p>
          <w:p w14:paraId="3D90E1E4">
            <w:pPr>
              <w:spacing w:line="360" w:lineRule="auto"/>
              <w:ind w:firstLine="480" w:firstLineChars="200"/>
              <w:rPr>
                <w:rFonts w:hint="eastAsia"/>
                <w:bCs/>
                <w:sz w:val="24"/>
              </w:rPr>
            </w:pPr>
            <w:r>
              <w:rPr>
                <w:rFonts w:hint="eastAsia"/>
                <w:bCs/>
                <w:sz w:val="24"/>
              </w:rPr>
              <w:t>一体化污水处理设备更换的MBR废膜统一由厂家回收，严禁随意丢弃、就地填埋，防止废膜碎片散落造成二次污染，落实全过程环境管理。</w:t>
            </w:r>
          </w:p>
          <w:p w14:paraId="43493EE6">
            <w:pPr>
              <w:pStyle w:val="212"/>
              <w:ind w:firstLine="480"/>
            </w:pPr>
            <w:r>
              <w:rPr>
                <w:rFonts w:hint="eastAsia"/>
              </w:rPr>
              <w:t>③</w:t>
            </w:r>
            <w:bookmarkStart w:id="149" w:name="OLE_LINK99"/>
            <w:r>
              <w:rPr>
                <w:rFonts w:hint="eastAsia"/>
              </w:rPr>
              <w:t>废电池板</w:t>
            </w:r>
            <w:bookmarkEnd w:id="149"/>
          </w:p>
          <w:p w14:paraId="70259B9E">
            <w:pPr>
              <w:pStyle w:val="212"/>
              <w:ind w:firstLine="480"/>
            </w:pPr>
            <w:r>
              <w:rPr>
                <w:rFonts w:hint="eastAsia"/>
              </w:rPr>
              <w:t>项目运营期，电池板寿命达到使用年限，会产生废电池板，报废后建设单位对报废电池板进行收集，换下后的电池板由厂家及时回收清运走。根据《国家危险废物名录》（2025版），太阳能电池板中不含名录中所列的危险废物。太阳能电池采用的材料是晶体硅，硅电池片所含主要化学成分有Si、P和B，硅电池中晶体Si纯度为6个9（6N）以上的高纯硅材料，即纯度为99.9999%以上的硅材料。Si、P和B均以晶体形式存在，不具有腐蚀性、易燃性、毒性、反应性和感染性的危险特性。因此，本项目所使用的太阳能电池板报废后属于一般工业固体废物。根据《固体废物分类与代码目录》（生态环境部公告2024年第4号），废电池板废物代码为900-015-S17。</w:t>
            </w:r>
          </w:p>
          <w:p w14:paraId="019231E8">
            <w:pPr>
              <w:adjustRightInd w:val="0"/>
              <w:snapToGrid w:val="0"/>
              <w:spacing w:line="360" w:lineRule="auto"/>
              <w:ind w:firstLine="480" w:firstLineChars="200"/>
              <w:rPr>
                <w:bCs/>
                <w:sz w:val="24"/>
              </w:rPr>
            </w:pPr>
            <w:r>
              <w:rPr>
                <w:rFonts w:hint="eastAsia"/>
                <w:bCs/>
                <w:sz w:val="24"/>
              </w:rPr>
              <w:t>2）危险废物</w:t>
            </w:r>
          </w:p>
          <w:p w14:paraId="14936047">
            <w:pPr>
              <w:adjustRightInd w:val="0"/>
              <w:snapToGrid w:val="0"/>
              <w:spacing w:line="360" w:lineRule="auto"/>
              <w:ind w:firstLine="480" w:firstLineChars="200"/>
              <w:rPr>
                <w:bCs/>
                <w:sz w:val="24"/>
              </w:rPr>
            </w:pPr>
            <w:r>
              <w:rPr>
                <w:rFonts w:hint="eastAsia"/>
                <w:bCs/>
                <w:sz w:val="24"/>
              </w:rPr>
              <w:t>本项目不新建储能，储能按购买火电调节服务费方式执行。</w:t>
            </w:r>
          </w:p>
          <w:p w14:paraId="69139EBB">
            <w:pPr>
              <w:adjustRightInd w:val="0"/>
              <w:snapToGrid w:val="0"/>
              <w:spacing w:line="360" w:lineRule="auto"/>
              <w:ind w:firstLine="480" w:firstLineChars="200"/>
              <w:rPr>
                <w:bCs/>
                <w:sz w:val="24"/>
              </w:rPr>
            </w:pPr>
            <w:r>
              <w:rPr>
                <w:rFonts w:hint="eastAsia"/>
                <w:bCs/>
                <w:sz w:val="24"/>
              </w:rPr>
              <w:t>①废铅蓄电池</w:t>
            </w:r>
          </w:p>
          <w:p w14:paraId="033316BE">
            <w:pPr>
              <w:adjustRightInd w:val="0"/>
              <w:snapToGrid w:val="0"/>
              <w:spacing w:line="360" w:lineRule="auto"/>
              <w:ind w:firstLine="480" w:firstLineChars="200"/>
              <w:rPr>
                <w:bCs/>
                <w:sz w:val="24"/>
              </w:rPr>
            </w:pPr>
            <w:r>
              <w:rPr>
                <w:rFonts w:hint="eastAsia"/>
                <w:bCs/>
                <w:sz w:val="24"/>
              </w:rPr>
              <w:t>项目升压站在故障情况下，升压站内应急保护、测控供电及主控楼应急照明供电电池采用免维护铅酸蓄电池供电，免维护蓄电池报废周期较长，至少大于25年，报废后会产生废旧铅酸电池，废旧蓄电池1组104只，本次评价考虑一次性更换所有铅蓄电池，更换一次约2t左右，委托有资质单位定期处置。经查阅《国家危险废物名录（2025年版）》废旧铅酸蓄电池废物类别为“HW31含铅废物”，废物代码为“900-052-31”。</w:t>
            </w:r>
          </w:p>
          <w:p w14:paraId="662F5058">
            <w:pPr>
              <w:adjustRightInd w:val="0"/>
              <w:snapToGrid w:val="0"/>
              <w:spacing w:line="360" w:lineRule="auto"/>
              <w:ind w:firstLine="480" w:firstLineChars="200"/>
              <w:rPr>
                <w:bCs/>
                <w:sz w:val="24"/>
              </w:rPr>
            </w:pPr>
            <w:r>
              <w:rPr>
                <w:rFonts w:hint="eastAsia"/>
                <w:bCs/>
                <w:sz w:val="24"/>
              </w:rPr>
              <w:t>参照《废铅蓄电池处理污染控制技术规范》（HJ</w:t>
            </w:r>
            <w:r>
              <w:rPr>
                <w:bCs/>
                <w:sz w:val="24"/>
              </w:rPr>
              <w:t xml:space="preserve"> </w:t>
            </w:r>
            <w:r>
              <w:rPr>
                <w:rFonts w:hint="eastAsia"/>
                <w:bCs/>
                <w:sz w:val="24"/>
              </w:rPr>
              <w:t>519-2020）要求：废铅蓄电池收集点暂存时间不应超过90d，重量应不超过3t。本环评要求建设单位在更换本项目铅酸蓄电池时，项目废铅蓄电池在更换、收集、运输时，应严格执行《危险废物转移联单管理办法》有关规定，禁止在转移过程中擅自拆解、破碎、丢弃。废铅蓄电池经收集后在危废贮存间分区暂存，并定期交由有资质单位清运处置。</w:t>
            </w:r>
          </w:p>
          <w:p w14:paraId="140DF4F7">
            <w:pPr>
              <w:adjustRightInd w:val="0"/>
              <w:snapToGrid w:val="0"/>
              <w:spacing w:line="360" w:lineRule="auto"/>
              <w:ind w:firstLine="480" w:firstLineChars="200"/>
              <w:rPr>
                <w:bCs/>
                <w:sz w:val="24"/>
              </w:rPr>
            </w:pPr>
            <w:r>
              <w:rPr>
                <w:rFonts w:hint="eastAsia"/>
                <w:bCs/>
                <w:sz w:val="24"/>
              </w:rPr>
              <w:t>②废矿物油</w:t>
            </w:r>
          </w:p>
          <w:p w14:paraId="64CB712B">
            <w:pPr>
              <w:adjustRightInd w:val="0"/>
              <w:snapToGrid w:val="0"/>
              <w:spacing w:line="360" w:lineRule="auto"/>
              <w:ind w:firstLine="480" w:firstLineChars="200"/>
              <w:rPr>
                <w:bCs/>
                <w:sz w:val="24"/>
              </w:rPr>
            </w:pPr>
            <w:r>
              <w:rPr>
                <w:rFonts w:hint="eastAsia"/>
                <w:bCs/>
                <w:sz w:val="24"/>
              </w:rPr>
              <w:t>a.主变压器油</w:t>
            </w:r>
          </w:p>
          <w:p w14:paraId="713200C8">
            <w:pPr>
              <w:spacing w:line="360" w:lineRule="auto"/>
              <w:ind w:firstLine="480" w:firstLineChars="200"/>
              <w:rPr>
                <w:bCs/>
                <w:sz w:val="24"/>
              </w:rPr>
            </w:pPr>
            <w:r>
              <w:rPr>
                <w:rFonts w:hint="eastAsia"/>
                <w:bCs/>
                <w:sz w:val="24"/>
              </w:rPr>
              <w:t>根据可研所提供资料，项目升压站设置1台50MVA变压器作为主变，主变压器处将建设1个事故油池和1个集油坑，事故油池设置为地埋式，容积为50m</w:t>
            </w:r>
            <w:r>
              <w:rPr>
                <w:rFonts w:hint="eastAsia"/>
                <w:bCs/>
                <w:sz w:val="24"/>
                <w:vertAlign w:val="superscript"/>
              </w:rPr>
              <w:t>3</w:t>
            </w:r>
            <w:r>
              <w:rPr>
                <w:rFonts w:hint="eastAsia"/>
                <w:bCs/>
                <w:sz w:val="24"/>
              </w:rPr>
              <w:t>，集油坑容积为10m</w:t>
            </w:r>
            <w:r>
              <w:rPr>
                <w:rFonts w:hint="eastAsia"/>
                <w:bCs/>
                <w:sz w:val="24"/>
                <w:vertAlign w:val="superscript"/>
              </w:rPr>
              <w:t>3</w:t>
            </w:r>
            <w:r>
              <w:rPr>
                <w:rFonts w:hint="eastAsia"/>
                <w:bCs/>
                <w:sz w:val="24"/>
              </w:rPr>
              <w:t>，并在集油坑等储油设施内铺设卵石层，厚度不小于250mm，卵石直径应为50-80mm。</w:t>
            </w:r>
          </w:p>
          <w:p w14:paraId="206AE2DB">
            <w:pPr>
              <w:spacing w:line="360" w:lineRule="auto"/>
              <w:ind w:firstLine="480" w:firstLineChars="200"/>
              <w:rPr>
                <w:rFonts w:hint="eastAsia"/>
                <w:bCs/>
                <w:sz w:val="24"/>
              </w:rPr>
            </w:pPr>
            <w:r>
              <w:rPr>
                <w:rFonts w:hint="eastAsia"/>
                <w:bCs/>
                <w:sz w:val="24"/>
              </w:rPr>
              <w:t>在维修和事故情况下，主变压器产生的废油由集油坑收集后，经球墨铸铁管至事故油池存放。正常情况下每年定期维护设备时产生少量废矿物油，为危险废物（HW08，900-249-08），产生量约为50kg/a，收集于专用容器内，在危废贮存间内暂存，定期交由资质单位处置。</w:t>
            </w:r>
          </w:p>
          <w:p w14:paraId="7099E4C4">
            <w:pPr>
              <w:pStyle w:val="212"/>
              <w:ind w:firstLine="480"/>
            </w:pPr>
            <w:r>
              <w:rPr>
                <w:rFonts w:hint="eastAsia"/>
                <w:lang w:val="en-US"/>
              </w:rPr>
              <w:t>b.</w:t>
            </w:r>
            <w:r>
              <w:rPr>
                <w:rFonts w:hint="eastAsia"/>
              </w:rPr>
              <w:t>箱式变压器油</w:t>
            </w:r>
          </w:p>
          <w:p w14:paraId="42C30579">
            <w:pPr>
              <w:pStyle w:val="212"/>
              <w:ind w:firstLine="480"/>
            </w:pPr>
            <w:r>
              <w:rPr>
                <w:rFonts w:hint="eastAsia"/>
              </w:rPr>
              <w:t>项目共设置</w:t>
            </w:r>
            <w:r>
              <w:rPr>
                <w:lang w:val="en-US"/>
              </w:rPr>
              <w:t>21</w:t>
            </w:r>
            <w:r>
              <w:rPr>
                <w:rFonts w:hint="eastAsia"/>
              </w:rPr>
              <w:t>台箱变，经与设计单位核实，箱变装0</w:t>
            </w:r>
            <w:r>
              <w:t>.6~</w:t>
            </w:r>
            <w:r>
              <w:rPr>
                <w:rFonts w:hint="eastAsia"/>
                <w:lang w:val="en-US"/>
              </w:rPr>
              <w:t>1.9t</w:t>
            </w:r>
            <w:r>
              <w:rPr>
                <w:rFonts w:hint="eastAsia"/>
              </w:rPr>
              <w:t>变压器油，</w:t>
            </w:r>
            <w:r>
              <w:rPr>
                <w:rFonts w:hint="eastAsia"/>
                <w:lang w:val="en-US"/>
              </w:rPr>
              <w:t>每台箱变</w:t>
            </w:r>
            <w:r>
              <w:rPr>
                <w:rFonts w:hint="eastAsia"/>
              </w:rPr>
              <w:t>分别配套设有一个容积为2</w:t>
            </w:r>
            <w:r>
              <w:rPr>
                <w:rFonts w:hint="eastAsia"/>
                <w:lang w:val="en-US"/>
              </w:rPr>
              <w:t>.5</w:t>
            </w:r>
            <w:r>
              <w:rPr>
                <w:rFonts w:hint="eastAsia"/>
              </w:rPr>
              <w:t>m</w:t>
            </w:r>
            <w:r>
              <w:rPr>
                <w:rFonts w:hint="eastAsia"/>
                <w:vertAlign w:val="superscript"/>
              </w:rPr>
              <w:t>3</w:t>
            </w:r>
            <w:r>
              <w:rPr>
                <w:rFonts w:hint="eastAsia"/>
              </w:rPr>
              <w:t>的箱变事故池，箱变事故池的设计满足《火力发电厂与变电站设计防火标准》GB</w:t>
            </w:r>
            <w:r>
              <w:rPr>
                <w:rFonts w:hint="eastAsia"/>
                <w:lang w:val="en-US"/>
              </w:rPr>
              <w:t xml:space="preserve"> </w:t>
            </w:r>
            <w:r>
              <w:rPr>
                <w:rFonts w:hint="eastAsia"/>
              </w:rPr>
              <w:t>50229-2019中11.3.4的相关要求，至少为0.5m</w:t>
            </w:r>
            <w:r>
              <w:rPr>
                <w:rFonts w:hint="eastAsia"/>
                <w:vertAlign w:val="superscript"/>
              </w:rPr>
              <w:t>3</w:t>
            </w:r>
            <w:r>
              <w:rPr>
                <w:rFonts w:hint="eastAsia"/>
              </w:rPr>
              <w:t>，且配备卵石层。</w:t>
            </w:r>
          </w:p>
          <w:p w14:paraId="54F0BD94">
            <w:pPr>
              <w:pStyle w:val="212"/>
              <w:ind w:firstLine="480"/>
            </w:pPr>
            <w:r>
              <w:t>箱变事故池底部和四周按照《环境影响评价技术导则 地下水环境》（HJ</w:t>
            </w:r>
            <w:r>
              <w:rPr>
                <w:lang w:val="en-US"/>
              </w:rPr>
              <w:t xml:space="preserve"> </w:t>
            </w:r>
            <w:r>
              <w:t>610-2016）提出的重点防渗区防渗技术要求落实，即防渗层为等效黏土防渗层Mb≥6.0m，渗透系数K≤1.0×10</w:t>
            </w:r>
            <w:r>
              <w:rPr>
                <w:vertAlign w:val="superscript"/>
              </w:rPr>
              <w:t>-7</w:t>
            </w:r>
            <w:r>
              <w:t>cm/s，确保事故油在存储的过程中不会渗漏。</w:t>
            </w:r>
          </w:p>
          <w:p w14:paraId="46077A14">
            <w:pPr>
              <w:pStyle w:val="212"/>
              <w:ind w:firstLine="480"/>
            </w:pPr>
            <w:r>
              <w:rPr>
                <w:rFonts w:hint="eastAsia"/>
              </w:rPr>
              <w:t>经与设计单位核实，项目建成运营后，定期对箱变进行维护管理，若箱变上显示内存变压器油质满足不了要求时，维护工作人员会采用“移动式净油器”就地对箱变内的变压器油抽出进行过滤处理，处理后又返回箱变内，处理过程中正常情况下无废油产生，变压器油在抽取及返回期间是有相关的管道连接、阀门控制，一般不会产生滴漏现象，</w:t>
            </w:r>
            <w:r>
              <w:rPr>
                <w:rFonts w:hint="eastAsia"/>
                <w:lang w:val="en-US"/>
              </w:rPr>
              <w:t>类比</w:t>
            </w:r>
            <w:r>
              <w:rPr>
                <w:rFonts w:hint="eastAsia"/>
              </w:rPr>
              <w:t>现有已运营的多个光伏项目统计情况，需要对箱变内变压器油进行过滤处理的概率较小，正常情况下箱变内变压器油使用寿命均较长。</w:t>
            </w:r>
          </w:p>
          <w:p w14:paraId="5CE1E75F">
            <w:pPr>
              <w:pStyle w:val="212"/>
              <w:ind w:firstLine="480"/>
            </w:pPr>
            <w:r>
              <w:rPr>
                <w:rFonts w:hint="eastAsia"/>
              </w:rPr>
              <w:t>根据《国家危险废物名录（2025年版）》，维护产生的废矿物油HW08，900-220-08、事故产生的事故油为HW08，900-249-08。</w:t>
            </w:r>
          </w:p>
          <w:p w14:paraId="0A6E65A0">
            <w:pPr>
              <w:pStyle w:val="212"/>
              <w:ind w:firstLine="480"/>
            </w:pPr>
            <w:r>
              <w:rPr>
                <w:rFonts w:hint="eastAsia"/>
              </w:rPr>
              <w:t>综上分析，项目运营期间正常情况下，箱变一般不会产生废变压器油；一旦发生事故，产生的事故油排入箱变的箱变事故池内，委托有资质的单位回收处置，对环境影响不大。</w:t>
            </w:r>
          </w:p>
          <w:p w14:paraId="56997F14">
            <w:pPr>
              <w:pStyle w:val="212"/>
              <w:ind w:firstLine="480"/>
            </w:pPr>
            <w:r>
              <w:rPr>
                <w:rFonts w:hint="eastAsia"/>
                <w:lang w:val="en-US"/>
              </w:rPr>
              <w:t>③</w:t>
            </w:r>
            <w:r>
              <w:rPr>
                <w:rFonts w:hint="eastAsia"/>
              </w:rPr>
              <w:t>含油抹布</w:t>
            </w:r>
          </w:p>
          <w:p w14:paraId="32E6670D">
            <w:pPr>
              <w:pStyle w:val="212"/>
              <w:ind w:firstLine="480"/>
            </w:pPr>
            <w:r>
              <w:rPr>
                <w:rFonts w:hint="eastAsia"/>
              </w:rPr>
              <w:t>本项目主变、箱变检修、更换以及发生事故时会产生一定量含油抹布、含油手套，根据《国家危险废物名录》（2025版），废弃的含油抹布、劳保用品属于危废，代码900-041-49。需要收集后堆放于危废间内并妥善进行处置。不得随意丢弃，因此经过回收处理后，废弃的含油抹布对环境影响较小。</w:t>
            </w:r>
          </w:p>
          <w:p w14:paraId="27FD2AA5">
            <w:pPr>
              <w:adjustRightInd w:val="0"/>
              <w:snapToGrid w:val="0"/>
              <w:spacing w:line="360" w:lineRule="auto"/>
              <w:ind w:firstLine="480" w:firstLineChars="200"/>
              <w:rPr>
                <w:bCs/>
                <w:sz w:val="24"/>
              </w:rPr>
            </w:pPr>
            <w:r>
              <w:rPr>
                <w:rFonts w:hint="eastAsia"/>
                <w:bCs/>
                <w:sz w:val="24"/>
              </w:rPr>
              <w:t>3）固体废物环境管理要求</w:t>
            </w:r>
          </w:p>
          <w:p w14:paraId="1C8DDD6E">
            <w:pPr>
              <w:adjustRightInd w:val="0"/>
              <w:snapToGrid w:val="0"/>
              <w:spacing w:line="360" w:lineRule="auto"/>
              <w:ind w:firstLine="480" w:firstLineChars="200"/>
              <w:rPr>
                <w:bCs/>
                <w:sz w:val="24"/>
              </w:rPr>
            </w:pPr>
            <w:r>
              <w:rPr>
                <w:rFonts w:hint="eastAsia"/>
                <w:bCs/>
                <w:sz w:val="24"/>
              </w:rPr>
              <w:t>①生活垃圾存放应做到防雨、防流失；</w:t>
            </w:r>
          </w:p>
          <w:p w14:paraId="578A7B92">
            <w:pPr>
              <w:adjustRightInd w:val="0"/>
              <w:snapToGrid w:val="0"/>
              <w:spacing w:line="360" w:lineRule="auto"/>
              <w:ind w:firstLine="480" w:firstLineChars="200"/>
              <w:rPr>
                <w:bCs/>
                <w:sz w:val="24"/>
              </w:rPr>
            </w:pPr>
            <w:r>
              <w:rPr>
                <w:rFonts w:hint="eastAsia"/>
                <w:bCs/>
                <w:sz w:val="24"/>
              </w:rPr>
              <w:t>②在新建1</w:t>
            </w:r>
            <w:r>
              <w:rPr>
                <w:bCs/>
                <w:sz w:val="24"/>
              </w:rPr>
              <w:t>10</w:t>
            </w:r>
            <w:r>
              <w:rPr>
                <w:rFonts w:hint="eastAsia"/>
                <w:bCs/>
                <w:sz w:val="24"/>
              </w:rPr>
              <w:t>k</w:t>
            </w:r>
            <w:r>
              <w:rPr>
                <w:bCs/>
                <w:sz w:val="24"/>
              </w:rPr>
              <w:t>V</w:t>
            </w:r>
            <w:r>
              <w:rPr>
                <w:rFonts w:hint="eastAsia"/>
                <w:bCs/>
                <w:sz w:val="24"/>
              </w:rPr>
              <w:t>升压站内设置1间面积为20m</w:t>
            </w:r>
            <w:r>
              <w:rPr>
                <w:rFonts w:hint="eastAsia"/>
                <w:bCs/>
                <w:sz w:val="24"/>
                <w:vertAlign w:val="superscript"/>
              </w:rPr>
              <w:t>2</w:t>
            </w:r>
            <w:r>
              <w:rPr>
                <w:rFonts w:hint="eastAsia"/>
                <w:bCs/>
                <w:sz w:val="24"/>
              </w:rPr>
              <w:t>的危险废物贮存间，危废贮存间采用全封闭式，贮存的危险废物直接接触地面的，还应进行基础防渗，防渗层为至少1m厚黏土层（渗透系数不大于10</w:t>
            </w:r>
            <w:r>
              <w:rPr>
                <w:rFonts w:hint="eastAsia"/>
                <w:bCs/>
                <w:sz w:val="24"/>
                <w:vertAlign w:val="superscript"/>
              </w:rPr>
              <w:t>-7</w:t>
            </w:r>
            <w:r>
              <w:rPr>
                <w:rFonts w:hint="eastAsia"/>
                <w:bCs/>
                <w:sz w:val="24"/>
              </w:rPr>
              <w:t>cm/s），或至少2mm厚高密度聚乙烯膜等人工防渗材料（渗透系数不大于10</w:t>
            </w:r>
            <w:r>
              <w:rPr>
                <w:rFonts w:hint="eastAsia"/>
                <w:bCs/>
                <w:sz w:val="24"/>
                <w:vertAlign w:val="superscript"/>
              </w:rPr>
              <w:t>-10</w:t>
            </w:r>
            <w:r>
              <w:rPr>
                <w:rFonts w:hint="eastAsia"/>
                <w:bCs/>
                <w:sz w:val="24"/>
              </w:rPr>
              <w:t>cm/s），或其他防渗性能等效的材料。内部分区堆存，严格按照《危险废物贮存污染控制标准》（</w:t>
            </w:r>
            <w:r>
              <w:rPr>
                <w:sz w:val="24"/>
              </w:rPr>
              <w:t>GB</w:t>
            </w:r>
            <w:r>
              <w:rPr>
                <w:rFonts w:hint="eastAsia"/>
                <w:sz w:val="24"/>
              </w:rPr>
              <w:t xml:space="preserve"> </w:t>
            </w:r>
            <w:r>
              <w:rPr>
                <w:sz w:val="24"/>
              </w:rPr>
              <w:t>18597-20</w:t>
            </w:r>
            <w:r>
              <w:rPr>
                <w:rFonts w:hint="eastAsia"/>
                <w:sz w:val="24"/>
              </w:rPr>
              <w:t>23</w:t>
            </w:r>
            <w:r>
              <w:rPr>
                <w:rFonts w:hint="eastAsia"/>
                <w:bCs/>
                <w:sz w:val="24"/>
              </w:rPr>
              <w:t>）的有关要求进行设计，基础必须进行防渗，能防风、防雨、防流失，并配设醒目的危险废物识别标志、警示标志，悬挂危废管理台账。危险废物定期委托具备相应危废处置资质的单位进行处置，其转移严格按照《危险废物转移联单管理办法》要求执行。配置人员对危险废物进行收集、暂存和保管。建立危险废物产生记录台账，定期检查自行贮存和处置的危险废物记录及相关证明材料（危废标识牌照片等），妥善保存危废转移联单及危废处置协议等相关资料。</w:t>
            </w:r>
          </w:p>
          <w:p w14:paraId="71DC7C9F">
            <w:pPr>
              <w:spacing w:line="360" w:lineRule="auto"/>
              <w:ind w:firstLine="482" w:firstLineChars="200"/>
              <w:outlineLvl w:val="2"/>
              <w:rPr>
                <w:b/>
                <w:bCs/>
                <w:sz w:val="24"/>
                <w:szCs w:val="20"/>
              </w:rPr>
            </w:pPr>
            <w:bookmarkStart w:id="150" w:name="_Toc231571701"/>
            <w:bookmarkStart w:id="151" w:name="_Toc233036181"/>
            <w:r>
              <w:rPr>
                <w:rFonts w:hint="eastAsia"/>
                <w:b/>
                <w:bCs/>
                <w:sz w:val="24"/>
                <w:szCs w:val="20"/>
              </w:rPr>
              <w:t>（5）电磁</w:t>
            </w:r>
            <w:r>
              <w:rPr>
                <w:b/>
                <w:bCs/>
                <w:sz w:val="24"/>
                <w:szCs w:val="20"/>
              </w:rPr>
              <w:t>环境的影响</w:t>
            </w:r>
            <w:bookmarkEnd w:id="150"/>
            <w:bookmarkEnd w:id="151"/>
          </w:p>
          <w:p w14:paraId="5CE3D5EF">
            <w:pPr>
              <w:spacing w:line="360" w:lineRule="auto"/>
              <w:ind w:firstLine="480" w:firstLineChars="200"/>
              <w:rPr>
                <w:sz w:val="24"/>
                <w:szCs w:val="24"/>
              </w:rPr>
            </w:pPr>
            <w:r>
              <w:rPr>
                <w:sz w:val="24"/>
                <w:szCs w:val="24"/>
              </w:rPr>
              <w:t>根据现状监测结果，本项目站址区域工频电场、工频磁场满足《电磁环境控制限值》（GB</w:t>
            </w:r>
            <w:r>
              <w:rPr>
                <w:rFonts w:hint="eastAsia"/>
                <w:sz w:val="24"/>
                <w:szCs w:val="24"/>
              </w:rPr>
              <w:t xml:space="preserve"> </w:t>
            </w:r>
            <w:r>
              <w:rPr>
                <w:sz w:val="24"/>
                <w:szCs w:val="24"/>
              </w:rPr>
              <w:t>8702-2014）中工频电场强度公众曝露控制限值4</w:t>
            </w:r>
            <w:r>
              <w:rPr>
                <w:rFonts w:hint="eastAsia"/>
                <w:sz w:val="24"/>
                <w:szCs w:val="24"/>
              </w:rPr>
              <w:t>kV</w:t>
            </w:r>
            <w:r>
              <w:rPr>
                <w:sz w:val="24"/>
                <w:szCs w:val="24"/>
              </w:rPr>
              <w:t>/m和工频磁感应强度公众曝露控制限值100μT的要求。</w:t>
            </w:r>
          </w:p>
          <w:p w14:paraId="35F24981">
            <w:pPr>
              <w:pStyle w:val="212"/>
              <w:ind w:firstLine="480"/>
              <w:rPr>
                <w:lang w:val="en-US"/>
              </w:rPr>
            </w:pPr>
            <w:r>
              <w:rPr>
                <w:rFonts w:hint="eastAsia"/>
              </w:rPr>
              <w:t>根据类比分析，本项目110</w:t>
            </w:r>
            <w:r>
              <w:rPr>
                <w:rFonts w:hint="eastAsia"/>
                <w:lang w:val="en-US"/>
              </w:rPr>
              <w:t>kV</w:t>
            </w:r>
            <w:r>
              <w:rPr>
                <w:rFonts w:hint="eastAsia"/>
              </w:rPr>
              <w:t>升压站建设完成后，运营期产生的工频电场、工频磁感应强度值在围墙外均满足《电磁环境控制限值》（</w:t>
            </w:r>
            <w:r>
              <w:t>GB</w:t>
            </w:r>
            <w:r>
              <w:rPr>
                <w:rFonts w:hint="eastAsia"/>
                <w:lang w:val="en-US"/>
              </w:rPr>
              <w:t xml:space="preserve"> </w:t>
            </w:r>
            <w:r>
              <w:t>8702-2014</w:t>
            </w:r>
            <w:r>
              <w:rPr>
                <w:rFonts w:hint="eastAsia"/>
              </w:rPr>
              <w:t>）标准中工频电场</w:t>
            </w:r>
            <w:r>
              <w:t>4000V/m</w:t>
            </w:r>
            <w:r>
              <w:rPr>
                <w:rFonts w:hint="eastAsia"/>
              </w:rPr>
              <w:t>、工频磁感应强度</w:t>
            </w:r>
            <w:r>
              <w:t>100μT</w:t>
            </w:r>
            <w:r>
              <w:rPr>
                <w:rFonts w:hint="eastAsia"/>
              </w:rPr>
              <w:t>的要求。同时设计的升压站项目满足《电力设施保护条例》和《云南省电力设施保护条例》的要求。因此项目运营期对周边电磁环境影响较小。具体影响分析内容详见电磁辐射专题。</w:t>
            </w:r>
          </w:p>
          <w:p w14:paraId="67C2F299">
            <w:pPr>
              <w:spacing w:line="360" w:lineRule="auto"/>
              <w:ind w:firstLine="482" w:firstLineChars="200"/>
              <w:outlineLvl w:val="2"/>
              <w:rPr>
                <w:rFonts w:hint="eastAsia"/>
                <w:b/>
                <w:bCs/>
                <w:sz w:val="24"/>
                <w:szCs w:val="20"/>
              </w:rPr>
            </w:pPr>
            <w:bookmarkStart w:id="152" w:name="_Toc233036182"/>
            <w:bookmarkStart w:id="153" w:name="_Toc231571702"/>
            <w:r>
              <w:rPr>
                <w:rFonts w:hint="eastAsia"/>
                <w:b/>
                <w:bCs/>
                <w:sz w:val="24"/>
                <w:szCs w:val="20"/>
              </w:rPr>
              <w:t>（6）环境风险分析</w:t>
            </w:r>
            <w:bookmarkEnd w:id="152"/>
            <w:bookmarkEnd w:id="153"/>
          </w:p>
          <w:p w14:paraId="08038E37">
            <w:pPr>
              <w:spacing w:line="360" w:lineRule="auto"/>
              <w:ind w:firstLine="482" w:firstLineChars="200"/>
              <w:outlineLvl w:val="2"/>
              <w:rPr>
                <w:rFonts w:hint="eastAsia"/>
                <w:b/>
                <w:bCs/>
                <w:sz w:val="24"/>
                <w:szCs w:val="20"/>
              </w:rPr>
            </w:pPr>
            <w:bookmarkStart w:id="154" w:name="_Toc231571703"/>
            <w:bookmarkStart w:id="155" w:name="_Toc233036183"/>
            <w:r>
              <w:rPr>
                <w:rFonts w:hint="eastAsia"/>
                <w:b/>
                <w:bCs/>
                <w:sz w:val="24"/>
                <w:szCs w:val="20"/>
              </w:rPr>
              <w:t>1）风险物质</w:t>
            </w:r>
            <w:bookmarkEnd w:id="154"/>
            <w:bookmarkEnd w:id="155"/>
          </w:p>
          <w:p w14:paraId="245C89BE">
            <w:pPr>
              <w:pStyle w:val="28"/>
              <w:widowControl w:val="0"/>
              <w:spacing w:after="0" w:line="360" w:lineRule="auto"/>
              <w:ind w:firstLine="480" w:firstLineChars="200"/>
              <w:rPr>
                <w:rFonts w:hint="eastAsia"/>
                <w:bCs/>
                <w:sz w:val="24"/>
              </w:rPr>
            </w:pPr>
            <w:r>
              <w:rPr>
                <w:rFonts w:hint="eastAsia"/>
                <w:sz w:val="24"/>
              </w:rPr>
              <w:t>本项目涉及的风险物质主要</w:t>
            </w:r>
            <w:r>
              <w:rPr>
                <w:sz w:val="24"/>
              </w:rPr>
              <w:t>为</w:t>
            </w:r>
            <w:r>
              <w:rPr>
                <w:rFonts w:hint="eastAsia"/>
                <w:sz w:val="24"/>
              </w:rPr>
              <w:t>主变压器油、危废贮存间废矿物油、箱式变压器油、废铅蓄电池。</w:t>
            </w:r>
            <w:r>
              <w:rPr>
                <w:rFonts w:hint="eastAsia"/>
                <w:bCs/>
                <w:sz w:val="24"/>
              </w:rPr>
              <w:t>项目涉及的风险物质储存量详见下表。</w:t>
            </w:r>
          </w:p>
          <w:p w14:paraId="3BA4E35E">
            <w:pPr>
              <w:pStyle w:val="219"/>
              <w:spacing w:before="0" w:beforeLines="0"/>
              <w:rPr>
                <w:sz w:val="24"/>
                <w:szCs w:val="24"/>
              </w:rPr>
            </w:pPr>
          </w:p>
          <w:p w14:paraId="5C99A757">
            <w:pPr>
              <w:pStyle w:val="219"/>
              <w:spacing w:before="0" w:beforeLines="0"/>
              <w:rPr>
                <w:sz w:val="24"/>
                <w:szCs w:val="24"/>
              </w:rPr>
            </w:pPr>
            <w:r>
              <w:rPr>
                <w:rFonts w:hint="eastAsia"/>
                <w:sz w:val="24"/>
                <w:szCs w:val="24"/>
              </w:rPr>
              <w:t>表4.2.4-4  项目涉及危险物质储存量一览表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1"/>
              <w:gridCol w:w="1251"/>
              <w:gridCol w:w="3045"/>
              <w:gridCol w:w="2362"/>
            </w:tblGrid>
            <w:tr w14:paraId="3782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47" w:type="pct"/>
                  <w:vAlign w:val="center"/>
                </w:tcPr>
                <w:p w14:paraId="4200AF29">
                  <w:pPr>
                    <w:pStyle w:val="28"/>
                    <w:widowControl w:val="0"/>
                    <w:snapToGrid/>
                    <w:spacing w:before="0" w:after="0" w:line="240" w:lineRule="auto"/>
                    <w:ind w:right="0" w:firstLine="0" w:firstLineChars="0"/>
                    <w:jc w:val="center"/>
                    <w:rPr>
                      <w:b/>
                      <w:bCs/>
                      <w:sz w:val="21"/>
                      <w:szCs w:val="21"/>
                    </w:rPr>
                  </w:pPr>
                  <w:r>
                    <w:rPr>
                      <w:b/>
                      <w:bCs/>
                      <w:sz w:val="21"/>
                      <w:szCs w:val="21"/>
                    </w:rPr>
                    <w:t>名称</w:t>
                  </w:r>
                </w:p>
              </w:tc>
              <w:tc>
                <w:tcPr>
                  <w:tcW w:w="724" w:type="pct"/>
                  <w:vAlign w:val="center"/>
                </w:tcPr>
                <w:p w14:paraId="76E61BDA">
                  <w:pPr>
                    <w:pStyle w:val="28"/>
                    <w:widowControl w:val="0"/>
                    <w:snapToGrid/>
                    <w:spacing w:before="0" w:after="0" w:line="240" w:lineRule="auto"/>
                    <w:ind w:right="0" w:firstLine="0" w:firstLineChars="0"/>
                    <w:jc w:val="center"/>
                    <w:rPr>
                      <w:b/>
                      <w:bCs/>
                      <w:sz w:val="21"/>
                      <w:szCs w:val="21"/>
                    </w:rPr>
                  </w:pPr>
                  <w:r>
                    <w:rPr>
                      <w:b/>
                      <w:bCs/>
                      <w:sz w:val="21"/>
                      <w:szCs w:val="21"/>
                    </w:rPr>
                    <w:t>形态</w:t>
                  </w:r>
                </w:p>
              </w:tc>
              <w:tc>
                <w:tcPr>
                  <w:tcW w:w="1761" w:type="pct"/>
                  <w:vAlign w:val="center"/>
                </w:tcPr>
                <w:p w14:paraId="180D535E">
                  <w:pPr>
                    <w:pStyle w:val="28"/>
                    <w:widowControl w:val="0"/>
                    <w:snapToGrid/>
                    <w:spacing w:before="0" w:after="0" w:line="240" w:lineRule="auto"/>
                    <w:ind w:right="0" w:firstLine="0" w:firstLineChars="0"/>
                    <w:jc w:val="center"/>
                    <w:rPr>
                      <w:b/>
                      <w:bCs/>
                      <w:sz w:val="21"/>
                      <w:szCs w:val="21"/>
                    </w:rPr>
                  </w:pPr>
                  <w:r>
                    <w:rPr>
                      <w:b/>
                      <w:bCs/>
                      <w:sz w:val="21"/>
                      <w:szCs w:val="21"/>
                    </w:rPr>
                    <w:t>最大贮存量</w:t>
                  </w:r>
                </w:p>
              </w:tc>
              <w:tc>
                <w:tcPr>
                  <w:tcW w:w="1366" w:type="pct"/>
                  <w:vAlign w:val="center"/>
                </w:tcPr>
                <w:p w14:paraId="08E8D626">
                  <w:pPr>
                    <w:pStyle w:val="28"/>
                    <w:widowControl w:val="0"/>
                    <w:snapToGrid/>
                    <w:spacing w:before="0" w:after="0" w:line="240" w:lineRule="auto"/>
                    <w:ind w:right="0" w:firstLine="0" w:firstLineChars="0"/>
                    <w:jc w:val="center"/>
                    <w:rPr>
                      <w:b/>
                      <w:bCs/>
                      <w:sz w:val="21"/>
                      <w:szCs w:val="21"/>
                    </w:rPr>
                  </w:pPr>
                  <w:r>
                    <w:rPr>
                      <w:b/>
                      <w:bCs/>
                      <w:sz w:val="21"/>
                      <w:szCs w:val="21"/>
                    </w:rPr>
                    <w:t>贮存位置</w:t>
                  </w:r>
                </w:p>
              </w:tc>
            </w:tr>
            <w:tr w14:paraId="580E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47" w:type="pct"/>
                  <w:vAlign w:val="center"/>
                </w:tcPr>
                <w:p w14:paraId="65104CAA">
                  <w:pPr>
                    <w:pStyle w:val="28"/>
                    <w:widowControl w:val="0"/>
                    <w:snapToGrid/>
                    <w:spacing w:before="0" w:after="0" w:line="240" w:lineRule="auto"/>
                    <w:ind w:right="0" w:firstLine="0" w:firstLineChars="0"/>
                    <w:jc w:val="center"/>
                    <w:rPr>
                      <w:sz w:val="21"/>
                      <w:szCs w:val="21"/>
                    </w:rPr>
                  </w:pPr>
                  <w:r>
                    <w:rPr>
                      <w:rFonts w:hint="eastAsia"/>
                      <w:sz w:val="21"/>
                      <w:szCs w:val="21"/>
                    </w:rPr>
                    <w:t>主变压器油</w:t>
                  </w:r>
                </w:p>
              </w:tc>
              <w:tc>
                <w:tcPr>
                  <w:tcW w:w="724" w:type="pct"/>
                  <w:vAlign w:val="center"/>
                </w:tcPr>
                <w:p w14:paraId="18A92403">
                  <w:pPr>
                    <w:pStyle w:val="28"/>
                    <w:widowControl w:val="0"/>
                    <w:snapToGrid/>
                    <w:spacing w:before="0" w:after="0" w:line="240" w:lineRule="auto"/>
                    <w:ind w:right="0" w:firstLine="0" w:firstLineChars="0"/>
                    <w:jc w:val="center"/>
                    <w:rPr>
                      <w:sz w:val="21"/>
                      <w:szCs w:val="21"/>
                    </w:rPr>
                  </w:pPr>
                  <w:r>
                    <w:rPr>
                      <w:sz w:val="21"/>
                      <w:szCs w:val="21"/>
                    </w:rPr>
                    <w:t>液态</w:t>
                  </w:r>
                </w:p>
              </w:tc>
              <w:tc>
                <w:tcPr>
                  <w:tcW w:w="1761" w:type="pct"/>
                  <w:vAlign w:val="center"/>
                </w:tcPr>
                <w:p w14:paraId="6A34F606">
                  <w:pPr>
                    <w:pStyle w:val="28"/>
                    <w:widowControl w:val="0"/>
                    <w:snapToGrid/>
                    <w:spacing w:before="0" w:after="0" w:line="240" w:lineRule="auto"/>
                    <w:ind w:right="0" w:firstLine="0" w:firstLineChars="0"/>
                    <w:jc w:val="center"/>
                    <w:rPr>
                      <w:sz w:val="21"/>
                      <w:szCs w:val="21"/>
                    </w:rPr>
                  </w:pPr>
                  <w:r>
                    <w:rPr>
                      <w:rFonts w:hint="eastAsia"/>
                      <w:sz w:val="21"/>
                      <w:szCs w:val="21"/>
                    </w:rPr>
                    <w:t>27</w:t>
                  </w:r>
                  <w:r>
                    <w:rPr>
                      <w:sz w:val="21"/>
                      <w:szCs w:val="21"/>
                    </w:rPr>
                    <w:t>t</w:t>
                  </w:r>
                  <w:r>
                    <w:rPr>
                      <w:rFonts w:hint="eastAsia"/>
                      <w:sz w:val="21"/>
                      <w:szCs w:val="21"/>
                    </w:rPr>
                    <w:t>（30</w:t>
                  </w:r>
                  <w:r>
                    <w:rPr>
                      <w:sz w:val="21"/>
                      <w:szCs w:val="21"/>
                    </w:rPr>
                    <w:t>m</w:t>
                  </w:r>
                  <w:r>
                    <w:rPr>
                      <w:sz w:val="21"/>
                      <w:szCs w:val="21"/>
                      <w:vertAlign w:val="superscript"/>
                    </w:rPr>
                    <w:t>3</w:t>
                  </w:r>
                  <w:r>
                    <w:rPr>
                      <w:rFonts w:hint="eastAsia"/>
                      <w:sz w:val="21"/>
                      <w:szCs w:val="21"/>
                    </w:rPr>
                    <w:t>，相对密度</w:t>
                  </w:r>
                  <w:bookmarkStart w:id="156" w:name="OLE_LINK93"/>
                  <w:r>
                    <w:rPr>
                      <w:sz w:val="21"/>
                      <w:szCs w:val="21"/>
                    </w:rPr>
                    <w:t>0.895</w:t>
                  </w:r>
                  <w:bookmarkEnd w:id="156"/>
                  <w:r>
                    <w:rPr>
                      <w:rFonts w:hint="eastAsia"/>
                      <w:sz w:val="21"/>
                      <w:szCs w:val="21"/>
                    </w:rPr>
                    <w:t>）</w:t>
                  </w:r>
                </w:p>
              </w:tc>
              <w:tc>
                <w:tcPr>
                  <w:tcW w:w="1366" w:type="pct"/>
                  <w:vAlign w:val="center"/>
                </w:tcPr>
                <w:p w14:paraId="4663C003">
                  <w:pPr>
                    <w:pStyle w:val="28"/>
                    <w:widowControl w:val="0"/>
                    <w:snapToGrid/>
                    <w:spacing w:before="0" w:after="0" w:line="240" w:lineRule="auto"/>
                    <w:ind w:right="0" w:firstLine="0" w:firstLineChars="0"/>
                    <w:jc w:val="center"/>
                    <w:rPr>
                      <w:sz w:val="21"/>
                      <w:szCs w:val="21"/>
                    </w:rPr>
                  </w:pPr>
                  <w:r>
                    <w:rPr>
                      <w:rFonts w:hint="eastAsia"/>
                      <w:sz w:val="21"/>
                      <w:szCs w:val="21"/>
                    </w:rPr>
                    <w:t>主</w:t>
                  </w:r>
                  <w:r>
                    <w:rPr>
                      <w:sz w:val="21"/>
                      <w:szCs w:val="21"/>
                    </w:rPr>
                    <w:t>变压器内</w:t>
                  </w:r>
                </w:p>
              </w:tc>
            </w:tr>
            <w:tr w14:paraId="35F8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47" w:type="pct"/>
                  <w:vAlign w:val="center"/>
                </w:tcPr>
                <w:p w14:paraId="53CCA392">
                  <w:pPr>
                    <w:pStyle w:val="28"/>
                    <w:widowControl w:val="0"/>
                    <w:snapToGrid/>
                    <w:spacing w:before="0" w:after="0" w:line="240" w:lineRule="auto"/>
                    <w:ind w:right="0" w:firstLine="0" w:firstLineChars="0"/>
                    <w:jc w:val="center"/>
                    <w:rPr>
                      <w:sz w:val="21"/>
                      <w:szCs w:val="21"/>
                    </w:rPr>
                  </w:pPr>
                  <w:r>
                    <w:rPr>
                      <w:sz w:val="21"/>
                      <w:szCs w:val="21"/>
                    </w:rPr>
                    <w:t>废</w:t>
                  </w:r>
                  <w:r>
                    <w:rPr>
                      <w:rFonts w:hint="eastAsia"/>
                      <w:sz w:val="21"/>
                      <w:szCs w:val="21"/>
                    </w:rPr>
                    <w:t>矿物</w:t>
                  </w:r>
                  <w:r>
                    <w:rPr>
                      <w:sz w:val="21"/>
                      <w:szCs w:val="21"/>
                    </w:rPr>
                    <w:t>油</w:t>
                  </w:r>
                </w:p>
              </w:tc>
              <w:tc>
                <w:tcPr>
                  <w:tcW w:w="724" w:type="pct"/>
                  <w:vAlign w:val="center"/>
                </w:tcPr>
                <w:p w14:paraId="3F1A60E9">
                  <w:pPr>
                    <w:pStyle w:val="28"/>
                    <w:widowControl w:val="0"/>
                    <w:snapToGrid/>
                    <w:spacing w:before="0" w:after="0" w:line="240" w:lineRule="auto"/>
                    <w:ind w:right="0" w:firstLine="0" w:firstLineChars="0"/>
                    <w:jc w:val="center"/>
                    <w:rPr>
                      <w:sz w:val="21"/>
                      <w:szCs w:val="21"/>
                    </w:rPr>
                  </w:pPr>
                  <w:r>
                    <w:rPr>
                      <w:sz w:val="21"/>
                      <w:szCs w:val="21"/>
                    </w:rPr>
                    <w:t>液态</w:t>
                  </w:r>
                </w:p>
              </w:tc>
              <w:tc>
                <w:tcPr>
                  <w:tcW w:w="1761" w:type="pct"/>
                  <w:vAlign w:val="center"/>
                </w:tcPr>
                <w:p w14:paraId="7E5056B2">
                  <w:pPr>
                    <w:pStyle w:val="28"/>
                    <w:widowControl w:val="0"/>
                    <w:snapToGrid/>
                    <w:spacing w:before="0" w:after="0" w:line="240" w:lineRule="auto"/>
                    <w:ind w:right="0" w:firstLine="0" w:firstLineChars="0"/>
                    <w:jc w:val="center"/>
                    <w:rPr>
                      <w:sz w:val="21"/>
                      <w:szCs w:val="21"/>
                    </w:rPr>
                  </w:pPr>
                  <w:r>
                    <w:rPr>
                      <w:sz w:val="21"/>
                      <w:szCs w:val="21"/>
                    </w:rPr>
                    <w:t>0.</w:t>
                  </w:r>
                  <w:r>
                    <w:rPr>
                      <w:rFonts w:hint="eastAsia"/>
                      <w:sz w:val="21"/>
                      <w:szCs w:val="21"/>
                    </w:rPr>
                    <w:t>05</w:t>
                  </w:r>
                  <w:r>
                    <w:rPr>
                      <w:sz w:val="21"/>
                      <w:szCs w:val="21"/>
                    </w:rPr>
                    <w:t>t（桶装）</w:t>
                  </w:r>
                </w:p>
              </w:tc>
              <w:tc>
                <w:tcPr>
                  <w:tcW w:w="1366" w:type="pct"/>
                  <w:vAlign w:val="center"/>
                </w:tcPr>
                <w:p w14:paraId="7E49698B">
                  <w:pPr>
                    <w:pStyle w:val="28"/>
                    <w:widowControl w:val="0"/>
                    <w:snapToGrid/>
                    <w:spacing w:before="0" w:after="0" w:line="240" w:lineRule="auto"/>
                    <w:ind w:right="0" w:firstLine="0" w:firstLineChars="0"/>
                    <w:jc w:val="center"/>
                    <w:rPr>
                      <w:sz w:val="21"/>
                      <w:szCs w:val="21"/>
                    </w:rPr>
                  </w:pPr>
                  <w:r>
                    <w:rPr>
                      <w:sz w:val="21"/>
                      <w:szCs w:val="21"/>
                    </w:rPr>
                    <w:t>危废贮存间</w:t>
                  </w:r>
                </w:p>
              </w:tc>
            </w:tr>
            <w:tr w14:paraId="48DC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47" w:type="pct"/>
                  <w:vAlign w:val="center"/>
                </w:tcPr>
                <w:p w14:paraId="37EDFA5D">
                  <w:pPr>
                    <w:pStyle w:val="28"/>
                    <w:widowControl w:val="0"/>
                    <w:snapToGrid/>
                    <w:spacing w:before="0" w:after="0" w:line="240" w:lineRule="auto"/>
                    <w:ind w:right="0" w:firstLine="0" w:firstLineChars="0"/>
                    <w:jc w:val="center"/>
                    <w:rPr>
                      <w:sz w:val="21"/>
                      <w:szCs w:val="21"/>
                    </w:rPr>
                  </w:pPr>
                  <w:r>
                    <w:rPr>
                      <w:rFonts w:hint="eastAsia"/>
                      <w:sz w:val="21"/>
                      <w:szCs w:val="21"/>
                    </w:rPr>
                    <w:t>箱变压器油</w:t>
                  </w:r>
                </w:p>
              </w:tc>
              <w:tc>
                <w:tcPr>
                  <w:tcW w:w="724" w:type="pct"/>
                  <w:vAlign w:val="center"/>
                </w:tcPr>
                <w:p w14:paraId="2D033308">
                  <w:pPr>
                    <w:pStyle w:val="28"/>
                    <w:widowControl w:val="0"/>
                    <w:snapToGrid/>
                    <w:spacing w:before="0" w:after="0" w:line="240" w:lineRule="auto"/>
                    <w:ind w:right="0" w:firstLine="0" w:firstLineChars="0"/>
                    <w:jc w:val="center"/>
                    <w:rPr>
                      <w:sz w:val="21"/>
                      <w:szCs w:val="21"/>
                    </w:rPr>
                  </w:pPr>
                  <w:r>
                    <w:rPr>
                      <w:rFonts w:hint="eastAsia"/>
                      <w:sz w:val="21"/>
                      <w:szCs w:val="21"/>
                    </w:rPr>
                    <w:t>液态</w:t>
                  </w:r>
                </w:p>
              </w:tc>
              <w:tc>
                <w:tcPr>
                  <w:tcW w:w="1761" w:type="pct"/>
                  <w:vAlign w:val="center"/>
                </w:tcPr>
                <w:p w14:paraId="6746C3E4">
                  <w:pPr>
                    <w:pStyle w:val="28"/>
                    <w:widowControl w:val="0"/>
                    <w:snapToGrid/>
                    <w:spacing w:before="0" w:after="0" w:line="240" w:lineRule="auto"/>
                    <w:ind w:right="0" w:firstLine="0" w:firstLineChars="0"/>
                    <w:jc w:val="center"/>
                    <w:rPr>
                      <w:rFonts w:hint="eastAsia"/>
                      <w:sz w:val="21"/>
                      <w:szCs w:val="21"/>
                      <w:highlight w:val="yellow"/>
                    </w:rPr>
                  </w:pPr>
                  <w:r>
                    <w:rPr>
                      <w:rFonts w:hint="eastAsia"/>
                      <w:sz w:val="21"/>
                      <w:szCs w:val="21"/>
                    </w:rPr>
                    <w:t>合计</w:t>
                  </w:r>
                  <w:r>
                    <w:rPr>
                      <w:sz w:val="21"/>
                      <w:szCs w:val="21"/>
                    </w:rPr>
                    <w:t>26.5</w:t>
                  </w:r>
                  <w:r>
                    <w:rPr>
                      <w:rFonts w:hint="eastAsia"/>
                      <w:sz w:val="21"/>
                      <w:szCs w:val="21"/>
                    </w:rPr>
                    <w:t>t，其中1.9t</w:t>
                  </w:r>
                  <w:r>
                    <w:rPr>
                      <w:sz w:val="21"/>
                      <w:szCs w:val="21"/>
                    </w:rPr>
                    <w:t>×2</w:t>
                  </w:r>
                  <w:r>
                    <w:rPr>
                      <w:rFonts w:hint="eastAsia"/>
                      <w:sz w:val="21"/>
                      <w:szCs w:val="21"/>
                    </w:rPr>
                    <w:t>台（3.84MW），</w:t>
                  </w:r>
                  <w:bookmarkStart w:id="157" w:name="OLE_LINK59"/>
                  <w:r>
                    <w:rPr>
                      <w:sz w:val="21"/>
                      <w:szCs w:val="21"/>
                    </w:rPr>
                    <w:t>1.7</w:t>
                  </w:r>
                  <w:r>
                    <w:rPr>
                      <w:rFonts w:hint="eastAsia"/>
                      <w:sz w:val="21"/>
                      <w:szCs w:val="21"/>
                    </w:rPr>
                    <w:t>t</w:t>
                  </w:r>
                  <w:r>
                    <w:rPr>
                      <w:sz w:val="21"/>
                      <w:szCs w:val="21"/>
                    </w:rPr>
                    <w:t>×</w:t>
                  </w:r>
                  <w:r>
                    <w:rPr>
                      <w:rFonts w:hint="eastAsia"/>
                      <w:sz w:val="21"/>
                      <w:szCs w:val="21"/>
                    </w:rPr>
                    <w:t>2台（3</w:t>
                  </w:r>
                  <w:r>
                    <w:rPr>
                      <w:sz w:val="21"/>
                      <w:szCs w:val="21"/>
                    </w:rPr>
                    <w:t>.52MW</w:t>
                  </w:r>
                  <w:r>
                    <w:rPr>
                      <w:rFonts w:hint="eastAsia"/>
                      <w:sz w:val="21"/>
                      <w:szCs w:val="21"/>
                    </w:rPr>
                    <w:t>）</w:t>
                  </w:r>
                  <w:bookmarkEnd w:id="157"/>
                  <w:r>
                    <w:rPr>
                      <w:rFonts w:hint="eastAsia"/>
                      <w:sz w:val="21"/>
                      <w:szCs w:val="21"/>
                    </w:rPr>
                    <w:t>，</w:t>
                  </w:r>
                  <w:r>
                    <w:rPr>
                      <w:sz w:val="21"/>
                      <w:szCs w:val="21"/>
                    </w:rPr>
                    <w:t>1.6</w:t>
                  </w:r>
                  <w:r>
                    <w:rPr>
                      <w:rFonts w:hint="eastAsia"/>
                      <w:sz w:val="21"/>
                      <w:szCs w:val="21"/>
                    </w:rPr>
                    <w:t>t</w:t>
                  </w:r>
                  <w:r>
                    <w:rPr>
                      <w:sz w:val="21"/>
                      <w:szCs w:val="21"/>
                    </w:rPr>
                    <w:t>×3</w:t>
                  </w:r>
                  <w:r>
                    <w:rPr>
                      <w:rFonts w:hint="eastAsia"/>
                      <w:sz w:val="21"/>
                      <w:szCs w:val="21"/>
                    </w:rPr>
                    <w:t>台（3</w:t>
                  </w:r>
                  <w:r>
                    <w:rPr>
                      <w:sz w:val="21"/>
                      <w:szCs w:val="21"/>
                    </w:rPr>
                    <w:t>.20MW</w:t>
                  </w:r>
                  <w:r>
                    <w:rPr>
                      <w:rFonts w:hint="eastAsia"/>
                      <w:sz w:val="21"/>
                      <w:szCs w:val="21"/>
                    </w:rPr>
                    <w:t>），</w:t>
                  </w:r>
                  <w:r>
                    <w:rPr>
                      <w:sz w:val="21"/>
                      <w:szCs w:val="21"/>
                    </w:rPr>
                    <w:t>1.2</w:t>
                  </w:r>
                  <w:r>
                    <w:rPr>
                      <w:rFonts w:hint="eastAsia"/>
                      <w:sz w:val="21"/>
                      <w:szCs w:val="21"/>
                    </w:rPr>
                    <w:t>t</w:t>
                  </w:r>
                  <w:r>
                    <w:rPr>
                      <w:sz w:val="21"/>
                      <w:szCs w:val="21"/>
                    </w:rPr>
                    <w:t>×4</w:t>
                  </w:r>
                  <w:r>
                    <w:rPr>
                      <w:rFonts w:hint="eastAsia"/>
                      <w:sz w:val="21"/>
                      <w:szCs w:val="21"/>
                    </w:rPr>
                    <w:t>台（</w:t>
                  </w:r>
                  <w:r>
                    <w:rPr>
                      <w:sz w:val="21"/>
                      <w:szCs w:val="21"/>
                    </w:rPr>
                    <w:t>2.56MW</w:t>
                  </w:r>
                  <w:r>
                    <w:rPr>
                      <w:rFonts w:hint="eastAsia"/>
                      <w:sz w:val="21"/>
                      <w:szCs w:val="21"/>
                    </w:rPr>
                    <w:t>），</w:t>
                  </w:r>
                  <w:r>
                    <w:rPr>
                      <w:sz w:val="21"/>
                      <w:szCs w:val="21"/>
                    </w:rPr>
                    <w:t>1.1</w:t>
                  </w:r>
                  <w:r>
                    <w:rPr>
                      <w:rFonts w:hint="eastAsia"/>
                      <w:sz w:val="21"/>
                      <w:szCs w:val="21"/>
                    </w:rPr>
                    <w:t>t</w:t>
                  </w:r>
                  <w:r>
                    <w:rPr>
                      <w:sz w:val="21"/>
                      <w:szCs w:val="21"/>
                    </w:rPr>
                    <w:t>×2</w:t>
                  </w:r>
                  <w:r>
                    <w:rPr>
                      <w:rFonts w:hint="eastAsia"/>
                      <w:sz w:val="21"/>
                      <w:szCs w:val="21"/>
                    </w:rPr>
                    <w:t>台（</w:t>
                  </w:r>
                  <w:r>
                    <w:rPr>
                      <w:sz w:val="21"/>
                      <w:szCs w:val="21"/>
                    </w:rPr>
                    <w:t>2.24MW</w:t>
                  </w:r>
                  <w:r>
                    <w:rPr>
                      <w:rFonts w:hint="eastAsia"/>
                      <w:sz w:val="21"/>
                      <w:szCs w:val="21"/>
                    </w:rPr>
                    <w:t>），</w:t>
                  </w:r>
                  <w:r>
                    <w:rPr>
                      <w:sz w:val="21"/>
                      <w:szCs w:val="21"/>
                    </w:rPr>
                    <w:t>1.0</w:t>
                  </w:r>
                  <w:r>
                    <w:rPr>
                      <w:rFonts w:hint="eastAsia"/>
                      <w:sz w:val="21"/>
                      <w:szCs w:val="21"/>
                    </w:rPr>
                    <w:t>t</w:t>
                  </w:r>
                  <w:r>
                    <w:rPr>
                      <w:sz w:val="21"/>
                      <w:szCs w:val="21"/>
                    </w:rPr>
                    <w:t>×</w:t>
                  </w:r>
                  <w:r>
                    <w:rPr>
                      <w:rFonts w:hint="eastAsia"/>
                      <w:sz w:val="21"/>
                      <w:szCs w:val="21"/>
                    </w:rPr>
                    <w:t>1台（</w:t>
                  </w:r>
                  <w:r>
                    <w:rPr>
                      <w:sz w:val="21"/>
                      <w:szCs w:val="21"/>
                    </w:rPr>
                    <w:t>1.92MW</w:t>
                  </w:r>
                  <w:r>
                    <w:rPr>
                      <w:rFonts w:hint="eastAsia"/>
                      <w:sz w:val="21"/>
                      <w:szCs w:val="21"/>
                    </w:rPr>
                    <w:t>），</w:t>
                  </w:r>
                  <w:r>
                    <w:rPr>
                      <w:sz w:val="21"/>
                      <w:szCs w:val="21"/>
                    </w:rPr>
                    <w:t>0.9</w:t>
                  </w:r>
                  <w:r>
                    <w:rPr>
                      <w:rFonts w:hint="eastAsia"/>
                      <w:sz w:val="21"/>
                      <w:szCs w:val="21"/>
                    </w:rPr>
                    <w:t>t</w:t>
                  </w:r>
                  <w:r>
                    <w:rPr>
                      <w:sz w:val="21"/>
                      <w:szCs w:val="21"/>
                    </w:rPr>
                    <w:t>×</w:t>
                  </w:r>
                  <w:r>
                    <w:rPr>
                      <w:rFonts w:hint="eastAsia"/>
                      <w:sz w:val="21"/>
                      <w:szCs w:val="21"/>
                    </w:rPr>
                    <w:t>3台（1</w:t>
                  </w:r>
                  <w:r>
                    <w:rPr>
                      <w:sz w:val="21"/>
                      <w:szCs w:val="21"/>
                    </w:rPr>
                    <w:t>.60MW</w:t>
                  </w:r>
                  <w:r>
                    <w:rPr>
                      <w:rFonts w:hint="eastAsia"/>
                      <w:sz w:val="21"/>
                      <w:szCs w:val="21"/>
                    </w:rPr>
                    <w:t>），</w:t>
                  </w:r>
                  <w:r>
                    <w:rPr>
                      <w:sz w:val="21"/>
                      <w:szCs w:val="21"/>
                    </w:rPr>
                    <w:t>0.8</w:t>
                  </w:r>
                  <w:r>
                    <w:rPr>
                      <w:rFonts w:hint="eastAsia"/>
                      <w:sz w:val="21"/>
                      <w:szCs w:val="21"/>
                    </w:rPr>
                    <w:t>t</w:t>
                  </w:r>
                  <w:r>
                    <w:rPr>
                      <w:sz w:val="21"/>
                      <w:szCs w:val="21"/>
                    </w:rPr>
                    <w:t>×2</w:t>
                  </w:r>
                  <w:r>
                    <w:rPr>
                      <w:rFonts w:hint="eastAsia"/>
                      <w:sz w:val="21"/>
                      <w:szCs w:val="21"/>
                    </w:rPr>
                    <w:t>台（</w:t>
                  </w:r>
                  <w:r>
                    <w:rPr>
                      <w:sz w:val="21"/>
                      <w:szCs w:val="21"/>
                    </w:rPr>
                    <w:t>1.28MW</w:t>
                  </w:r>
                  <w:r>
                    <w:rPr>
                      <w:rFonts w:hint="eastAsia"/>
                      <w:sz w:val="21"/>
                      <w:szCs w:val="21"/>
                    </w:rPr>
                    <w:t>），</w:t>
                  </w:r>
                  <w:r>
                    <w:rPr>
                      <w:sz w:val="21"/>
                      <w:szCs w:val="21"/>
                    </w:rPr>
                    <w:t>0.6</w:t>
                  </w:r>
                  <w:r>
                    <w:rPr>
                      <w:rFonts w:hint="eastAsia"/>
                      <w:sz w:val="21"/>
                      <w:szCs w:val="21"/>
                    </w:rPr>
                    <w:t>t</w:t>
                  </w:r>
                  <w:r>
                    <w:rPr>
                      <w:sz w:val="21"/>
                      <w:szCs w:val="21"/>
                    </w:rPr>
                    <w:t>×2</w:t>
                  </w:r>
                  <w:r>
                    <w:rPr>
                      <w:rFonts w:hint="eastAsia"/>
                      <w:sz w:val="21"/>
                      <w:szCs w:val="21"/>
                    </w:rPr>
                    <w:t>台（</w:t>
                  </w:r>
                  <w:r>
                    <w:rPr>
                      <w:sz w:val="21"/>
                      <w:szCs w:val="21"/>
                    </w:rPr>
                    <w:t>0.96MW</w:t>
                  </w:r>
                  <w:r>
                    <w:rPr>
                      <w:rFonts w:hint="eastAsia"/>
                      <w:sz w:val="21"/>
                      <w:szCs w:val="21"/>
                    </w:rPr>
                    <w:t>）</w:t>
                  </w:r>
                </w:p>
              </w:tc>
              <w:tc>
                <w:tcPr>
                  <w:tcW w:w="1366" w:type="pct"/>
                  <w:vAlign w:val="center"/>
                </w:tcPr>
                <w:p w14:paraId="0085BBC6">
                  <w:pPr>
                    <w:pStyle w:val="28"/>
                    <w:widowControl w:val="0"/>
                    <w:snapToGrid/>
                    <w:spacing w:before="0" w:after="0" w:line="240" w:lineRule="auto"/>
                    <w:ind w:right="0" w:firstLine="0" w:firstLineChars="0"/>
                    <w:jc w:val="center"/>
                    <w:rPr>
                      <w:sz w:val="21"/>
                      <w:szCs w:val="21"/>
                    </w:rPr>
                  </w:pPr>
                  <w:r>
                    <w:rPr>
                      <w:rFonts w:hint="eastAsia"/>
                      <w:sz w:val="21"/>
                      <w:szCs w:val="21"/>
                    </w:rPr>
                    <w:t>箱变压器</w:t>
                  </w:r>
                </w:p>
              </w:tc>
            </w:tr>
            <w:tr w14:paraId="48CB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47" w:type="pct"/>
                  <w:vAlign w:val="center"/>
                </w:tcPr>
                <w:p w14:paraId="3D294A58">
                  <w:pPr>
                    <w:pStyle w:val="28"/>
                    <w:widowControl w:val="0"/>
                    <w:snapToGrid/>
                    <w:spacing w:before="0" w:after="0" w:line="240" w:lineRule="auto"/>
                    <w:ind w:right="0" w:firstLine="0" w:firstLineChars="0"/>
                    <w:jc w:val="center"/>
                    <w:rPr>
                      <w:sz w:val="21"/>
                      <w:szCs w:val="21"/>
                    </w:rPr>
                  </w:pPr>
                  <w:r>
                    <w:rPr>
                      <w:rFonts w:hint="eastAsia"/>
                      <w:sz w:val="21"/>
                      <w:szCs w:val="21"/>
                    </w:rPr>
                    <w:t>废铅蓄电池</w:t>
                  </w:r>
                </w:p>
              </w:tc>
              <w:tc>
                <w:tcPr>
                  <w:tcW w:w="724" w:type="pct"/>
                  <w:vAlign w:val="center"/>
                </w:tcPr>
                <w:p w14:paraId="1BE9D42A">
                  <w:pPr>
                    <w:pStyle w:val="28"/>
                    <w:widowControl w:val="0"/>
                    <w:snapToGrid/>
                    <w:spacing w:before="0" w:after="0" w:line="240" w:lineRule="auto"/>
                    <w:ind w:right="0" w:firstLine="0" w:firstLineChars="0"/>
                    <w:jc w:val="center"/>
                    <w:rPr>
                      <w:sz w:val="21"/>
                      <w:szCs w:val="21"/>
                    </w:rPr>
                  </w:pPr>
                  <w:r>
                    <w:rPr>
                      <w:rFonts w:hint="eastAsia"/>
                      <w:sz w:val="21"/>
                      <w:szCs w:val="21"/>
                    </w:rPr>
                    <w:t>固态</w:t>
                  </w:r>
                </w:p>
              </w:tc>
              <w:tc>
                <w:tcPr>
                  <w:tcW w:w="1761" w:type="pct"/>
                  <w:vAlign w:val="center"/>
                </w:tcPr>
                <w:p w14:paraId="32E64BCD">
                  <w:pPr>
                    <w:pStyle w:val="28"/>
                    <w:widowControl w:val="0"/>
                    <w:snapToGrid/>
                    <w:spacing w:before="0" w:after="0" w:line="240" w:lineRule="auto"/>
                    <w:ind w:right="0" w:firstLine="0" w:firstLineChars="0"/>
                    <w:jc w:val="center"/>
                    <w:rPr>
                      <w:sz w:val="21"/>
                      <w:szCs w:val="21"/>
                    </w:rPr>
                  </w:pPr>
                  <w:r>
                    <w:rPr>
                      <w:rFonts w:hint="eastAsia"/>
                      <w:sz w:val="21"/>
                      <w:szCs w:val="21"/>
                    </w:rPr>
                    <w:t>2t</w:t>
                  </w:r>
                </w:p>
              </w:tc>
              <w:tc>
                <w:tcPr>
                  <w:tcW w:w="1366" w:type="pct"/>
                  <w:vAlign w:val="center"/>
                </w:tcPr>
                <w:p w14:paraId="77508419">
                  <w:pPr>
                    <w:pStyle w:val="28"/>
                    <w:widowControl w:val="0"/>
                    <w:snapToGrid/>
                    <w:spacing w:before="0" w:after="0" w:line="240" w:lineRule="auto"/>
                    <w:ind w:right="0" w:firstLine="0" w:firstLineChars="0"/>
                    <w:jc w:val="center"/>
                    <w:rPr>
                      <w:sz w:val="21"/>
                      <w:szCs w:val="21"/>
                    </w:rPr>
                  </w:pPr>
                  <w:r>
                    <w:rPr>
                      <w:rFonts w:hint="eastAsia"/>
                      <w:sz w:val="21"/>
                      <w:szCs w:val="21"/>
                    </w:rPr>
                    <w:t>危废贮存间</w:t>
                  </w:r>
                </w:p>
              </w:tc>
            </w:tr>
          </w:tbl>
          <w:p w14:paraId="4B6AC96A">
            <w:pPr>
              <w:pStyle w:val="28"/>
              <w:widowControl w:val="0"/>
              <w:spacing w:after="0" w:line="360" w:lineRule="auto"/>
              <w:ind w:firstLine="482" w:firstLineChars="200"/>
              <w:rPr>
                <w:b/>
                <w:bCs/>
                <w:sz w:val="24"/>
              </w:rPr>
            </w:pPr>
            <w:r>
              <w:rPr>
                <w:rFonts w:hint="eastAsia"/>
                <w:b/>
                <w:bCs/>
                <w:sz w:val="24"/>
              </w:rPr>
              <w:t>2）风险潜势初判及评价等级</w:t>
            </w:r>
          </w:p>
          <w:p w14:paraId="757F85F3">
            <w:pPr>
              <w:pStyle w:val="28"/>
              <w:widowControl w:val="0"/>
              <w:adjustRightInd w:val="0"/>
              <w:spacing w:after="0" w:line="360" w:lineRule="auto"/>
              <w:ind w:firstLine="480" w:firstLineChars="200"/>
              <w:rPr>
                <w:sz w:val="24"/>
              </w:rPr>
            </w:pPr>
            <w:r>
              <w:rPr>
                <w:sz w:val="24"/>
              </w:rPr>
              <w:t>根据《建设项目环境风险评价技术导则》（HJ</w:t>
            </w:r>
            <w:r>
              <w:rPr>
                <w:rFonts w:hint="eastAsia"/>
                <w:sz w:val="24"/>
              </w:rPr>
              <w:t xml:space="preserve"> </w:t>
            </w:r>
            <w:r>
              <w:rPr>
                <w:sz w:val="24"/>
              </w:rPr>
              <w:t>169</w:t>
            </w:r>
            <w:r>
              <w:rPr>
                <w:rFonts w:hint="eastAsia"/>
                <w:sz w:val="24"/>
              </w:rPr>
              <w:t>-</w:t>
            </w:r>
            <w:r>
              <w:rPr>
                <w:sz w:val="24"/>
              </w:rPr>
              <w:t>2018），环境风险评价工作等级见</w:t>
            </w:r>
            <w:r>
              <w:rPr>
                <w:rFonts w:hint="eastAsia"/>
                <w:sz w:val="24"/>
              </w:rPr>
              <w:t>下表</w:t>
            </w:r>
            <w:r>
              <w:rPr>
                <w:sz w:val="24"/>
              </w:rPr>
              <w:t>。</w:t>
            </w:r>
          </w:p>
          <w:p w14:paraId="516C1297">
            <w:pPr>
              <w:pStyle w:val="219"/>
              <w:spacing w:before="120"/>
              <w:rPr>
                <w:sz w:val="24"/>
                <w:szCs w:val="24"/>
              </w:rPr>
            </w:pPr>
            <w:r>
              <w:rPr>
                <w:sz w:val="24"/>
                <w:szCs w:val="24"/>
              </w:rPr>
              <w:t>表</w:t>
            </w:r>
            <w:r>
              <w:rPr>
                <w:rFonts w:hint="eastAsia"/>
                <w:sz w:val="24"/>
                <w:szCs w:val="24"/>
              </w:rPr>
              <w:t xml:space="preserve">4.2.4-5  </w:t>
            </w:r>
            <w:r>
              <w:rPr>
                <w:sz w:val="24"/>
                <w:szCs w:val="24"/>
              </w:rPr>
              <w:t>评价工作等级划分</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3"/>
              <w:gridCol w:w="1951"/>
              <w:gridCol w:w="1147"/>
              <w:gridCol w:w="1137"/>
              <w:gridCol w:w="1901"/>
            </w:tblGrid>
            <w:tr w14:paraId="638E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49" w:type="pct"/>
                  <w:vAlign w:val="center"/>
                </w:tcPr>
                <w:p w14:paraId="59A0DD82">
                  <w:pPr>
                    <w:pStyle w:val="28"/>
                    <w:widowControl w:val="0"/>
                    <w:adjustRightInd w:val="0"/>
                    <w:spacing w:before="0" w:after="0" w:line="240" w:lineRule="auto"/>
                    <w:ind w:firstLine="0" w:firstLineChars="0"/>
                    <w:jc w:val="center"/>
                    <w:rPr>
                      <w:b/>
                      <w:bCs/>
                      <w:sz w:val="21"/>
                      <w:szCs w:val="21"/>
                    </w:rPr>
                  </w:pPr>
                  <w:r>
                    <w:rPr>
                      <w:b/>
                      <w:bCs/>
                      <w:sz w:val="21"/>
                      <w:szCs w:val="21"/>
                    </w:rPr>
                    <w:t>环境风险潜势</w:t>
                  </w:r>
                </w:p>
              </w:tc>
              <w:tc>
                <w:tcPr>
                  <w:tcW w:w="1129" w:type="pct"/>
                  <w:vAlign w:val="center"/>
                </w:tcPr>
                <w:p w14:paraId="04DD3A01">
                  <w:pPr>
                    <w:pStyle w:val="28"/>
                    <w:widowControl w:val="0"/>
                    <w:adjustRightInd w:val="0"/>
                    <w:spacing w:before="0" w:after="0" w:line="240" w:lineRule="auto"/>
                    <w:ind w:firstLine="0" w:firstLineChars="0"/>
                    <w:jc w:val="center"/>
                    <w:rPr>
                      <w:b/>
                      <w:bCs/>
                      <w:sz w:val="21"/>
                      <w:szCs w:val="21"/>
                    </w:rPr>
                  </w:pPr>
                  <w:r>
                    <w:rPr>
                      <w:b/>
                      <w:bCs/>
                      <w:sz w:val="21"/>
                      <w:szCs w:val="21"/>
                    </w:rPr>
                    <w:t>Ⅳ、Ⅳ</w:t>
                  </w:r>
                  <w:r>
                    <w:rPr>
                      <w:b/>
                      <w:bCs/>
                      <w:sz w:val="21"/>
                      <w:szCs w:val="21"/>
                      <w:vertAlign w:val="superscript"/>
                    </w:rPr>
                    <w:t>+</w:t>
                  </w:r>
                </w:p>
              </w:tc>
              <w:tc>
                <w:tcPr>
                  <w:tcW w:w="664" w:type="pct"/>
                  <w:vAlign w:val="center"/>
                </w:tcPr>
                <w:p w14:paraId="222CE410">
                  <w:pPr>
                    <w:pStyle w:val="28"/>
                    <w:widowControl w:val="0"/>
                    <w:adjustRightInd w:val="0"/>
                    <w:spacing w:before="0" w:after="0" w:line="240" w:lineRule="auto"/>
                    <w:ind w:firstLine="0" w:firstLineChars="0"/>
                    <w:jc w:val="center"/>
                    <w:rPr>
                      <w:b/>
                      <w:bCs/>
                      <w:sz w:val="21"/>
                      <w:szCs w:val="21"/>
                    </w:rPr>
                  </w:pPr>
                  <w:r>
                    <w:rPr>
                      <w:b/>
                      <w:bCs/>
                      <w:sz w:val="21"/>
                      <w:szCs w:val="21"/>
                    </w:rPr>
                    <w:t>Ⅲ</w:t>
                  </w:r>
                </w:p>
              </w:tc>
              <w:tc>
                <w:tcPr>
                  <w:tcW w:w="658" w:type="pct"/>
                  <w:vAlign w:val="center"/>
                </w:tcPr>
                <w:p w14:paraId="723C5B5A">
                  <w:pPr>
                    <w:pStyle w:val="28"/>
                    <w:widowControl w:val="0"/>
                    <w:adjustRightInd w:val="0"/>
                    <w:spacing w:before="0" w:after="0" w:line="240" w:lineRule="auto"/>
                    <w:ind w:firstLine="0" w:firstLineChars="0"/>
                    <w:jc w:val="center"/>
                    <w:rPr>
                      <w:b/>
                      <w:bCs/>
                      <w:sz w:val="21"/>
                      <w:szCs w:val="21"/>
                    </w:rPr>
                  </w:pPr>
                  <w:r>
                    <w:rPr>
                      <w:b/>
                      <w:bCs/>
                      <w:sz w:val="21"/>
                      <w:szCs w:val="21"/>
                    </w:rPr>
                    <w:t>Ⅱ</w:t>
                  </w:r>
                </w:p>
              </w:tc>
              <w:tc>
                <w:tcPr>
                  <w:tcW w:w="1100" w:type="pct"/>
                  <w:vAlign w:val="center"/>
                </w:tcPr>
                <w:p w14:paraId="54218F17">
                  <w:pPr>
                    <w:pStyle w:val="28"/>
                    <w:widowControl w:val="0"/>
                    <w:adjustRightInd w:val="0"/>
                    <w:spacing w:before="0" w:after="0" w:line="240" w:lineRule="auto"/>
                    <w:ind w:firstLine="0" w:firstLineChars="0"/>
                    <w:jc w:val="center"/>
                    <w:rPr>
                      <w:b/>
                      <w:bCs/>
                      <w:sz w:val="21"/>
                      <w:szCs w:val="21"/>
                    </w:rPr>
                  </w:pPr>
                  <w:r>
                    <w:rPr>
                      <w:b/>
                      <w:bCs/>
                      <w:sz w:val="21"/>
                      <w:szCs w:val="21"/>
                    </w:rPr>
                    <w:t>Ⅰ</w:t>
                  </w:r>
                </w:p>
              </w:tc>
            </w:tr>
            <w:tr w14:paraId="2D4D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49" w:type="pct"/>
                  <w:vAlign w:val="center"/>
                </w:tcPr>
                <w:p w14:paraId="56A1594D">
                  <w:pPr>
                    <w:pStyle w:val="28"/>
                    <w:widowControl w:val="0"/>
                    <w:adjustRightInd w:val="0"/>
                    <w:spacing w:before="0" w:after="0" w:line="240" w:lineRule="auto"/>
                    <w:ind w:firstLine="0" w:firstLineChars="0"/>
                    <w:jc w:val="center"/>
                    <w:rPr>
                      <w:sz w:val="21"/>
                      <w:szCs w:val="21"/>
                    </w:rPr>
                  </w:pPr>
                  <w:r>
                    <w:rPr>
                      <w:sz w:val="21"/>
                      <w:szCs w:val="21"/>
                    </w:rPr>
                    <w:t>评价工作等级</w:t>
                  </w:r>
                </w:p>
              </w:tc>
              <w:tc>
                <w:tcPr>
                  <w:tcW w:w="1129" w:type="pct"/>
                  <w:vAlign w:val="center"/>
                </w:tcPr>
                <w:p w14:paraId="53305DFB">
                  <w:pPr>
                    <w:pStyle w:val="28"/>
                    <w:widowControl w:val="0"/>
                    <w:adjustRightInd w:val="0"/>
                    <w:spacing w:before="0" w:after="0" w:line="240" w:lineRule="auto"/>
                    <w:ind w:firstLine="0" w:firstLineChars="0"/>
                    <w:jc w:val="center"/>
                    <w:rPr>
                      <w:sz w:val="21"/>
                      <w:szCs w:val="21"/>
                    </w:rPr>
                  </w:pPr>
                  <w:r>
                    <w:rPr>
                      <w:sz w:val="21"/>
                      <w:szCs w:val="21"/>
                    </w:rPr>
                    <w:t>一</w:t>
                  </w:r>
                </w:p>
              </w:tc>
              <w:tc>
                <w:tcPr>
                  <w:tcW w:w="664" w:type="pct"/>
                  <w:vAlign w:val="center"/>
                </w:tcPr>
                <w:p w14:paraId="5A702695">
                  <w:pPr>
                    <w:pStyle w:val="28"/>
                    <w:widowControl w:val="0"/>
                    <w:adjustRightInd w:val="0"/>
                    <w:spacing w:before="0" w:after="0" w:line="240" w:lineRule="auto"/>
                    <w:ind w:firstLine="0" w:firstLineChars="0"/>
                    <w:jc w:val="center"/>
                    <w:rPr>
                      <w:sz w:val="21"/>
                      <w:szCs w:val="21"/>
                    </w:rPr>
                  </w:pPr>
                  <w:r>
                    <w:rPr>
                      <w:sz w:val="21"/>
                      <w:szCs w:val="21"/>
                    </w:rPr>
                    <w:t>二</w:t>
                  </w:r>
                </w:p>
              </w:tc>
              <w:tc>
                <w:tcPr>
                  <w:tcW w:w="658" w:type="pct"/>
                  <w:vAlign w:val="center"/>
                </w:tcPr>
                <w:p w14:paraId="7CD4EF69">
                  <w:pPr>
                    <w:pStyle w:val="28"/>
                    <w:widowControl w:val="0"/>
                    <w:adjustRightInd w:val="0"/>
                    <w:spacing w:before="0" w:after="0" w:line="240" w:lineRule="auto"/>
                    <w:ind w:firstLine="0" w:firstLineChars="0"/>
                    <w:jc w:val="center"/>
                    <w:rPr>
                      <w:sz w:val="21"/>
                      <w:szCs w:val="21"/>
                    </w:rPr>
                  </w:pPr>
                  <w:r>
                    <w:rPr>
                      <w:sz w:val="21"/>
                      <w:szCs w:val="21"/>
                    </w:rPr>
                    <w:t>三</w:t>
                  </w:r>
                </w:p>
              </w:tc>
              <w:tc>
                <w:tcPr>
                  <w:tcW w:w="1100" w:type="pct"/>
                  <w:vAlign w:val="center"/>
                </w:tcPr>
                <w:p w14:paraId="4F96E3D1">
                  <w:pPr>
                    <w:pStyle w:val="28"/>
                    <w:widowControl w:val="0"/>
                    <w:adjustRightInd w:val="0"/>
                    <w:spacing w:before="0" w:after="0" w:line="240" w:lineRule="auto"/>
                    <w:ind w:firstLine="0" w:firstLineChars="0"/>
                    <w:jc w:val="center"/>
                    <w:rPr>
                      <w:sz w:val="21"/>
                      <w:szCs w:val="21"/>
                    </w:rPr>
                  </w:pPr>
                  <w:r>
                    <w:rPr>
                      <w:sz w:val="21"/>
                      <w:szCs w:val="21"/>
                    </w:rPr>
                    <w:t>简单分析</w:t>
                  </w:r>
                  <w:r>
                    <w:rPr>
                      <w:sz w:val="21"/>
                      <w:szCs w:val="21"/>
                      <w:vertAlign w:val="superscript"/>
                    </w:rPr>
                    <w:t>a</w:t>
                  </w:r>
                </w:p>
              </w:tc>
            </w:tr>
            <w:tr w14:paraId="3A3D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5"/>
                </w:tcPr>
                <w:p w14:paraId="4E2C49F2">
                  <w:pPr>
                    <w:pStyle w:val="28"/>
                    <w:widowControl w:val="0"/>
                    <w:adjustRightInd w:val="0"/>
                    <w:spacing w:before="0" w:after="0" w:line="240" w:lineRule="auto"/>
                    <w:ind w:firstLine="0" w:firstLineChars="0"/>
                    <w:rPr>
                      <w:sz w:val="21"/>
                      <w:szCs w:val="21"/>
                    </w:rPr>
                  </w:pPr>
                  <w:r>
                    <w:rPr>
                      <w:sz w:val="21"/>
                      <w:szCs w:val="21"/>
                    </w:rPr>
                    <w:t>a是相对于详细评价工作内容而言，在描述危险物质、环境影响途径、环境危害后果、风险防范措施等方面给出定性的说明</w:t>
                  </w:r>
                </w:p>
              </w:tc>
            </w:tr>
          </w:tbl>
          <w:p w14:paraId="07174742">
            <w:pPr>
              <w:spacing w:line="360" w:lineRule="auto"/>
              <w:ind w:firstLine="480" w:firstLineChars="200"/>
              <w:rPr>
                <w:sz w:val="24"/>
              </w:rPr>
            </w:pPr>
            <w:r>
              <w:rPr>
                <w:sz w:val="24"/>
              </w:rPr>
              <w:t>项目所涉及的每种危险物质在厂界内的最大存在总量与对应临界量的比值为</w:t>
            </w:r>
            <w:r>
              <w:rPr>
                <w:i/>
                <w:iCs/>
                <w:sz w:val="24"/>
              </w:rPr>
              <w:t>Q</w:t>
            </w:r>
            <w:r>
              <w:rPr>
                <w:sz w:val="24"/>
              </w:rPr>
              <w:t>，当只涉及一种危险物质时，计算该物质的总量与其临界量比值，当存在多种危险物质时，按下列公式计算</w:t>
            </w:r>
            <w:r>
              <w:rPr>
                <w:i/>
                <w:iCs/>
                <w:sz w:val="24"/>
              </w:rPr>
              <w:t>Q</w:t>
            </w:r>
            <w:r>
              <w:rPr>
                <w:sz w:val="24"/>
              </w:rPr>
              <w:t>值：</w:t>
            </w:r>
          </w:p>
          <w:p w14:paraId="78F3281A">
            <w:pPr>
              <w:spacing w:line="360" w:lineRule="auto"/>
              <w:ind w:firstLine="480" w:firstLineChars="200"/>
              <w:jc w:val="center"/>
              <w:rPr>
                <w:sz w:val="24"/>
              </w:rPr>
            </w:pPr>
            <w:r>
              <w:rPr>
                <w:position w:val="-16"/>
                <w:sz w:val="24"/>
              </w:rPr>
              <w:object>
                <v:shape id="_x0000_i1026" o:spt="75" type="#_x0000_t75" style="height:27.65pt;width:81.2pt;" o:ole="t" filled="f" o:preferrelative="t" stroked="f" coordsize="21600,21600">
                  <v:path/>
                  <v:fill on="f" focussize="0,0"/>
                  <v:stroke on="f" joinstyle="miter"/>
                  <v:imagedata r:id="rId35" o:title=""/>
                  <o:lock v:ext="edit" aspectratio="t"/>
                  <w10:wrap type="none"/>
                  <w10:anchorlock/>
                </v:shape>
                <o:OLEObject Type="Embed" ProgID="Equation.KSEE3" ShapeID="_x0000_i1026" DrawAspect="Content" ObjectID="_1468075726" r:id="rId34">
                  <o:LockedField>false</o:LockedField>
                </o:OLEObject>
              </w:object>
            </w:r>
          </w:p>
          <w:p w14:paraId="45BD2649">
            <w:pPr>
              <w:spacing w:line="360" w:lineRule="auto"/>
              <w:ind w:firstLine="480" w:firstLineChars="200"/>
              <w:rPr>
                <w:sz w:val="24"/>
                <w:szCs w:val="24"/>
              </w:rPr>
            </w:pPr>
            <w:r>
              <w:rPr>
                <w:sz w:val="24"/>
                <w:szCs w:val="24"/>
              </w:rPr>
              <w:t>式中：</w:t>
            </w:r>
            <w:r>
              <w:rPr>
                <w:i/>
                <w:iCs/>
                <w:sz w:val="24"/>
                <w:szCs w:val="24"/>
              </w:rPr>
              <w:t>q</w:t>
            </w:r>
            <w:r>
              <w:rPr>
                <w:sz w:val="24"/>
                <w:szCs w:val="24"/>
                <w:vertAlign w:val="subscript"/>
              </w:rPr>
              <w:t>1</w:t>
            </w:r>
            <w:r>
              <w:rPr>
                <w:sz w:val="24"/>
                <w:szCs w:val="24"/>
              </w:rPr>
              <w:t>，</w:t>
            </w:r>
            <w:r>
              <w:rPr>
                <w:i/>
                <w:iCs/>
                <w:sz w:val="24"/>
                <w:szCs w:val="24"/>
              </w:rPr>
              <w:t>q</w:t>
            </w:r>
            <w:r>
              <w:rPr>
                <w:sz w:val="24"/>
                <w:szCs w:val="24"/>
                <w:vertAlign w:val="subscript"/>
              </w:rPr>
              <w:t>2</w:t>
            </w:r>
            <w:r>
              <w:rPr>
                <w:sz w:val="24"/>
                <w:szCs w:val="24"/>
              </w:rPr>
              <w:t>，…</w:t>
            </w:r>
            <w:r>
              <w:rPr>
                <w:i/>
                <w:iCs/>
                <w:sz w:val="24"/>
                <w:szCs w:val="24"/>
              </w:rPr>
              <w:t>q</w:t>
            </w:r>
            <w:r>
              <w:rPr>
                <w:sz w:val="24"/>
                <w:szCs w:val="24"/>
                <w:vertAlign w:val="subscript"/>
              </w:rPr>
              <w:t>n</w:t>
            </w:r>
            <w:r>
              <w:rPr>
                <w:sz w:val="24"/>
                <w:szCs w:val="24"/>
              </w:rPr>
              <w:t>—每种危险物质的最大存在总量，t；</w:t>
            </w:r>
          </w:p>
          <w:p w14:paraId="34378CF3">
            <w:pPr>
              <w:spacing w:line="360" w:lineRule="auto"/>
              <w:ind w:firstLine="480" w:firstLineChars="200"/>
              <w:rPr>
                <w:sz w:val="24"/>
                <w:szCs w:val="24"/>
              </w:rPr>
            </w:pPr>
            <w:r>
              <w:rPr>
                <w:i/>
                <w:iCs/>
                <w:sz w:val="24"/>
                <w:szCs w:val="24"/>
              </w:rPr>
              <w:t>Q</w:t>
            </w:r>
            <w:r>
              <w:rPr>
                <w:sz w:val="24"/>
                <w:szCs w:val="24"/>
                <w:vertAlign w:val="subscript"/>
              </w:rPr>
              <w:t>1</w:t>
            </w:r>
            <w:r>
              <w:rPr>
                <w:sz w:val="24"/>
                <w:szCs w:val="24"/>
              </w:rPr>
              <w:t>，</w:t>
            </w:r>
            <w:r>
              <w:rPr>
                <w:i/>
                <w:iCs/>
                <w:sz w:val="24"/>
                <w:szCs w:val="24"/>
              </w:rPr>
              <w:t>Q</w:t>
            </w:r>
            <w:r>
              <w:rPr>
                <w:sz w:val="24"/>
                <w:szCs w:val="24"/>
                <w:vertAlign w:val="subscript"/>
              </w:rPr>
              <w:t>2</w:t>
            </w:r>
            <w:r>
              <w:rPr>
                <w:sz w:val="24"/>
                <w:szCs w:val="24"/>
              </w:rPr>
              <w:t>，…</w:t>
            </w:r>
            <w:r>
              <w:rPr>
                <w:i/>
                <w:iCs/>
                <w:sz w:val="24"/>
                <w:szCs w:val="24"/>
              </w:rPr>
              <w:t>Q</w:t>
            </w:r>
            <w:r>
              <w:rPr>
                <w:sz w:val="24"/>
                <w:szCs w:val="24"/>
                <w:vertAlign w:val="subscript"/>
              </w:rPr>
              <w:t>n</w:t>
            </w:r>
            <w:r>
              <w:rPr>
                <w:sz w:val="24"/>
                <w:szCs w:val="24"/>
              </w:rPr>
              <w:t>—每种物质的临界量，t。可在HJ 169-2018中附录B中查询。</w:t>
            </w:r>
          </w:p>
          <w:p w14:paraId="096410C6">
            <w:pPr>
              <w:spacing w:line="360" w:lineRule="auto"/>
              <w:ind w:firstLine="480" w:firstLineChars="200"/>
              <w:rPr>
                <w:sz w:val="24"/>
              </w:rPr>
            </w:pPr>
            <w:r>
              <w:rPr>
                <w:sz w:val="24"/>
              </w:rPr>
              <w:t>当</w:t>
            </w:r>
            <w:r>
              <w:rPr>
                <w:i/>
                <w:iCs/>
                <w:sz w:val="24"/>
              </w:rPr>
              <w:t>Q</w:t>
            </w:r>
            <w:r>
              <w:rPr>
                <w:sz w:val="24"/>
              </w:rPr>
              <w:t>＜1时，本项目环境风险潜势为Ⅰ。</w:t>
            </w:r>
          </w:p>
          <w:p w14:paraId="0AC07974">
            <w:pPr>
              <w:spacing w:line="360" w:lineRule="auto"/>
              <w:ind w:firstLine="480" w:firstLineChars="200"/>
              <w:rPr>
                <w:sz w:val="24"/>
              </w:rPr>
            </w:pPr>
            <w:r>
              <w:rPr>
                <w:sz w:val="24"/>
              </w:rPr>
              <w:t>当</w:t>
            </w:r>
            <w:r>
              <w:rPr>
                <w:i/>
                <w:iCs/>
                <w:sz w:val="24"/>
              </w:rPr>
              <w:t>Q</w:t>
            </w:r>
            <w:r>
              <w:rPr>
                <w:sz w:val="24"/>
              </w:rPr>
              <w:t>≥1时，将</w:t>
            </w:r>
            <w:r>
              <w:rPr>
                <w:i/>
                <w:iCs/>
                <w:sz w:val="24"/>
              </w:rPr>
              <w:t>Q</w:t>
            </w:r>
            <w:r>
              <w:rPr>
                <w:sz w:val="24"/>
              </w:rPr>
              <w:t>值划分为：（1）1＜</w:t>
            </w:r>
            <w:r>
              <w:rPr>
                <w:i/>
                <w:iCs/>
                <w:sz w:val="24"/>
              </w:rPr>
              <w:t>Q</w:t>
            </w:r>
            <w:r>
              <w:rPr>
                <w:sz w:val="24"/>
              </w:rPr>
              <w:t>＜10；（2）10≤</w:t>
            </w:r>
            <w:r>
              <w:rPr>
                <w:i/>
                <w:iCs/>
                <w:sz w:val="24"/>
              </w:rPr>
              <w:t>Q</w:t>
            </w:r>
            <w:r>
              <w:rPr>
                <w:sz w:val="24"/>
              </w:rPr>
              <w:t>＜100；（3）</w:t>
            </w:r>
            <w:r>
              <w:rPr>
                <w:i/>
                <w:iCs/>
                <w:sz w:val="24"/>
              </w:rPr>
              <w:t>Q</w:t>
            </w:r>
            <w:r>
              <w:rPr>
                <w:sz w:val="24"/>
              </w:rPr>
              <w:t>≥100。</w:t>
            </w:r>
          </w:p>
          <w:p w14:paraId="4421033B">
            <w:pPr>
              <w:adjustRightInd w:val="0"/>
              <w:snapToGrid w:val="0"/>
              <w:spacing w:line="360" w:lineRule="auto"/>
              <w:ind w:firstLine="480" w:firstLineChars="200"/>
              <w:rPr>
                <w:b/>
              </w:rPr>
            </w:pPr>
            <w:r>
              <w:rPr>
                <w:sz w:val="24"/>
              </w:rPr>
              <w:t>项目涉及的主要危险物质最大贮存量及临界量见下表：</w:t>
            </w:r>
          </w:p>
          <w:p w14:paraId="22C3EA56">
            <w:pPr>
              <w:pStyle w:val="219"/>
              <w:spacing w:before="0" w:beforeLines="0"/>
              <w:rPr>
                <w:sz w:val="24"/>
                <w:szCs w:val="24"/>
              </w:rPr>
            </w:pPr>
            <w:r>
              <w:rPr>
                <w:rFonts w:hint="eastAsia"/>
                <w:sz w:val="24"/>
                <w:szCs w:val="24"/>
              </w:rPr>
              <w:t>表4.2.4-6  项目</w:t>
            </w:r>
            <w:r>
              <w:rPr>
                <w:i/>
                <w:iCs/>
                <w:sz w:val="24"/>
                <w:szCs w:val="24"/>
              </w:rPr>
              <w:t>Q</w:t>
            </w:r>
            <w:r>
              <w:rPr>
                <w:rFonts w:hint="eastAsia"/>
                <w:sz w:val="24"/>
                <w:szCs w:val="24"/>
              </w:rPr>
              <w:t>值一览表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9"/>
              <w:gridCol w:w="1117"/>
              <w:gridCol w:w="2273"/>
              <w:gridCol w:w="1078"/>
              <w:gridCol w:w="1441"/>
            </w:tblGrid>
            <w:tr w14:paraId="75EE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9" w:type="pct"/>
                  <w:vAlign w:val="center"/>
                </w:tcPr>
                <w:p w14:paraId="03A7653E">
                  <w:pPr>
                    <w:jc w:val="center"/>
                    <w:rPr>
                      <w:b/>
                    </w:rPr>
                  </w:pPr>
                  <w:r>
                    <w:rPr>
                      <w:b/>
                    </w:rPr>
                    <w:t>物质名称</w:t>
                  </w:r>
                </w:p>
              </w:tc>
              <w:tc>
                <w:tcPr>
                  <w:tcW w:w="647" w:type="pct"/>
                  <w:vAlign w:val="center"/>
                </w:tcPr>
                <w:p w14:paraId="67C47309">
                  <w:pPr>
                    <w:jc w:val="center"/>
                    <w:rPr>
                      <w:b/>
                    </w:rPr>
                  </w:pPr>
                  <w:r>
                    <w:rPr>
                      <w:b/>
                    </w:rPr>
                    <w:t>CAS号</w:t>
                  </w:r>
                </w:p>
              </w:tc>
              <w:tc>
                <w:tcPr>
                  <w:tcW w:w="1316" w:type="pct"/>
                  <w:vAlign w:val="center"/>
                </w:tcPr>
                <w:p w14:paraId="1E2E4899">
                  <w:pPr>
                    <w:jc w:val="center"/>
                    <w:rPr>
                      <w:b/>
                    </w:rPr>
                  </w:pPr>
                  <w:r>
                    <w:rPr>
                      <w:b/>
                    </w:rPr>
                    <w:t>最大存在总量t</w:t>
                  </w:r>
                </w:p>
              </w:tc>
              <w:tc>
                <w:tcPr>
                  <w:tcW w:w="624" w:type="pct"/>
                  <w:vAlign w:val="center"/>
                </w:tcPr>
                <w:p w14:paraId="3228F471">
                  <w:pPr>
                    <w:jc w:val="center"/>
                    <w:rPr>
                      <w:b/>
                    </w:rPr>
                  </w:pPr>
                  <w:r>
                    <w:rPr>
                      <w:b/>
                    </w:rPr>
                    <w:t>临界量t</w:t>
                  </w:r>
                </w:p>
              </w:tc>
              <w:tc>
                <w:tcPr>
                  <w:tcW w:w="834" w:type="pct"/>
                  <w:vAlign w:val="center"/>
                </w:tcPr>
                <w:p w14:paraId="49FE1019">
                  <w:pPr>
                    <w:jc w:val="center"/>
                    <w:rPr>
                      <w:b/>
                    </w:rPr>
                  </w:pPr>
                  <w:r>
                    <w:rPr>
                      <w:b/>
                    </w:rPr>
                    <w:t>比值（</w:t>
                  </w:r>
                  <w:r>
                    <w:rPr>
                      <w:b/>
                      <w:i/>
                      <w:iCs/>
                    </w:rPr>
                    <w:t>Q</w:t>
                  </w:r>
                  <w:r>
                    <w:rPr>
                      <w:b/>
                    </w:rPr>
                    <w:t>）</w:t>
                  </w:r>
                </w:p>
              </w:tc>
            </w:tr>
            <w:tr w14:paraId="59AD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9" w:type="pct"/>
                  <w:vAlign w:val="center"/>
                </w:tcPr>
                <w:p w14:paraId="331879E9">
                  <w:pPr>
                    <w:jc w:val="center"/>
                  </w:pPr>
                  <w:r>
                    <w:rPr>
                      <w:rFonts w:hint="eastAsia"/>
                    </w:rPr>
                    <w:t>主变压器油</w:t>
                  </w:r>
                </w:p>
              </w:tc>
              <w:tc>
                <w:tcPr>
                  <w:tcW w:w="647" w:type="pct"/>
                  <w:vAlign w:val="center"/>
                </w:tcPr>
                <w:p w14:paraId="0620D5B8">
                  <w:pPr>
                    <w:jc w:val="center"/>
                  </w:pPr>
                  <w:r>
                    <w:t>/</w:t>
                  </w:r>
                </w:p>
              </w:tc>
              <w:tc>
                <w:tcPr>
                  <w:tcW w:w="1316" w:type="pct"/>
                  <w:vAlign w:val="center"/>
                </w:tcPr>
                <w:p w14:paraId="4686C68D">
                  <w:pPr>
                    <w:jc w:val="center"/>
                  </w:pPr>
                  <w:r>
                    <w:rPr>
                      <w:rFonts w:hint="eastAsia"/>
                    </w:rPr>
                    <w:t>27</w:t>
                  </w:r>
                </w:p>
              </w:tc>
              <w:tc>
                <w:tcPr>
                  <w:tcW w:w="624" w:type="pct"/>
                  <w:vAlign w:val="center"/>
                </w:tcPr>
                <w:p w14:paraId="16553297">
                  <w:pPr>
                    <w:jc w:val="center"/>
                  </w:pPr>
                  <w:r>
                    <w:t>2500</w:t>
                  </w:r>
                </w:p>
              </w:tc>
              <w:tc>
                <w:tcPr>
                  <w:tcW w:w="834" w:type="pct"/>
                  <w:vAlign w:val="center"/>
                </w:tcPr>
                <w:p w14:paraId="0164FF4E">
                  <w:pPr>
                    <w:jc w:val="center"/>
                    <w:textAlignment w:val="center"/>
                  </w:pPr>
                  <w:r>
                    <w:t>0.0</w:t>
                  </w:r>
                  <w:r>
                    <w:rPr>
                      <w:rFonts w:hint="eastAsia"/>
                    </w:rPr>
                    <w:t>108</w:t>
                  </w:r>
                </w:p>
              </w:tc>
            </w:tr>
            <w:tr w14:paraId="75A9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9" w:type="pct"/>
                  <w:vAlign w:val="center"/>
                </w:tcPr>
                <w:p w14:paraId="672BE436">
                  <w:pPr>
                    <w:jc w:val="center"/>
                  </w:pPr>
                  <w:r>
                    <w:rPr>
                      <w:rFonts w:hint="eastAsia"/>
                    </w:rPr>
                    <w:t>废矿物油</w:t>
                  </w:r>
                </w:p>
              </w:tc>
              <w:tc>
                <w:tcPr>
                  <w:tcW w:w="647" w:type="pct"/>
                  <w:vAlign w:val="center"/>
                </w:tcPr>
                <w:p w14:paraId="3C2D587C">
                  <w:pPr>
                    <w:jc w:val="center"/>
                  </w:pPr>
                  <w:r>
                    <w:t>/</w:t>
                  </w:r>
                </w:p>
              </w:tc>
              <w:tc>
                <w:tcPr>
                  <w:tcW w:w="1316" w:type="pct"/>
                  <w:vAlign w:val="center"/>
                </w:tcPr>
                <w:p w14:paraId="1FB6D17F">
                  <w:pPr>
                    <w:jc w:val="center"/>
                  </w:pPr>
                  <w:r>
                    <w:t>0.05</w:t>
                  </w:r>
                </w:p>
              </w:tc>
              <w:tc>
                <w:tcPr>
                  <w:tcW w:w="624" w:type="pct"/>
                  <w:vAlign w:val="center"/>
                </w:tcPr>
                <w:p w14:paraId="722C71E8">
                  <w:pPr>
                    <w:jc w:val="center"/>
                  </w:pPr>
                  <w:r>
                    <w:t>2500</w:t>
                  </w:r>
                </w:p>
              </w:tc>
              <w:tc>
                <w:tcPr>
                  <w:tcW w:w="834" w:type="pct"/>
                  <w:vAlign w:val="center"/>
                </w:tcPr>
                <w:p w14:paraId="48CE7438">
                  <w:pPr>
                    <w:jc w:val="center"/>
                    <w:textAlignment w:val="center"/>
                  </w:pPr>
                  <w:r>
                    <w:t>0.00002</w:t>
                  </w:r>
                </w:p>
              </w:tc>
            </w:tr>
            <w:tr w14:paraId="746B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9" w:type="pct"/>
                  <w:vAlign w:val="center"/>
                </w:tcPr>
                <w:p w14:paraId="2653340D">
                  <w:pPr>
                    <w:jc w:val="center"/>
                  </w:pPr>
                  <w:r>
                    <w:rPr>
                      <w:rFonts w:hint="eastAsia"/>
                    </w:rPr>
                    <w:t>箱变变压器油</w:t>
                  </w:r>
                </w:p>
              </w:tc>
              <w:tc>
                <w:tcPr>
                  <w:tcW w:w="647" w:type="pct"/>
                  <w:vAlign w:val="center"/>
                </w:tcPr>
                <w:p w14:paraId="627A67A6">
                  <w:pPr>
                    <w:jc w:val="center"/>
                  </w:pPr>
                  <w:r>
                    <w:t>/</w:t>
                  </w:r>
                </w:p>
              </w:tc>
              <w:tc>
                <w:tcPr>
                  <w:tcW w:w="1316" w:type="pct"/>
                  <w:vAlign w:val="center"/>
                </w:tcPr>
                <w:p w14:paraId="2481F4EC">
                  <w:pPr>
                    <w:jc w:val="center"/>
                  </w:pPr>
                  <w:r>
                    <w:t>26.5</w:t>
                  </w:r>
                </w:p>
              </w:tc>
              <w:tc>
                <w:tcPr>
                  <w:tcW w:w="624" w:type="pct"/>
                  <w:vAlign w:val="center"/>
                </w:tcPr>
                <w:p w14:paraId="550613FB">
                  <w:pPr>
                    <w:jc w:val="center"/>
                  </w:pPr>
                  <w:r>
                    <w:t>2500</w:t>
                  </w:r>
                </w:p>
              </w:tc>
              <w:tc>
                <w:tcPr>
                  <w:tcW w:w="834" w:type="pct"/>
                  <w:vAlign w:val="center"/>
                </w:tcPr>
                <w:p w14:paraId="7AF49441">
                  <w:pPr>
                    <w:jc w:val="center"/>
                    <w:textAlignment w:val="center"/>
                  </w:pPr>
                  <w:r>
                    <w:rPr>
                      <w:rFonts w:hint="eastAsia"/>
                    </w:rPr>
                    <w:t>0.010</w:t>
                  </w:r>
                  <w:r>
                    <w:t>6</w:t>
                  </w:r>
                </w:p>
              </w:tc>
            </w:tr>
            <w:tr w14:paraId="1D96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9" w:type="pct"/>
                  <w:vAlign w:val="center"/>
                </w:tcPr>
                <w:p w14:paraId="6A239DE4">
                  <w:pPr>
                    <w:jc w:val="center"/>
                  </w:pPr>
                  <w:r>
                    <w:rPr>
                      <w:rFonts w:hint="eastAsia"/>
                    </w:rPr>
                    <w:t>废铅蓄电池</w:t>
                  </w:r>
                </w:p>
              </w:tc>
              <w:tc>
                <w:tcPr>
                  <w:tcW w:w="647" w:type="pct"/>
                  <w:vAlign w:val="center"/>
                </w:tcPr>
                <w:p w14:paraId="5E3A730B">
                  <w:pPr>
                    <w:jc w:val="center"/>
                  </w:pPr>
                  <w:r>
                    <w:rPr>
                      <w:rFonts w:hint="eastAsia"/>
                      <w:bCs/>
                      <w:color w:val="000000"/>
                    </w:rPr>
                    <w:t>7664-93-9</w:t>
                  </w:r>
                </w:p>
              </w:tc>
              <w:tc>
                <w:tcPr>
                  <w:tcW w:w="1316" w:type="pct"/>
                  <w:vAlign w:val="center"/>
                </w:tcPr>
                <w:p w14:paraId="5A9D563A">
                  <w:pPr>
                    <w:jc w:val="center"/>
                  </w:pPr>
                  <w:r>
                    <w:rPr>
                      <w:rFonts w:hint="eastAsia"/>
                    </w:rPr>
                    <w:t>2</w:t>
                  </w:r>
                </w:p>
              </w:tc>
              <w:tc>
                <w:tcPr>
                  <w:tcW w:w="624" w:type="pct"/>
                  <w:vAlign w:val="center"/>
                </w:tcPr>
                <w:p w14:paraId="085F2E65">
                  <w:pPr>
                    <w:jc w:val="center"/>
                  </w:pPr>
                  <w:r>
                    <w:rPr>
                      <w:rFonts w:hint="eastAsia"/>
                    </w:rPr>
                    <w:t>5</w:t>
                  </w:r>
                </w:p>
              </w:tc>
              <w:tc>
                <w:tcPr>
                  <w:tcW w:w="834" w:type="pct"/>
                  <w:vAlign w:val="center"/>
                </w:tcPr>
                <w:p w14:paraId="101E2D46">
                  <w:pPr>
                    <w:jc w:val="center"/>
                    <w:textAlignment w:val="center"/>
                  </w:pPr>
                  <w:r>
                    <w:rPr>
                      <w:rFonts w:hint="eastAsia"/>
                    </w:rPr>
                    <w:t>0.4</w:t>
                  </w:r>
                </w:p>
              </w:tc>
            </w:tr>
            <w:tr w14:paraId="5C45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66" w:type="pct"/>
                  <w:gridSpan w:val="4"/>
                  <w:vAlign w:val="center"/>
                </w:tcPr>
                <w:p w14:paraId="084B1F0F">
                  <w:pPr>
                    <w:jc w:val="center"/>
                  </w:pPr>
                  <w:r>
                    <w:t>项目</w:t>
                  </w:r>
                  <w:r>
                    <w:rPr>
                      <w:i/>
                      <w:iCs/>
                    </w:rPr>
                    <w:t>Q</w:t>
                  </w:r>
                  <w:r>
                    <w:t>值Σ</w:t>
                  </w:r>
                </w:p>
              </w:tc>
              <w:tc>
                <w:tcPr>
                  <w:tcW w:w="834" w:type="pct"/>
                  <w:vAlign w:val="center"/>
                </w:tcPr>
                <w:p w14:paraId="29665A9B">
                  <w:pPr>
                    <w:jc w:val="center"/>
                    <w:textAlignment w:val="center"/>
                  </w:pPr>
                  <w:r>
                    <w:t>0.</w:t>
                  </w:r>
                  <w:r>
                    <w:rPr>
                      <w:rFonts w:hint="eastAsia"/>
                    </w:rPr>
                    <w:t>42</w:t>
                  </w:r>
                  <w:r>
                    <w:t>14</w:t>
                  </w:r>
                </w:p>
              </w:tc>
            </w:tr>
          </w:tbl>
          <w:p w14:paraId="44ACDC29">
            <w:pPr>
              <w:pStyle w:val="29"/>
              <w:spacing w:after="0" w:line="360" w:lineRule="auto"/>
              <w:ind w:left="0" w:leftChars="0" w:firstLine="480"/>
            </w:pPr>
            <w:r>
              <w:rPr>
                <w:sz w:val="24"/>
              </w:rPr>
              <w:t>由上表可知，本项目危险物质与临界量的比值</w:t>
            </w:r>
            <w:r>
              <w:rPr>
                <w:i/>
                <w:iCs/>
                <w:sz w:val="24"/>
              </w:rPr>
              <w:t>Q</w:t>
            </w:r>
            <w:r>
              <w:rPr>
                <w:sz w:val="24"/>
              </w:rPr>
              <w:t>为0.4214，</w:t>
            </w:r>
            <w:r>
              <w:rPr>
                <w:rFonts w:hint="eastAsia"/>
                <w:sz w:val="24"/>
              </w:rPr>
              <w:t>小于</w:t>
            </w:r>
            <w:r>
              <w:rPr>
                <w:sz w:val="24"/>
              </w:rPr>
              <w:t>1，确定本项目环境风险潜势为Ⅰ，环境风险评价工作等级为简单分析。</w:t>
            </w:r>
          </w:p>
          <w:p w14:paraId="7B89CD96">
            <w:pPr>
              <w:pStyle w:val="28"/>
              <w:widowControl w:val="0"/>
              <w:spacing w:after="0" w:line="360" w:lineRule="auto"/>
              <w:ind w:firstLine="482" w:firstLineChars="200"/>
              <w:rPr>
                <w:b/>
                <w:bCs/>
                <w:sz w:val="24"/>
              </w:rPr>
            </w:pPr>
            <w:r>
              <w:rPr>
                <w:rFonts w:hint="eastAsia"/>
                <w:b/>
                <w:bCs/>
                <w:sz w:val="24"/>
              </w:rPr>
              <w:t>3）环境风险评价结论</w:t>
            </w:r>
          </w:p>
          <w:p w14:paraId="55BE3173">
            <w:pPr>
              <w:adjustRightInd w:val="0"/>
              <w:snapToGrid w:val="0"/>
              <w:spacing w:line="360" w:lineRule="auto"/>
              <w:ind w:firstLine="480" w:firstLineChars="200"/>
              <w:rPr>
                <w:sz w:val="24"/>
              </w:rPr>
            </w:pPr>
            <w:r>
              <w:rPr>
                <w:rFonts w:hint="eastAsia"/>
                <w:sz w:val="24"/>
              </w:rPr>
              <w:t>本项目环境风险等级为简单分析。风险评价内容见下表。</w:t>
            </w:r>
          </w:p>
          <w:p w14:paraId="78C73382">
            <w:pPr>
              <w:pStyle w:val="219"/>
              <w:spacing w:before="0" w:beforeLines="0"/>
              <w:rPr>
                <w:sz w:val="24"/>
                <w:szCs w:val="24"/>
              </w:rPr>
            </w:pPr>
            <w:r>
              <w:rPr>
                <w:sz w:val="24"/>
                <w:szCs w:val="24"/>
              </w:rPr>
              <w:t>表4</w:t>
            </w:r>
            <w:r>
              <w:rPr>
                <w:rFonts w:hint="eastAsia"/>
                <w:sz w:val="24"/>
                <w:szCs w:val="24"/>
              </w:rPr>
              <w:t>.2.4-7  本</w:t>
            </w:r>
            <w:r>
              <w:rPr>
                <w:sz w:val="24"/>
                <w:szCs w:val="24"/>
              </w:rPr>
              <w:t>项目环境风险简单分析内容表</w:t>
            </w:r>
          </w:p>
          <w:tbl>
            <w:tblPr>
              <w:tblStyle w:val="30"/>
              <w:tblW w:w="5000" w:type="pct"/>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7069"/>
            </w:tblGrid>
            <w:tr w14:paraId="65B3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09" w:type="pct"/>
                  <w:vAlign w:val="center"/>
                </w:tcPr>
                <w:p w14:paraId="649A4CC8">
                  <w:pPr>
                    <w:pStyle w:val="83"/>
                    <w:spacing w:before="24" w:after="24"/>
                    <w:jc w:val="both"/>
                  </w:pPr>
                  <w:r>
                    <w:t>建设项目名称</w:t>
                  </w:r>
                </w:p>
              </w:tc>
              <w:tc>
                <w:tcPr>
                  <w:tcW w:w="4091" w:type="pct"/>
                  <w:vAlign w:val="center"/>
                </w:tcPr>
                <w:p w14:paraId="0F986E9E">
                  <w:pPr>
                    <w:pStyle w:val="83"/>
                    <w:spacing w:before="24" w:after="24"/>
                  </w:pPr>
                  <w:r>
                    <w:rPr>
                      <w:rFonts w:hint="eastAsia"/>
                    </w:rPr>
                    <w:t>绿坪村光伏发电项目</w:t>
                  </w:r>
                </w:p>
              </w:tc>
            </w:tr>
            <w:tr w14:paraId="71BD5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09" w:type="pct"/>
                  <w:vAlign w:val="center"/>
                </w:tcPr>
                <w:p w14:paraId="5B8796AC">
                  <w:pPr>
                    <w:pStyle w:val="83"/>
                    <w:spacing w:before="24" w:after="24"/>
                    <w:jc w:val="both"/>
                  </w:pPr>
                  <w:r>
                    <w:t>建设地点</w:t>
                  </w:r>
                </w:p>
              </w:tc>
              <w:tc>
                <w:tcPr>
                  <w:tcW w:w="4091" w:type="pct"/>
                  <w:vAlign w:val="center"/>
                </w:tcPr>
                <w:p w14:paraId="4A7074F3">
                  <w:pPr>
                    <w:pStyle w:val="83"/>
                    <w:spacing w:before="24" w:after="24"/>
                    <w:jc w:val="left"/>
                  </w:pPr>
                  <w:r>
                    <w:t>云南省</w:t>
                  </w:r>
                  <w:r>
                    <w:rPr>
                      <w:rFonts w:hint="eastAsia"/>
                    </w:rPr>
                    <w:t>曲靖市会泽</w:t>
                  </w:r>
                  <w:r>
                    <w:t>县</w:t>
                  </w:r>
                  <w:r>
                    <w:rPr>
                      <w:rFonts w:hint="eastAsia"/>
                    </w:rPr>
                    <w:t>娜姑镇大闸村、石门坎村、红泥村、绿坪村、盐水村、牛泥塘村、发基卡村和干海子村</w:t>
                  </w:r>
                </w:p>
              </w:tc>
            </w:tr>
            <w:tr w14:paraId="5310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09" w:type="pct"/>
                  <w:vAlign w:val="center"/>
                </w:tcPr>
                <w:p w14:paraId="77E7BE70">
                  <w:pPr>
                    <w:pStyle w:val="83"/>
                    <w:spacing w:before="24" w:after="24"/>
                    <w:rPr>
                      <w:rFonts w:ascii="Times New Roman"/>
                    </w:rPr>
                  </w:pPr>
                  <w:r>
                    <w:rPr>
                      <w:rFonts w:ascii="Times New Roman"/>
                    </w:rPr>
                    <w:t>地理坐标</w:t>
                  </w:r>
                </w:p>
              </w:tc>
              <w:tc>
                <w:tcPr>
                  <w:tcW w:w="4091" w:type="pct"/>
                  <w:vAlign w:val="center"/>
                </w:tcPr>
                <w:p w14:paraId="2FDAD52E">
                  <w:pPr>
                    <w:pStyle w:val="83"/>
                    <w:adjustRightInd/>
                    <w:snapToGrid/>
                    <w:spacing w:beforeLines="0" w:afterLines="0" w:line="240" w:lineRule="auto"/>
                    <w:jc w:val="both"/>
                    <w:rPr>
                      <w:rFonts w:ascii="Times New Roman"/>
                    </w:rPr>
                  </w:pPr>
                  <w:r>
                    <w:rPr>
                      <w:rFonts w:ascii="Times New Roman"/>
                    </w:rPr>
                    <w:t>光伏场区场址坐标范围为东经103°04'32.696"~103°10'05.665"、北纬26°25'14.524"~26°31'31.143"，新建110kV升压站中心坐标为东经103°05'44.881"，北纬26°30'19.606"。</w:t>
                  </w:r>
                </w:p>
              </w:tc>
            </w:tr>
            <w:tr w14:paraId="0E1D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09" w:type="pct"/>
                  <w:vAlign w:val="center"/>
                </w:tcPr>
                <w:p w14:paraId="54121610">
                  <w:pPr>
                    <w:pStyle w:val="83"/>
                    <w:spacing w:before="24" w:after="24"/>
                  </w:pPr>
                  <w:r>
                    <w:t>主要危险物质</w:t>
                  </w:r>
                </w:p>
              </w:tc>
              <w:tc>
                <w:tcPr>
                  <w:tcW w:w="4091" w:type="pct"/>
                  <w:vAlign w:val="center"/>
                </w:tcPr>
                <w:p w14:paraId="6913BB92">
                  <w:pPr>
                    <w:pStyle w:val="83"/>
                    <w:spacing w:before="24" w:after="24"/>
                    <w:jc w:val="both"/>
                  </w:pPr>
                  <w:r>
                    <w:t>主变压器油、危废间暂存</w:t>
                  </w:r>
                  <w:r>
                    <w:rPr>
                      <w:rFonts w:hint="eastAsia"/>
                    </w:rPr>
                    <w:t>的</w:t>
                  </w:r>
                  <w:r>
                    <w:t>废矿物油</w:t>
                  </w:r>
                  <w:r>
                    <w:rPr>
                      <w:rFonts w:hint="eastAsia"/>
                    </w:rPr>
                    <w:t>、</w:t>
                  </w:r>
                  <w:r>
                    <w:t>箱变变压器油</w:t>
                  </w:r>
                  <w:r>
                    <w:rPr>
                      <w:rFonts w:hint="eastAsia"/>
                    </w:rPr>
                    <w:t>和废铅蓄电池</w:t>
                  </w:r>
                  <w:r>
                    <w:t>。</w:t>
                  </w:r>
                </w:p>
              </w:tc>
            </w:tr>
            <w:tr w14:paraId="6F66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09" w:type="pct"/>
                  <w:vAlign w:val="center"/>
                </w:tcPr>
                <w:p w14:paraId="784C51AA">
                  <w:pPr>
                    <w:pStyle w:val="83"/>
                    <w:spacing w:before="24" w:after="24"/>
                  </w:pPr>
                  <w:r>
                    <w:t>环境影响途径及危险后果</w:t>
                  </w:r>
                </w:p>
              </w:tc>
              <w:tc>
                <w:tcPr>
                  <w:tcW w:w="4091" w:type="pct"/>
                  <w:vAlign w:val="center"/>
                </w:tcPr>
                <w:p w14:paraId="5E65E38B">
                  <w:pPr>
                    <w:pStyle w:val="83"/>
                    <w:spacing w:before="24" w:after="24"/>
                    <w:jc w:val="both"/>
                  </w:pPr>
                  <w:r>
                    <w:fldChar w:fldCharType="begin"/>
                  </w:r>
                  <w:r>
                    <w:instrText xml:space="preserve">=1\*GB3</w:instrText>
                  </w:r>
                  <w:r>
                    <w:fldChar w:fldCharType="separate"/>
                  </w:r>
                  <w:r>
                    <w:rPr>
                      <w:rFonts w:hint="eastAsia" w:hAnsi="宋体" w:cs="宋体"/>
                    </w:rPr>
                    <w:t>①</w:t>
                  </w:r>
                  <w:r>
                    <w:fldChar w:fldCharType="end"/>
                  </w:r>
                  <w:r>
                    <w:t>当主变变压器油、废矿物油以及箱变变压器油泄漏时，如不经收集处理而排放至环境中，将对土壤、地下水和植物生长等造成不利影响。</w:t>
                  </w:r>
                </w:p>
                <w:p w14:paraId="2B29C4CF">
                  <w:pPr>
                    <w:pStyle w:val="83"/>
                    <w:spacing w:before="24" w:after="24"/>
                    <w:jc w:val="both"/>
                  </w:pPr>
                  <w:r>
                    <w:fldChar w:fldCharType="begin"/>
                  </w:r>
                  <w:r>
                    <w:instrText xml:space="preserve">=2\*GB3</w:instrText>
                  </w:r>
                  <w:r>
                    <w:fldChar w:fldCharType="separate"/>
                  </w:r>
                  <w:r>
                    <w:rPr>
                      <w:rFonts w:hint="eastAsia" w:hAnsi="宋体" w:cs="宋体"/>
                    </w:rPr>
                    <w:t>②</w:t>
                  </w:r>
                  <w:r>
                    <w:fldChar w:fldCharType="end"/>
                  </w:r>
                  <w:r>
                    <w:t>主变压器油、废矿物油</w:t>
                  </w:r>
                  <w:r>
                    <w:rPr>
                      <w:rFonts w:hint="eastAsia"/>
                    </w:rPr>
                    <w:t>和</w:t>
                  </w:r>
                  <w:r>
                    <w:t>箱变变压器油在使用或储存过程中若操作不当或设备损坏造成物质泄漏，泄漏后遇火源或在高温（高于闪点）等特殊情况下，将引发火灾、爆炸风险。</w:t>
                  </w:r>
                </w:p>
                <w:p w14:paraId="0BB95999">
                  <w:r>
                    <w:rPr>
                      <w:rFonts w:hint="eastAsia"/>
                    </w:rPr>
                    <w:t>③废铅蓄电池中电解液泄漏的话，可能会对</w:t>
                  </w:r>
                  <w:r>
                    <w:t>土壤、地下水和植物生长等造成不利影响。</w:t>
                  </w:r>
                </w:p>
              </w:tc>
            </w:tr>
            <w:tr w14:paraId="38A9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09" w:type="pct"/>
                  <w:vAlign w:val="center"/>
                </w:tcPr>
                <w:p w14:paraId="7FD468BD">
                  <w:pPr>
                    <w:pStyle w:val="83"/>
                    <w:spacing w:before="24" w:after="24"/>
                  </w:pPr>
                  <w:r>
                    <w:t>事故影响分析</w:t>
                  </w:r>
                </w:p>
              </w:tc>
              <w:tc>
                <w:tcPr>
                  <w:tcW w:w="4091" w:type="pct"/>
                  <w:vAlign w:val="center"/>
                </w:tcPr>
                <w:p w14:paraId="47F283F7">
                  <w:pPr>
                    <w:rPr>
                      <w:rFonts w:hint="eastAsia" w:ascii="宋体" w:hAnsi="宋体" w:cs="宋体"/>
                    </w:rPr>
                  </w:pPr>
                  <w:r>
                    <w:rPr>
                      <w:rFonts w:hint="eastAsia" w:ascii="宋体" w:hAnsi="宋体" w:cs="宋体"/>
                    </w:rPr>
                    <w:t>①</w:t>
                  </w:r>
                  <w:r>
                    <w:rPr>
                      <w:rFonts w:ascii="宋体" w:hAnsi="宋体" w:cs="宋体"/>
                    </w:rPr>
                    <w:t>主变压器油位于主变压器中，变电站内设置有主变事故油池，并在主变压器下设置了集油坑与事故油池连通。事故时产生的废油经集油坑流入事故集油池，经专用容器收集后</w:t>
                  </w:r>
                  <w:r>
                    <w:rPr>
                      <w:rFonts w:hint="eastAsia" w:ascii="宋体" w:hAnsi="宋体" w:cs="宋体"/>
                    </w:rPr>
                    <w:t>放置</w:t>
                  </w:r>
                  <w:r>
                    <w:rPr>
                      <w:rFonts w:ascii="宋体" w:hAnsi="宋体" w:cs="宋体"/>
                    </w:rPr>
                    <w:t>在严格按照《危险废物贮存污染控制标准》（</w:t>
                  </w:r>
                  <w:r>
                    <w:t>GB 18597-2023</w:t>
                  </w:r>
                  <w:r>
                    <w:rPr>
                      <w:rFonts w:ascii="宋体" w:hAnsi="宋体" w:cs="宋体"/>
                    </w:rPr>
                    <w:t>）要求建设的危险废物</w:t>
                  </w:r>
                  <w:r>
                    <w:rPr>
                      <w:rFonts w:hint="eastAsia" w:ascii="宋体" w:hAnsi="宋体" w:cs="宋体"/>
                    </w:rPr>
                    <w:t>贮</w:t>
                  </w:r>
                  <w:r>
                    <w:rPr>
                      <w:rFonts w:ascii="宋体" w:hAnsi="宋体" w:cs="宋体"/>
                    </w:rPr>
                    <w:t>存间内暂存，定期委托有资质单位清运处置。根据国内已建运行的变电站的运行情况，除非设备年久失修老化，主变事故漏油发生概率极小。因此，变电站事故漏油风险产生的影响极小。</w:t>
                  </w:r>
                </w:p>
                <w:p w14:paraId="2FE3DCB9">
                  <w:r>
                    <w:rPr>
                      <w:rFonts w:hint="eastAsia" w:ascii="宋体" w:hAnsi="宋体" w:cs="宋体"/>
                    </w:rPr>
                    <w:t>②</w:t>
                  </w:r>
                  <w:r>
                    <w:t>箱变变压器油位于箱式变压器中，光伏阵区内在每个箱变基础靠油箱一侧均设置有箱变事故池，容积为2.5m</w:t>
                  </w:r>
                  <w:r>
                    <w:rPr>
                      <w:vertAlign w:val="superscript"/>
                    </w:rPr>
                    <w:t>3</w:t>
                  </w:r>
                  <w:r>
                    <w:t>，共21个箱变事故池。箱变事故池底部和四周按照《环境影响评价技术导则</w:t>
                  </w:r>
                  <w:r>
                    <w:rPr>
                      <w:rFonts w:hint="eastAsia"/>
                    </w:rPr>
                    <w:t xml:space="preserve"> </w:t>
                  </w:r>
                  <w:r>
                    <w:t>地下水环境》（HJ 610-2016）提出的重点防渗区防渗技术要求落实，即防渗层为等效黏土防渗层Mb≥6.0m，渗透系数K≤1.0×10</w:t>
                  </w:r>
                  <w:r>
                    <w:rPr>
                      <w:vertAlign w:val="superscript"/>
                    </w:rPr>
                    <w:t>-7</w:t>
                  </w:r>
                  <w:r>
                    <w:t>cm/s，确保事故油在存储的过程中不会渗漏。事故时产生的废油经专用容器收集后放置在严格按照《危险废物贮存污染控制标准》（GB 18597-2023）要求建设的危险废物</w:t>
                  </w:r>
                  <w:r>
                    <w:rPr>
                      <w:rFonts w:hint="eastAsia"/>
                    </w:rPr>
                    <w:t>贮存</w:t>
                  </w:r>
                  <w:r>
                    <w:t>间内暂存，定期委托有资质单位清运处置。根据国内已建运行的变电站的运行情况，除非设备年久失修老化，箱变事故漏油发生概率极小。因此，箱变事故漏油风险产生的影响极小。</w:t>
                  </w:r>
                </w:p>
                <w:p w14:paraId="4025FA6C">
                  <w:r>
                    <w:rPr>
                      <w:rFonts w:hint="eastAsia" w:ascii="宋体" w:hAnsi="宋体" w:cs="宋体"/>
                    </w:rPr>
                    <w:t>③</w:t>
                  </w:r>
                  <w:r>
                    <w:t>危险废物</w:t>
                  </w:r>
                  <w:r>
                    <w:rPr>
                      <w:rFonts w:hint="eastAsia"/>
                    </w:rPr>
                    <w:t>贮存</w:t>
                  </w:r>
                  <w:r>
                    <w:t>间将严格按照《危险废物贮存污染控制标准》（GB</w:t>
                  </w:r>
                  <w:r>
                    <w:rPr>
                      <w:rFonts w:hint="eastAsia"/>
                    </w:rPr>
                    <w:t xml:space="preserve"> </w:t>
                  </w:r>
                  <w:r>
                    <w:t>18597-20</w:t>
                  </w:r>
                  <w:r>
                    <w:rPr>
                      <w:rFonts w:hint="eastAsia"/>
                    </w:rPr>
                    <w:t>23</w:t>
                  </w:r>
                  <w:r>
                    <w:t>）要求建设，</w:t>
                  </w:r>
                  <w:r>
                    <w:rPr>
                      <w:rFonts w:hint="eastAsia"/>
                    </w:rPr>
                    <w:t>贮存的危险废物直接接触地面的，还应进行基础防渗，防渗层为至少1m厚黏土层（渗透系数不大于10</w:t>
                  </w:r>
                  <w:r>
                    <w:rPr>
                      <w:rFonts w:hint="eastAsia"/>
                      <w:vertAlign w:val="superscript"/>
                    </w:rPr>
                    <w:t>-7</w:t>
                  </w:r>
                  <w:r>
                    <w:rPr>
                      <w:rFonts w:hint="eastAsia"/>
                    </w:rPr>
                    <w:t>cm/s），或至少2mm厚高密度聚乙烯膜等人工防渗材料（渗透系数不大于10</w:t>
                  </w:r>
                  <w:r>
                    <w:rPr>
                      <w:rFonts w:hint="eastAsia"/>
                      <w:vertAlign w:val="superscript"/>
                    </w:rPr>
                    <w:t>-10</w:t>
                  </w:r>
                  <w:r>
                    <w:rPr>
                      <w:rFonts w:hint="eastAsia"/>
                    </w:rPr>
                    <w:t>cm/s），或其他防渗性能等效的材料</w:t>
                  </w:r>
                  <w:r>
                    <w:t>，并定期委托有资质单位清运处置。根据国内已规范化建设运行的废矿物油危废贮存间运行情况，其漏油发生概率极小。</w:t>
                  </w:r>
                </w:p>
                <w:p w14:paraId="744AB396">
                  <w:pPr>
                    <w:rPr>
                      <w:rFonts w:hint="eastAsia" w:ascii="宋体" w:hAnsi="宋体" w:cs="宋体"/>
                    </w:rPr>
                  </w:pPr>
                  <w:r>
                    <w:rPr>
                      <w:rFonts w:hint="eastAsia" w:ascii="宋体" w:hAnsi="宋体" w:cs="宋体"/>
                    </w:rPr>
                    <w:t>④废铅蓄电池如果运输或更换不当，可能会造成电解液的泄漏，电解液泄漏可能会对土壤和地下水造成影响，但正常情况下，只要按照操作规程来进行更换和运输贮存，泄漏的概率极低，因此对环境的影响极小。</w:t>
                  </w:r>
                </w:p>
                <w:p w14:paraId="02181C22">
                  <w:r>
                    <w:rPr>
                      <w:rFonts w:hint="eastAsia" w:ascii="宋体" w:hAnsi="宋体" w:cs="宋体"/>
                    </w:rPr>
                    <w:t>⑤</w:t>
                  </w:r>
                  <w:r>
                    <w:t>主变变压器油、废矿物油以及箱变变压器油等油品及其挥发的蒸汽本身属于低毒类物质，对附近工作人员生命安全不会产生急性毒害作用，在事故处理结束后一定时间内就会消除。在上述区域发生火灾燃烧事故后，对区域下风向的环境空气会造成一定的影响，事故发生后到结束前这一时段内污染程度最大，但在火灾燃烧事故结束后短时间内这种环境风险影响可基本消除。</w:t>
                  </w:r>
                </w:p>
              </w:tc>
            </w:tr>
            <w:tr w14:paraId="6EF3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09" w:type="pct"/>
                  <w:vAlign w:val="center"/>
                </w:tcPr>
                <w:p w14:paraId="480FA5F6">
                  <w:pPr>
                    <w:pStyle w:val="83"/>
                    <w:spacing w:before="24" w:after="24"/>
                  </w:pPr>
                  <w:r>
                    <w:t>风险防范措施</w:t>
                  </w:r>
                </w:p>
              </w:tc>
              <w:tc>
                <w:tcPr>
                  <w:tcW w:w="4091" w:type="pct"/>
                  <w:vAlign w:val="center"/>
                </w:tcPr>
                <w:p w14:paraId="4E6227DC">
                  <w:pPr>
                    <w:rPr>
                      <w:bCs/>
                    </w:rPr>
                  </w:pPr>
                  <w:r>
                    <w:rPr>
                      <w:rFonts w:hint="eastAsia" w:ascii="宋体" w:hAnsi="宋体" w:cs="宋体"/>
                    </w:rPr>
                    <w:t>①</w:t>
                  </w:r>
                  <w:r>
                    <w:rPr>
                      <w:bCs/>
                    </w:rPr>
                    <w:t>厂区总平面设计严格按照国家相关规范、标准和规定以及相关部门的要求进行设计。</w:t>
                  </w:r>
                </w:p>
                <w:p w14:paraId="4ED6D70D">
                  <w:pPr>
                    <w:rPr>
                      <w:bCs/>
                    </w:rPr>
                  </w:pPr>
                  <w:r>
                    <w:rPr>
                      <w:rFonts w:hint="eastAsia" w:ascii="宋体" w:hAnsi="宋体" w:cs="宋体"/>
                    </w:rPr>
                    <w:t>②</w:t>
                  </w:r>
                  <w:r>
                    <w:rPr>
                      <w:bCs/>
                    </w:rPr>
                    <w:t>升压站主变压器所在区域地面硬化处理，同时四周设置集油坑和事故油池；在每台箱变靠近油箱一侧设置事故集油坑；按照《火力发电厂与变电站设计防火标准》（GB</w:t>
                  </w:r>
                  <w:r>
                    <w:rPr>
                      <w:rFonts w:hint="eastAsia"/>
                      <w:bCs/>
                    </w:rPr>
                    <w:t xml:space="preserve"> </w:t>
                  </w:r>
                  <w:r>
                    <w:rPr>
                      <w:bCs/>
                    </w:rPr>
                    <w:t>50229-2019）</w:t>
                  </w:r>
                  <w:r>
                    <w:rPr>
                      <w:rFonts w:hint="eastAsia"/>
                      <w:bCs/>
                    </w:rPr>
                    <w:t>6.7.7，6.7.8，6.7.9，11.3.3等要求，户内及户外单台总油量为100kg以上的电气设备，应设置挡油设施及将事故油排至安全处的设施。挡油设施的容积宜按油量的20%设计</w:t>
                  </w:r>
                  <w:r>
                    <w:rPr>
                      <w:bCs/>
                    </w:rPr>
                    <w:t>的要求，</w:t>
                  </w:r>
                  <w:r>
                    <w:rPr>
                      <w:rFonts w:hint="eastAsia"/>
                      <w:bCs/>
                    </w:rPr>
                    <w:t>并且集油坑连接事故油池，事故油池能够容纳全部冷却油（冷却油量容积的1.0倍），并在集油坑等储油设施内铺设卵石层，厚度不小于250mm，卵石直径应为50-80mm，进行如上措施后，能够确保在事故发生时，足够容纳全部泄漏的事故油。采取了此措施后，能够有效地在事故发生时减少对环境的风险。</w:t>
                  </w:r>
                </w:p>
                <w:p w14:paraId="226DFF28">
                  <w:pPr>
                    <w:pStyle w:val="83"/>
                    <w:spacing w:before="24" w:after="24"/>
                    <w:jc w:val="both"/>
                    <w:rPr>
                      <w:bCs/>
                    </w:rPr>
                  </w:pPr>
                  <w:r>
                    <w:rPr>
                      <w:rFonts w:hint="eastAsia" w:hAnsi="宋体" w:cs="宋体"/>
                    </w:rPr>
                    <w:t>③</w:t>
                  </w:r>
                  <w:r>
                    <w:rPr>
                      <w:bCs/>
                    </w:rPr>
                    <w:t>建立报警系统，主变压器</w:t>
                  </w:r>
                  <w:r>
                    <w:rPr>
                      <w:rFonts w:hint="eastAsia"/>
                      <w:bCs/>
                    </w:rPr>
                    <w:t>设置</w:t>
                  </w:r>
                  <w:r>
                    <w:rPr>
                      <w:bCs/>
                    </w:rPr>
                    <w:t>专门摄像头，与监控设施联网，一旦发生主变事故漏油，监控人员便启动报警系统，实施既定环境风险应急预案，平时需加强设备保养、巡查和维修。</w:t>
                  </w:r>
                </w:p>
                <w:p w14:paraId="2D06F746">
                  <w:pPr>
                    <w:pStyle w:val="83"/>
                    <w:spacing w:before="24" w:after="24"/>
                    <w:jc w:val="both"/>
                    <w:rPr>
                      <w:bCs/>
                    </w:rPr>
                  </w:pPr>
                  <w:r>
                    <w:rPr>
                      <w:rFonts w:hint="eastAsia" w:hAnsi="宋体" w:cs="宋体"/>
                    </w:rPr>
                    <w:t>④</w:t>
                  </w:r>
                  <w:r>
                    <w:rPr>
                      <w:bCs/>
                    </w:rPr>
                    <w:t>升压站区内设置消防水事故水池，水池容量根据消防水量要求进行布置，具体可根据场地条件进行合理布设，但必须满足一次消防用水量容量要求。事故水池污水需经处理后回用，不能直接排入附近水体。</w:t>
                  </w:r>
                </w:p>
                <w:p w14:paraId="555420BE">
                  <w:pPr>
                    <w:rPr>
                      <w:bCs/>
                    </w:rPr>
                  </w:pPr>
                  <w:r>
                    <w:rPr>
                      <w:rFonts w:hint="eastAsia" w:ascii="宋体" w:hAnsi="宋体" w:cs="宋体"/>
                      <w:bCs/>
                    </w:rPr>
                    <w:t>⑤</w:t>
                  </w:r>
                  <w:r>
                    <w:rPr>
                      <w:bCs/>
                    </w:rPr>
                    <w:t>对厂区采取分区防渗措施，其中危险废物</w:t>
                  </w:r>
                  <w:r>
                    <w:rPr>
                      <w:rFonts w:hint="eastAsia"/>
                      <w:bCs/>
                    </w:rPr>
                    <w:t>贮存</w:t>
                  </w:r>
                  <w:r>
                    <w:rPr>
                      <w:bCs/>
                    </w:rPr>
                    <w:t>间严格按照《危险废物贮存污染控制标准》（GB 18597-2023）中要求进行防渗，贮存的危险废物直接接触地面的，还应进行基础防渗，防渗层为至少1m厚黏土层（渗透系数不大于10</w:t>
                  </w:r>
                  <w:r>
                    <w:rPr>
                      <w:bCs/>
                      <w:vertAlign w:val="superscript"/>
                    </w:rPr>
                    <w:t>-7</w:t>
                  </w:r>
                  <w:r>
                    <w:rPr>
                      <w:bCs/>
                    </w:rPr>
                    <w:t xml:space="preserve"> cm/s），或至少2 mm厚高密度聚乙烯膜等人工防渗材料（渗透系数不大于10</w:t>
                  </w:r>
                  <w:r>
                    <w:rPr>
                      <w:bCs/>
                      <w:vertAlign w:val="superscript"/>
                    </w:rPr>
                    <w:t>-10</w:t>
                  </w:r>
                  <w:r>
                    <w:rPr>
                      <w:bCs/>
                    </w:rPr>
                    <w:t xml:space="preserve"> cm/s），或其他防渗性能等效的材料。要求；事故油池、</w:t>
                  </w:r>
                  <w:r>
                    <w:t>集油坑、</w:t>
                  </w:r>
                  <w:r>
                    <w:rPr>
                      <w:bCs/>
                    </w:rPr>
                    <w:t>消防水池：按照《环境影响评价技术导则</w:t>
                  </w:r>
                  <w:r>
                    <w:rPr>
                      <w:rFonts w:hint="eastAsia"/>
                      <w:bCs/>
                    </w:rPr>
                    <w:t xml:space="preserve"> </w:t>
                  </w:r>
                  <w:r>
                    <w:rPr>
                      <w:bCs/>
                    </w:rPr>
                    <w:t>地下水环境》（HJ 610-2016）提出的重点防渗区防渗技术要求落实，采用钢筋混凝土结构，池底及四周池壁防渗混凝土为C30P8，</w:t>
                  </w:r>
                  <w:r>
                    <w:t>浇筑20cm进行硬化，</w:t>
                  </w:r>
                  <w:r>
                    <w:rPr>
                      <w:bCs/>
                    </w:rPr>
                    <w:t>防渗系数为0.261×10</w:t>
                  </w:r>
                  <w:r>
                    <w:rPr>
                      <w:bCs/>
                      <w:vertAlign w:val="superscript"/>
                    </w:rPr>
                    <w:t>-8</w:t>
                  </w:r>
                  <w:r>
                    <w:rPr>
                      <w:bCs/>
                    </w:rPr>
                    <w:t>cm/s，满足渗透系数≤1.0×10</w:t>
                  </w:r>
                  <w:r>
                    <w:rPr>
                      <w:bCs/>
                      <w:vertAlign w:val="superscript"/>
                    </w:rPr>
                    <w:t>-7</w:t>
                  </w:r>
                  <w:r>
                    <w:rPr>
                      <w:bCs/>
                    </w:rPr>
                    <w:t>cm/s。</w:t>
                  </w:r>
                  <w:r>
                    <w:t>确保事故油在存储的过程中不会渗漏</w:t>
                  </w:r>
                  <w:r>
                    <w:rPr>
                      <w:bCs/>
                    </w:rPr>
                    <w:t>；办公生活区、厂区道路等无明显潜在地下水污染源的区域进行简单防渗，进行一般地面硬化即可；地埋式一体化污水处理设施、化粪池、隔油池：按照《环境影响评价技术导则</w:t>
                  </w:r>
                  <w:r>
                    <w:rPr>
                      <w:rFonts w:hint="eastAsia"/>
                      <w:bCs/>
                    </w:rPr>
                    <w:t xml:space="preserve"> </w:t>
                  </w:r>
                  <w:r>
                    <w:rPr>
                      <w:bCs/>
                    </w:rPr>
                    <w:t>地下水环境》（HJ 610-2016）提出的一般防渗区防渗技术要求落实，即防渗层为等效黏土防渗层Mb≥1.5m，渗透系数K≤1.0×10</w:t>
                  </w:r>
                  <w:r>
                    <w:rPr>
                      <w:bCs/>
                      <w:vertAlign w:val="superscript"/>
                    </w:rPr>
                    <w:t>-7</w:t>
                  </w:r>
                  <w:r>
                    <w:rPr>
                      <w:bCs/>
                    </w:rPr>
                    <w:t>cm/s；施工期间加强工程监理和环境监理，提高防渗工程质量，做好照片、录像以及相关文字说明等存档资料。</w:t>
                  </w:r>
                </w:p>
                <w:p w14:paraId="67A5B1D4">
                  <w:r>
                    <w:rPr>
                      <w:rFonts w:hint="eastAsia"/>
                    </w:rPr>
                    <w:t>⑥</w:t>
                  </w:r>
                  <w:r>
                    <w:t>编制突发环境事件应急预案并报生态环境管理部门备案。按照应急预案储备应急物资、定期演练，加强管理，将风险降到最低。</w:t>
                  </w:r>
                </w:p>
                <w:p w14:paraId="20E96AAF">
                  <w:r>
                    <w:rPr>
                      <w:rFonts w:hint="eastAsia"/>
                    </w:rPr>
                    <w:t>⑦</w:t>
                  </w:r>
                  <w:r>
                    <w:t>加强对操作人员的岗位培训，建立健全的环保管理机制和各项环保规章制度，落实岗位环保责任制，</w:t>
                  </w:r>
                  <w:r>
                    <w:rPr>
                      <w:rFonts w:hint="eastAsia"/>
                      <w:lang w:eastAsia="zh-CN"/>
                    </w:rPr>
                    <w:t>加强环境风险防控</w:t>
                  </w:r>
                  <w:r>
                    <w:t>工作，防止事故排放导致环境问题。</w:t>
                  </w:r>
                </w:p>
                <w:p w14:paraId="12107BAA">
                  <w:r>
                    <w:rPr>
                      <w:rFonts w:hint="eastAsia" w:hAnsi="宋体"/>
                      <w:bCs/>
                    </w:rPr>
                    <w:t>⑧定期维护时，对集油坑、箱变事故池积水进行清理，保证集油坑、箱变事故池有足够容积。</w:t>
                  </w:r>
                </w:p>
              </w:tc>
            </w:tr>
          </w:tbl>
          <w:p w14:paraId="46FFA213">
            <w:pPr>
              <w:spacing w:line="360" w:lineRule="auto"/>
              <w:ind w:firstLine="480" w:firstLineChars="200"/>
              <w:rPr>
                <w:rFonts w:hint="eastAsia"/>
                <w:b/>
                <w:bCs/>
                <w:snapToGrid w:val="0"/>
                <w:kern w:val="0"/>
                <w:sz w:val="24"/>
                <w:lang w:bidi="ar"/>
              </w:rPr>
            </w:pPr>
            <w:r>
              <w:rPr>
                <w:rStyle w:val="224"/>
                <w:rFonts w:hint="eastAsia" w:hAnsi="宋体"/>
                <w:bCs/>
                <w:sz w:val="24"/>
              </w:rPr>
              <w:t>通过采取相应的工程措施，可以将本项目的风险降低到可接受水平。另外，通过制定风险事故应急预案，可以提高风险事故处置效率，最大限度地降低对环境和周边群众的危害，并将经济损失降至最低水平。本建项目拟采取的环境风险防范措施有效可行，项目环境风险可防控，总体环境风险小。</w:t>
            </w:r>
          </w:p>
          <w:p w14:paraId="0CC2B482">
            <w:pPr>
              <w:autoSpaceDE w:val="0"/>
              <w:autoSpaceDN w:val="0"/>
              <w:spacing w:line="360" w:lineRule="auto"/>
              <w:rPr>
                <w:b/>
                <w:bCs/>
                <w:snapToGrid w:val="0"/>
                <w:kern w:val="0"/>
                <w:sz w:val="24"/>
              </w:rPr>
            </w:pPr>
            <w:r>
              <w:rPr>
                <w:rFonts w:hint="eastAsia"/>
                <w:b/>
                <w:bCs/>
                <w:snapToGrid w:val="0"/>
                <w:kern w:val="0"/>
                <w:sz w:val="24"/>
              </w:rPr>
              <w:t>4.2.5 服务期满后的环境影响</w:t>
            </w:r>
          </w:p>
          <w:p w14:paraId="0CA8367D">
            <w:pPr>
              <w:snapToGrid w:val="0"/>
              <w:spacing w:line="360" w:lineRule="auto"/>
              <w:ind w:firstLine="480" w:firstLineChars="200"/>
              <w:rPr>
                <w:rStyle w:val="224"/>
                <w:rFonts w:hAnsi="宋体"/>
                <w:bCs/>
                <w:sz w:val="24"/>
              </w:rPr>
            </w:pPr>
            <w:r>
              <w:rPr>
                <w:rStyle w:val="224"/>
                <w:rFonts w:hAnsi="宋体"/>
                <w:bCs/>
                <w:sz w:val="24"/>
              </w:rPr>
              <w:t>退役拆除方案：电站服务期满后（</w:t>
            </w:r>
            <w:r>
              <w:rPr>
                <w:rStyle w:val="224"/>
                <w:bCs/>
                <w:sz w:val="24"/>
              </w:rPr>
              <w:t>25</w:t>
            </w:r>
            <w:r>
              <w:rPr>
                <w:rStyle w:val="224"/>
                <w:rFonts w:hAnsi="宋体"/>
                <w:bCs/>
                <w:sz w:val="24"/>
              </w:rPr>
              <w:t>年），若不准备再继续服务，需要全部拆除。光伏组件由</w:t>
            </w:r>
            <w:r>
              <w:rPr>
                <w:rFonts w:hint="eastAsia"/>
                <w:sz w:val="24"/>
              </w:rPr>
              <w:t>建设单位负责收集，规范处置</w:t>
            </w:r>
            <w:r>
              <w:rPr>
                <w:rStyle w:val="224"/>
                <w:rFonts w:hint="eastAsia" w:hAnsi="宋体"/>
                <w:bCs/>
                <w:sz w:val="24"/>
              </w:rPr>
              <w:t>；</w:t>
            </w:r>
            <w:r>
              <w:rPr>
                <w:rStyle w:val="224"/>
                <w:rFonts w:hAnsi="宋体"/>
                <w:bCs/>
                <w:sz w:val="24"/>
              </w:rPr>
              <w:t>组件支架等钢材由物资再生公司回收</w:t>
            </w:r>
            <w:r>
              <w:rPr>
                <w:rStyle w:val="224"/>
                <w:rFonts w:hint="eastAsia" w:hAnsi="宋体"/>
                <w:bCs/>
                <w:sz w:val="24"/>
              </w:rPr>
              <w:t>；</w:t>
            </w:r>
            <w:r>
              <w:rPr>
                <w:rStyle w:val="224"/>
                <w:rFonts w:hAnsi="宋体"/>
                <w:bCs/>
                <w:sz w:val="24"/>
              </w:rPr>
              <w:t>建（构）物及其基础拆除、清理</w:t>
            </w:r>
            <w:r>
              <w:rPr>
                <w:rStyle w:val="224"/>
                <w:rFonts w:hint="eastAsia" w:hAnsi="宋体"/>
                <w:bCs/>
                <w:sz w:val="24"/>
              </w:rPr>
              <w:t>；拆除和清理后的</w:t>
            </w:r>
            <w:r>
              <w:rPr>
                <w:rStyle w:val="224"/>
                <w:rFonts w:hAnsi="宋体"/>
                <w:bCs/>
                <w:sz w:val="24"/>
              </w:rPr>
              <w:t>地面由电站</w:t>
            </w:r>
            <w:r>
              <w:rPr>
                <w:rStyle w:val="224"/>
                <w:rFonts w:hint="eastAsia" w:hAnsi="宋体"/>
                <w:bCs/>
                <w:sz w:val="24"/>
              </w:rPr>
              <w:t>建设单位</w:t>
            </w:r>
            <w:r>
              <w:rPr>
                <w:rStyle w:val="224"/>
                <w:rFonts w:hAnsi="宋体"/>
                <w:bCs/>
                <w:sz w:val="24"/>
              </w:rPr>
              <w:t>负责恢复地面植被。</w:t>
            </w:r>
            <w:r>
              <w:rPr>
                <w:rFonts w:hAnsi="宋体"/>
                <w:bCs/>
                <w:sz w:val="24"/>
              </w:rPr>
              <w:t>拆除过程会对项目所在区生态环境产生一定影响。</w:t>
            </w:r>
          </w:p>
          <w:p w14:paraId="416AED7E">
            <w:pPr>
              <w:spacing w:line="360" w:lineRule="auto"/>
              <w:ind w:firstLine="482" w:firstLineChars="200"/>
              <w:rPr>
                <w:b/>
                <w:sz w:val="24"/>
              </w:rPr>
            </w:pPr>
            <w:r>
              <w:rPr>
                <w:rFonts w:hAnsi="宋体"/>
                <w:b/>
                <w:sz w:val="24"/>
              </w:rPr>
              <w:t>（</w:t>
            </w:r>
            <w:r>
              <w:rPr>
                <w:b/>
                <w:sz w:val="24"/>
              </w:rPr>
              <w:t>1</w:t>
            </w:r>
            <w:r>
              <w:rPr>
                <w:rFonts w:hAnsi="宋体"/>
                <w:b/>
                <w:sz w:val="24"/>
              </w:rPr>
              <w:t>）光伏组件的拆除</w:t>
            </w:r>
          </w:p>
          <w:p w14:paraId="79C08174">
            <w:pPr>
              <w:spacing w:line="360" w:lineRule="auto"/>
              <w:ind w:firstLine="480" w:firstLineChars="200"/>
              <w:rPr>
                <w:bCs/>
                <w:sz w:val="24"/>
              </w:rPr>
            </w:pPr>
            <w:r>
              <w:rPr>
                <w:rFonts w:hAnsi="宋体"/>
                <w:bCs/>
                <w:sz w:val="24"/>
              </w:rPr>
              <w:t>服务期满后，光伏组件需进行拆除。拆除后的废旧光伏组件</w:t>
            </w:r>
            <w:r>
              <w:rPr>
                <w:rFonts w:hint="eastAsia" w:hAnsi="宋体"/>
                <w:bCs/>
                <w:sz w:val="24"/>
              </w:rPr>
              <w:t>属于</w:t>
            </w:r>
            <w:r>
              <w:rPr>
                <w:rFonts w:hAnsi="宋体"/>
                <w:bCs/>
                <w:sz w:val="24"/>
              </w:rPr>
              <w:t>一般工业固体废物，不属于危险废物，由建设</w:t>
            </w:r>
            <w:r>
              <w:rPr>
                <w:rFonts w:hint="eastAsia" w:hAnsi="宋体"/>
                <w:bCs/>
                <w:sz w:val="24"/>
              </w:rPr>
              <w:t>或经营</w:t>
            </w:r>
            <w:r>
              <w:rPr>
                <w:rFonts w:hAnsi="宋体"/>
                <w:bCs/>
                <w:sz w:val="24"/>
              </w:rPr>
              <w:t>单位对报废电池板进行收集</w:t>
            </w:r>
            <w:r>
              <w:rPr>
                <w:rFonts w:hint="eastAsia" w:hAnsi="宋体"/>
                <w:bCs/>
                <w:sz w:val="24"/>
              </w:rPr>
              <w:t>，</w:t>
            </w:r>
            <w:r>
              <w:rPr>
                <w:rFonts w:hAnsi="宋体"/>
                <w:bCs/>
                <w:sz w:val="24"/>
              </w:rPr>
              <w:t>最终由生产厂家</w:t>
            </w:r>
            <w:r>
              <w:rPr>
                <w:rFonts w:hint="eastAsia" w:hAnsi="宋体"/>
                <w:bCs/>
                <w:sz w:val="24"/>
              </w:rPr>
              <w:t>回收</w:t>
            </w:r>
            <w:r>
              <w:rPr>
                <w:rFonts w:hAnsi="宋体"/>
                <w:bCs/>
                <w:sz w:val="24"/>
              </w:rPr>
              <w:t>处理，不得随意丢弃，因此对环境的影响较小。</w:t>
            </w:r>
          </w:p>
          <w:p w14:paraId="25F2F1D4">
            <w:pPr>
              <w:spacing w:line="360" w:lineRule="auto"/>
              <w:ind w:firstLine="482" w:firstLineChars="200"/>
              <w:rPr>
                <w:rFonts w:hAnsi="宋体"/>
                <w:b/>
                <w:sz w:val="24"/>
              </w:rPr>
            </w:pPr>
            <w:r>
              <w:rPr>
                <w:rFonts w:hAnsi="宋体"/>
                <w:b/>
                <w:sz w:val="24"/>
              </w:rPr>
              <w:t>（2）电气设备的拆除</w:t>
            </w:r>
          </w:p>
          <w:p w14:paraId="53DB73D8">
            <w:pPr>
              <w:spacing w:line="360" w:lineRule="auto"/>
              <w:ind w:firstLine="480" w:firstLineChars="200"/>
              <w:rPr>
                <w:bCs/>
                <w:sz w:val="24"/>
              </w:rPr>
            </w:pPr>
            <w:r>
              <w:rPr>
                <w:rFonts w:hAnsi="宋体"/>
                <w:bCs/>
                <w:sz w:val="24"/>
              </w:rPr>
              <w:t>电气设备主要为逆变器、箱式变压器、升压站主变压器等，电气</w:t>
            </w:r>
            <w:r>
              <w:rPr>
                <w:rFonts w:hint="eastAsia" w:hAnsi="宋体"/>
                <w:bCs/>
                <w:sz w:val="24"/>
              </w:rPr>
              <w:t>设备</w:t>
            </w:r>
            <w:r>
              <w:rPr>
                <w:rFonts w:hAnsi="宋体"/>
                <w:bCs/>
                <w:sz w:val="24"/>
              </w:rPr>
              <w:t>经过运营期的使用和维护，其损耗较小，</w:t>
            </w:r>
            <w:r>
              <w:rPr>
                <w:rFonts w:hint="eastAsia" w:hAnsi="宋体"/>
                <w:bCs/>
                <w:sz w:val="24"/>
              </w:rPr>
              <w:t>经过拆除后，</w:t>
            </w:r>
            <w:r>
              <w:rPr>
                <w:rFonts w:hAnsi="宋体"/>
                <w:bCs/>
                <w:sz w:val="24"/>
              </w:rPr>
              <w:t>可全部由设备生产商回收。</w:t>
            </w:r>
          </w:p>
          <w:p w14:paraId="47B85143">
            <w:pPr>
              <w:spacing w:line="360" w:lineRule="auto"/>
              <w:ind w:firstLine="482" w:firstLineChars="200"/>
              <w:rPr>
                <w:rFonts w:hAnsi="宋体"/>
                <w:b/>
                <w:sz w:val="24"/>
              </w:rPr>
            </w:pPr>
            <w:r>
              <w:rPr>
                <w:rFonts w:hAnsi="宋体"/>
                <w:b/>
                <w:sz w:val="24"/>
              </w:rPr>
              <w:t>（3）建（构）筑物的拆除</w:t>
            </w:r>
          </w:p>
          <w:p w14:paraId="3E3AC126">
            <w:pPr>
              <w:spacing w:line="360" w:lineRule="auto"/>
              <w:ind w:firstLine="480" w:firstLineChars="200"/>
              <w:rPr>
                <w:bCs/>
                <w:sz w:val="24"/>
              </w:rPr>
            </w:pPr>
            <w:r>
              <w:rPr>
                <w:rFonts w:hAnsi="宋体"/>
                <w:bCs/>
                <w:sz w:val="24"/>
              </w:rPr>
              <w:t>服务期满后对已建成的各类建（构）筑物进行全部拆除，以利于恢复原地表和植被。</w:t>
            </w:r>
            <w:r>
              <w:rPr>
                <w:rFonts w:hint="eastAsia" w:hAnsi="宋体"/>
                <w:bCs/>
                <w:sz w:val="24"/>
              </w:rPr>
              <w:t>本项目</w:t>
            </w:r>
            <w:r>
              <w:rPr>
                <w:rFonts w:hAnsi="宋体"/>
                <w:bCs/>
                <w:sz w:val="24"/>
              </w:rPr>
              <w:t>主要的建（构）筑物有光伏组件基础、升压站和配电室等建筑和设施，大部分为混凝土等结构的建筑。拆除后的建筑垃圾应按照环卫部门的要求运至指定建筑垃圾处理场。</w:t>
            </w:r>
          </w:p>
          <w:p w14:paraId="46BD516E">
            <w:pPr>
              <w:spacing w:line="360" w:lineRule="auto"/>
              <w:ind w:firstLine="482" w:firstLineChars="200"/>
              <w:rPr>
                <w:rFonts w:hAnsi="宋体"/>
                <w:b/>
                <w:sz w:val="24"/>
              </w:rPr>
            </w:pPr>
            <w:r>
              <w:rPr>
                <w:rFonts w:hAnsi="宋体"/>
                <w:b/>
                <w:sz w:val="24"/>
              </w:rPr>
              <w:t>（4）恢复措施</w:t>
            </w:r>
          </w:p>
          <w:p w14:paraId="33B0455E">
            <w:pPr>
              <w:spacing w:line="360" w:lineRule="auto"/>
              <w:ind w:firstLine="480" w:firstLineChars="200"/>
              <w:rPr>
                <w:bCs/>
                <w:sz w:val="24"/>
              </w:rPr>
            </w:pPr>
            <w:r>
              <w:rPr>
                <w:rFonts w:hint="eastAsia" w:hAnsi="宋体"/>
                <w:bCs/>
                <w:sz w:val="24"/>
              </w:rPr>
              <w:t>本</w:t>
            </w:r>
            <w:r>
              <w:rPr>
                <w:rFonts w:hAnsi="宋体"/>
                <w:bCs/>
                <w:sz w:val="24"/>
              </w:rPr>
              <w:t>项目光伏发电站服务期满后拆除的生产区应进行生态恢复：</w:t>
            </w:r>
          </w:p>
          <w:p w14:paraId="4A36E309">
            <w:pPr>
              <w:spacing w:line="360" w:lineRule="auto"/>
              <w:ind w:firstLine="480" w:firstLineChars="200"/>
              <w:rPr>
                <w:bCs/>
                <w:sz w:val="24"/>
              </w:rPr>
            </w:pPr>
            <w:r>
              <w:rPr>
                <w:rFonts w:hAnsi="宋体"/>
                <w:bCs/>
                <w:sz w:val="24"/>
              </w:rPr>
              <w:t>①对场地</w:t>
            </w:r>
            <w:r>
              <w:rPr>
                <w:rFonts w:hint="eastAsia" w:hAnsi="宋体"/>
                <w:bCs/>
                <w:sz w:val="24"/>
              </w:rPr>
              <w:t>及临时用地</w:t>
            </w:r>
            <w:r>
              <w:rPr>
                <w:rFonts w:hAnsi="宋体"/>
                <w:bCs/>
                <w:sz w:val="24"/>
              </w:rPr>
              <w:t>进行植被恢复，恢复</w:t>
            </w:r>
            <w:r>
              <w:rPr>
                <w:rFonts w:hint="eastAsia" w:hAnsi="宋体"/>
                <w:bCs/>
                <w:sz w:val="24"/>
              </w:rPr>
              <w:t>原地貌</w:t>
            </w:r>
            <w:r>
              <w:rPr>
                <w:rFonts w:hAnsi="宋体"/>
                <w:bCs/>
                <w:sz w:val="24"/>
              </w:rPr>
              <w:t>；拆除过程中应</w:t>
            </w:r>
            <w:r>
              <w:rPr>
                <w:rFonts w:hint="eastAsia" w:hAnsi="宋体"/>
                <w:bCs/>
                <w:sz w:val="24"/>
              </w:rPr>
              <w:t>尽量减少</w:t>
            </w:r>
            <w:r>
              <w:rPr>
                <w:rFonts w:hAnsi="宋体"/>
                <w:bCs/>
                <w:sz w:val="24"/>
              </w:rPr>
              <w:t>对土地的扰动，场区原绿化土地保留。</w:t>
            </w:r>
          </w:p>
          <w:p w14:paraId="43771D57">
            <w:pPr>
              <w:spacing w:line="360" w:lineRule="auto"/>
              <w:ind w:firstLine="480" w:firstLineChars="200"/>
              <w:rPr>
                <w:rFonts w:hint="eastAsia" w:hAnsi="宋体"/>
                <w:bCs/>
                <w:sz w:val="24"/>
              </w:rPr>
            </w:pPr>
            <w:r>
              <w:rPr>
                <w:rFonts w:hAnsi="宋体"/>
                <w:bCs/>
                <w:sz w:val="24"/>
              </w:rPr>
              <w:t>②掘除光伏方阵区混凝土的基础部分</w:t>
            </w:r>
            <w:r>
              <w:rPr>
                <w:rFonts w:hint="eastAsia" w:hAnsi="宋体"/>
                <w:bCs/>
                <w:sz w:val="24"/>
              </w:rPr>
              <w:t>，</w:t>
            </w:r>
            <w:r>
              <w:rPr>
                <w:rFonts w:hAnsi="宋体"/>
                <w:bCs/>
                <w:sz w:val="24"/>
              </w:rPr>
              <w:t>场地进行恢复，覆土厚度</w:t>
            </w:r>
            <w:r>
              <w:rPr>
                <w:bCs/>
                <w:sz w:val="24"/>
              </w:rPr>
              <w:t>30cm</w:t>
            </w:r>
            <w:r>
              <w:rPr>
                <w:rFonts w:hAnsi="宋体"/>
                <w:bCs/>
                <w:sz w:val="24"/>
              </w:rPr>
              <w:t>，并将光伏方阵区侵蚀沟和低洼区域填土、平整，恢复后的场地则进行洒水和压实，以固结地表，防止产生扬尘和对土壤的风蚀，恢复</w:t>
            </w:r>
            <w:r>
              <w:rPr>
                <w:rFonts w:hint="eastAsia" w:hAnsi="宋体"/>
                <w:bCs/>
                <w:sz w:val="24"/>
              </w:rPr>
              <w:t>原地貌</w:t>
            </w:r>
            <w:r>
              <w:rPr>
                <w:rFonts w:hAnsi="宋体"/>
                <w:bCs/>
                <w:sz w:val="24"/>
              </w:rPr>
              <w:t>，对于</w:t>
            </w:r>
            <w:r>
              <w:rPr>
                <w:rFonts w:hint="eastAsia" w:hAnsi="宋体"/>
                <w:bCs/>
                <w:sz w:val="24"/>
              </w:rPr>
              <w:t>部分</w:t>
            </w:r>
            <w:r>
              <w:rPr>
                <w:rFonts w:hAnsi="宋体"/>
                <w:bCs/>
                <w:sz w:val="24"/>
              </w:rPr>
              <w:t>不能进行植被恢复的区域，进行平整压实，以减轻水土流失。</w:t>
            </w:r>
          </w:p>
          <w:p w14:paraId="132B6B97">
            <w:pPr>
              <w:spacing w:line="360" w:lineRule="auto"/>
              <w:ind w:firstLine="480" w:firstLineChars="200"/>
              <w:rPr>
                <w:rFonts w:hAnsi="宋体"/>
                <w:bCs/>
                <w:sz w:val="24"/>
              </w:rPr>
            </w:pPr>
            <w:r>
              <w:rPr>
                <w:rFonts w:hAnsi="宋体"/>
                <w:bCs/>
                <w:sz w:val="24"/>
              </w:rPr>
              <w:t>光伏电站在服务期满后，要严格采取固废处置及生态恢复的环保措施，确保无遗留环保问题</w:t>
            </w:r>
            <w:r>
              <w:rPr>
                <w:rFonts w:hint="eastAsia" w:hAnsi="宋体"/>
                <w:bCs/>
                <w:sz w:val="24"/>
              </w:rPr>
              <w:t>后再将占用的土地进行归还</w:t>
            </w:r>
            <w:r>
              <w:rPr>
                <w:rFonts w:hAnsi="宋体"/>
                <w:bCs/>
                <w:sz w:val="24"/>
              </w:rPr>
              <w:t>。光伏电站服务期满后对环境的影响较小。</w:t>
            </w:r>
          </w:p>
        </w:tc>
      </w:tr>
      <w:tr w14:paraId="2761A4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27" w:type="pct"/>
            <w:vAlign w:val="center"/>
          </w:tcPr>
          <w:p w14:paraId="45FF9CCB">
            <w:pPr>
              <w:widowControl/>
              <w:adjustRightInd w:val="0"/>
              <w:snapToGrid w:val="0"/>
              <w:jc w:val="center"/>
              <w:rPr>
                <w:bCs/>
                <w:snapToGrid w:val="0"/>
                <w:kern w:val="0"/>
                <w:sz w:val="24"/>
              </w:rPr>
            </w:pPr>
            <w:r>
              <w:rPr>
                <w:bCs/>
                <w:snapToGrid w:val="0"/>
                <w:kern w:val="0"/>
                <w:sz w:val="24"/>
              </w:rPr>
              <w:t>选址选线环境合理性分析</w:t>
            </w:r>
          </w:p>
        </w:tc>
        <w:tc>
          <w:tcPr>
            <w:tcW w:w="4772" w:type="pct"/>
          </w:tcPr>
          <w:p w14:paraId="3B862D8E">
            <w:pPr>
              <w:autoSpaceDE w:val="0"/>
              <w:autoSpaceDN w:val="0"/>
              <w:adjustRightInd w:val="0"/>
              <w:snapToGrid w:val="0"/>
              <w:spacing w:line="360" w:lineRule="auto"/>
              <w:jc w:val="left"/>
              <w:rPr>
                <w:rFonts w:hint="eastAsia"/>
                <w:b/>
                <w:sz w:val="24"/>
              </w:rPr>
            </w:pPr>
            <w:r>
              <w:rPr>
                <w:rFonts w:hint="eastAsia"/>
                <w:b/>
                <w:snapToGrid w:val="0"/>
                <w:kern w:val="0"/>
                <w:sz w:val="24"/>
              </w:rPr>
              <w:t xml:space="preserve">4.3 </w:t>
            </w:r>
            <w:r>
              <w:rPr>
                <w:b/>
                <w:snapToGrid w:val="0"/>
                <w:kern w:val="0"/>
                <w:sz w:val="24"/>
              </w:rPr>
              <w:t>选址选线环境合理性分析</w:t>
            </w:r>
          </w:p>
          <w:p w14:paraId="6300E100">
            <w:pPr>
              <w:autoSpaceDE w:val="0"/>
              <w:autoSpaceDN w:val="0"/>
              <w:adjustRightInd w:val="0"/>
              <w:snapToGrid w:val="0"/>
              <w:spacing w:line="360" w:lineRule="auto"/>
              <w:rPr>
                <w:b/>
                <w:sz w:val="24"/>
              </w:rPr>
            </w:pPr>
            <w:r>
              <w:rPr>
                <w:rFonts w:hint="eastAsia"/>
                <w:b/>
                <w:sz w:val="24"/>
              </w:rPr>
              <w:t xml:space="preserve">4.3.1 </w:t>
            </w:r>
            <w:r>
              <w:rPr>
                <w:rFonts w:hint="eastAsia" w:ascii="宋体" w:cs="宋体"/>
                <w:b/>
                <w:sz w:val="24"/>
                <w:szCs w:val="24"/>
              </w:rPr>
              <w:t>工程选址合理性分析</w:t>
            </w:r>
          </w:p>
          <w:p w14:paraId="34AD8CDC">
            <w:pPr>
              <w:autoSpaceDE w:val="0"/>
              <w:autoSpaceDN w:val="0"/>
              <w:adjustRightInd w:val="0"/>
              <w:snapToGrid w:val="0"/>
              <w:spacing w:line="360" w:lineRule="auto"/>
              <w:ind w:firstLine="480" w:firstLineChars="200"/>
              <w:rPr>
                <w:bCs/>
                <w:sz w:val="24"/>
              </w:rPr>
            </w:pPr>
            <w:r>
              <w:rPr>
                <w:rFonts w:hint="eastAsia"/>
                <w:bCs/>
                <w:sz w:val="24"/>
              </w:rPr>
              <w:t>本项目建设区域太阳能资源达到丰富等级，适合进行太阳能资源的开发利用；项目区地质稳定，无活动性断裂通过，地基承载力满足设计要求，适合于项目光伏组件的布设。</w:t>
            </w:r>
          </w:p>
          <w:p w14:paraId="4C4A2DD3">
            <w:pPr>
              <w:autoSpaceDE w:val="0"/>
              <w:autoSpaceDN w:val="0"/>
              <w:adjustRightInd w:val="0"/>
              <w:snapToGrid w:val="0"/>
              <w:spacing w:line="360" w:lineRule="auto"/>
              <w:rPr>
                <w:rFonts w:hint="eastAsia"/>
                <w:b/>
                <w:sz w:val="24"/>
              </w:rPr>
            </w:pPr>
            <w:r>
              <w:rPr>
                <w:rFonts w:hint="eastAsia"/>
                <w:b/>
                <w:sz w:val="24"/>
              </w:rPr>
              <w:t>4.3.2 政府主管部门意见分析</w:t>
            </w:r>
          </w:p>
          <w:p w14:paraId="2F46F2FF">
            <w:pPr>
              <w:spacing w:line="360" w:lineRule="auto"/>
              <w:ind w:firstLine="480"/>
              <w:rPr>
                <w:snapToGrid w:val="0"/>
                <w:kern w:val="0"/>
                <w:sz w:val="24"/>
              </w:rPr>
            </w:pPr>
            <w:r>
              <w:rPr>
                <w:rFonts w:hint="eastAsia"/>
                <w:bCs/>
                <w:sz w:val="24"/>
              </w:rPr>
              <w:t>项目已经取得会泽县自然资源局、水务局、林业和草原局、曲靖市生态环境局会泽分局等行政主管部门选址意见，</w:t>
            </w:r>
            <w:r>
              <w:rPr>
                <w:rFonts w:hint="eastAsia"/>
                <w:snapToGrid w:val="0"/>
                <w:kern w:val="0"/>
                <w:sz w:val="24"/>
              </w:rPr>
              <w:t>项目不占用自然</w:t>
            </w:r>
            <w:r>
              <w:rPr>
                <w:snapToGrid w:val="0"/>
                <w:kern w:val="0"/>
                <w:sz w:val="24"/>
              </w:rPr>
              <w:t>保护区、</w:t>
            </w:r>
            <w:r>
              <w:rPr>
                <w:rFonts w:hint="eastAsia"/>
                <w:snapToGrid w:val="0"/>
                <w:kern w:val="0"/>
                <w:sz w:val="24"/>
              </w:rPr>
              <w:t>森林</w:t>
            </w:r>
            <w:r>
              <w:rPr>
                <w:snapToGrid w:val="0"/>
                <w:kern w:val="0"/>
                <w:sz w:val="24"/>
              </w:rPr>
              <w:t>公园</w:t>
            </w:r>
            <w:r>
              <w:rPr>
                <w:rFonts w:hint="eastAsia"/>
                <w:snapToGrid w:val="0"/>
                <w:kern w:val="0"/>
                <w:sz w:val="24"/>
              </w:rPr>
              <w:t>、</w:t>
            </w:r>
            <w:r>
              <w:rPr>
                <w:snapToGrid w:val="0"/>
                <w:kern w:val="0"/>
                <w:sz w:val="24"/>
              </w:rPr>
              <w:t>湿地公园</w:t>
            </w:r>
            <w:r>
              <w:rPr>
                <w:rFonts w:hint="eastAsia"/>
                <w:snapToGrid w:val="0"/>
                <w:kern w:val="0"/>
                <w:sz w:val="24"/>
              </w:rPr>
              <w:t>、</w:t>
            </w:r>
            <w:r>
              <w:rPr>
                <w:snapToGrid w:val="0"/>
                <w:kern w:val="0"/>
                <w:sz w:val="24"/>
              </w:rPr>
              <w:t>风景名胜区</w:t>
            </w:r>
            <w:r>
              <w:rPr>
                <w:rFonts w:hint="eastAsia"/>
                <w:snapToGrid w:val="0"/>
                <w:kern w:val="0"/>
                <w:sz w:val="24"/>
              </w:rPr>
              <w:t>、生态保护红线等环境敏感区，无重大环境制约因素，均同意项目选址。</w:t>
            </w:r>
          </w:p>
          <w:p w14:paraId="56599DEF">
            <w:pPr>
              <w:autoSpaceDE w:val="0"/>
              <w:autoSpaceDN w:val="0"/>
              <w:adjustRightInd w:val="0"/>
              <w:snapToGrid w:val="0"/>
              <w:spacing w:line="360" w:lineRule="auto"/>
              <w:rPr>
                <w:rFonts w:hint="eastAsia"/>
                <w:b/>
                <w:sz w:val="24"/>
              </w:rPr>
            </w:pPr>
            <w:r>
              <w:rPr>
                <w:rFonts w:hint="eastAsia"/>
                <w:b/>
                <w:sz w:val="24"/>
              </w:rPr>
              <w:t>4.3.3 环境制约因素分析</w:t>
            </w:r>
          </w:p>
          <w:p w14:paraId="042862DE">
            <w:pPr>
              <w:spacing w:line="360" w:lineRule="auto"/>
              <w:ind w:firstLine="480" w:firstLineChars="200"/>
              <w:rPr>
                <w:bCs/>
                <w:sz w:val="24"/>
              </w:rPr>
            </w:pPr>
            <w:r>
              <w:rPr>
                <w:rFonts w:hint="eastAsia"/>
                <w:bCs/>
                <w:sz w:val="24"/>
              </w:rPr>
              <w:t>项目选址充分考虑了国家相关用地政策、光伏规划、环保要求，在多次的选址比选过程中，优先避让环境制约因素如生态保护红线、永久基本农田等，在目前的选址中不涉及生态保护红线、自然保护区、风景名胜区等环境敏感区域。施工期施工噪声通过合理的措施降低施工噪声，可以将施工期机械噪声对附近居民的生活影响降低到可以接受的范围内，工程运营期基本不产生噪声，建设地区没有制约工程建设的重要经济对象和敏感对象。项目占地区域无珍稀濒危植物，使用地区植被覆盖率较低，根据查询结果，大部分为草地，对生态环境不敏感，因此项目选址合理。</w:t>
            </w:r>
          </w:p>
          <w:p w14:paraId="7F6021A5">
            <w:pPr>
              <w:autoSpaceDE w:val="0"/>
              <w:autoSpaceDN w:val="0"/>
              <w:adjustRightInd w:val="0"/>
              <w:snapToGrid w:val="0"/>
              <w:spacing w:line="360" w:lineRule="auto"/>
              <w:rPr>
                <w:rFonts w:hint="eastAsia"/>
                <w:b/>
                <w:sz w:val="24"/>
              </w:rPr>
            </w:pPr>
            <w:r>
              <w:rPr>
                <w:rFonts w:hint="eastAsia"/>
                <w:b/>
                <w:sz w:val="24"/>
              </w:rPr>
              <w:t>4.3.4 环境影响程度分析</w:t>
            </w:r>
          </w:p>
          <w:p w14:paraId="72FE1043">
            <w:pPr>
              <w:topLinePunct/>
              <w:adjustRightInd w:val="0"/>
              <w:snapToGrid w:val="0"/>
              <w:spacing w:line="360" w:lineRule="auto"/>
              <w:ind w:firstLine="480" w:firstLineChars="200"/>
              <w:rPr>
                <w:sz w:val="24"/>
              </w:rPr>
            </w:pPr>
            <w:r>
              <w:rPr>
                <w:sz w:val="24"/>
              </w:rPr>
              <w:t>项目施工期加强对施工现场的管理，严格执行当地的环境保护及环评报告要求，在采取有效的防护措施后，可最大限度地降低施工期间对周围环境的影响。</w:t>
            </w:r>
          </w:p>
          <w:p w14:paraId="34B45A24">
            <w:pPr>
              <w:topLinePunct/>
              <w:adjustRightInd w:val="0"/>
              <w:snapToGrid w:val="0"/>
              <w:spacing w:line="360" w:lineRule="auto"/>
              <w:ind w:firstLine="480" w:firstLineChars="200"/>
              <w:rPr>
                <w:sz w:val="24"/>
              </w:rPr>
            </w:pPr>
            <w:r>
              <w:rPr>
                <w:sz w:val="24"/>
              </w:rPr>
              <w:t>项目</w:t>
            </w:r>
            <w:r>
              <w:rPr>
                <w:rFonts w:hint="eastAsia"/>
                <w:sz w:val="24"/>
              </w:rPr>
              <w:t>运营期</w:t>
            </w:r>
            <w:r>
              <w:rPr>
                <w:sz w:val="24"/>
              </w:rPr>
              <w:t>，光伏板清洗水散排至光伏板下草地；</w:t>
            </w:r>
            <w:r>
              <w:rPr>
                <w:rFonts w:hint="eastAsia"/>
                <w:sz w:val="24"/>
              </w:rPr>
              <w:t>以礼河三级电站</w:t>
            </w:r>
            <w:r>
              <w:rPr>
                <w:sz w:val="24"/>
              </w:rPr>
              <w:t>生活废水经隔油池、生活污水一体化处理系统处理后回用于绿化；项目场区</w:t>
            </w:r>
            <w:r>
              <w:rPr>
                <w:rFonts w:hint="eastAsia"/>
                <w:sz w:val="24"/>
              </w:rPr>
              <w:t>、以礼河三级电站厂区厂</w:t>
            </w:r>
            <w:r>
              <w:rPr>
                <w:sz w:val="24"/>
              </w:rPr>
              <w:t>界噪声满足《工业企业厂界环境噪声排放标准》（GB 12348-2008）Ⅰ类标准限值要求，</w:t>
            </w:r>
            <w:r>
              <w:rPr>
                <w:rFonts w:hint="eastAsia"/>
                <w:sz w:val="24"/>
              </w:rPr>
              <w:t>调查</w:t>
            </w:r>
            <w:r>
              <w:rPr>
                <w:sz w:val="24"/>
              </w:rPr>
              <w:t>范围内噪声敏感目标周围声环境能够满足《声环境质量标准》（GB 3096-2008）Ⅰ类标准限值要求；生活垃圾</w:t>
            </w:r>
            <w:r>
              <w:rPr>
                <w:rFonts w:hint="eastAsia"/>
                <w:sz w:val="24"/>
              </w:rPr>
              <w:t>依托以礼河电场处理</w:t>
            </w:r>
            <w:r>
              <w:rPr>
                <w:sz w:val="24"/>
              </w:rPr>
              <w:t>；废旧光伏组件收集暂存后由生产厂家统一回收处置；废矿物油、废铅蓄电池</w:t>
            </w:r>
            <w:r>
              <w:rPr>
                <w:rFonts w:hint="eastAsia"/>
                <w:sz w:val="24"/>
              </w:rPr>
              <w:t>、含油抹布</w:t>
            </w:r>
            <w:r>
              <w:rPr>
                <w:sz w:val="24"/>
              </w:rPr>
              <w:t>等危险废物统一在危废贮存间分类暂存，委托有资质的单位统一处理处置。</w:t>
            </w:r>
          </w:p>
          <w:p w14:paraId="11155CB1">
            <w:pPr>
              <w:spacing w:line="360" w:lineRule="auto"/>
              <w:ind w:firstLine="480" w:firstLineChars="200"/>
              <w:rPr>
                <w:rFonts w:hint="eastAsia" w:ascii="宋体"/>
                <w:sz w:val="24"/>
              </w:rPr>
            </w:pPr>
            <w:r>
              <w:rPr>
                <w:rFonts w:hint="eastAsia" w:ascii="宋体"/>
                <w:sz w:val="24"/>
              </w:rPr>
              <w:t>运营期通过采用严格、完善的管理手段和预防措施后，环境风险是可以接受的。综上所述，本项目不存在环境制约因素，污染物均能达标</w:t>
            </w:r>
            <w:r>
              <w:rPr>
                <w:rFonts w:hint="eastAsia"/>
              </w:rPr>
              <w:t>排</w:t>
            </w:r>
            <w:r>
              <w:rPr>
                <w:rFonts w:hint="eastAsia" w:ascii="宋体"/>
                <w:sz w:val="24"/>
              </w:rPr>
              <w:t>放。从环境保护的角度分析，本项目的选址是合理的。</w:t>
            </w:r>
          </w:p>
          <w:p w14:paraId="511D9A32">
            <w:pPr>
              <w:autoSpaceDE w:val="0"/>
              <w:autoSpaceDN w:val="0"/>
              <w:adjustRightInd w:val="0"/>
              <w:snapToGrid w:val="0"/>
              <w:spacing w:line="360" w:lineRule="auto"/>
              <w:rPr>
                <w:rFonts w:hint="eastAsia"/>
                <w:b/>
                <w:sz w:val="24"/>
              </w:rPr>
            </w:pPr>
            <w:r>
              <w:rPr>
                <w:rFonts w:hint="eastAsia"/>
                <w:b/>
                <w:sz w:val="24"/>
              </w:rPr>
              <w:t>4.3.5 光伏区平面布置合理性分析</w:t>
            </w:r>
          </w:p>
          <w:p w14:paraId="27BB657E">
            <w:pPr>
              <w:pStyle w:val="212"/>
              <w:ind w:firstLine="480"/>
              <w:rPr>
                <w:rFonts w:hint="eastAsia"/>
                <w:szCs w:val="24"/>
                <w:lang w:val="en-US"/>
              </w:rPr>
            </w:pPr>
            <w:r>
              <w:rPr>
                <w:rFonts w:hint="eastAsia"/>
                <w:szCs w:val="24"/>
                <w:lang w:val="en-US"/>
              </w:rPr>
              <w:t>光伏场址内由西北向东南共布置</w:t>
            </w:r>
            <w:r>
              <w:rPr>
                <w:szCs w:val="24"/>
                <w:lang w:val="en-US"/>
              </w:rPr>
              <w:t>21</w:t>
            </w:r>
            <w:r>
              <w:rPr>
                <w:rFonts w:hint="eastAsia"/>
                <w:szCs w:val="24"/>
                <w:lang w:val="en-US"/>
              </w:rPr>
              <w:t>个光伏方阵，本项目的布置综合考虑了工程特性及地形条件，</w:t>
            </w:r>
            <w:r>
              <w:rPr>
                <w:rFonts w:hint="eastAsia"/>
                <w:snapToGrid w:val="0"/>
                <w:kern w:val="0"/>
              </w:rPr>
              <w:t>光伏阵列区、集电线路和改扩建道路涉及云南省生物多样性优先保护区的“滇东北乌蒙山湿润常绿阔叶林区”。拟建项目占用暖温性杂草草丛74.75hm</w:t>
            </w:r>
            <w:r>
              <w:rPr>
                <w:rFonts w:hint="eastAsia"/>
                <w:snapToGrid w:val="0"/>
                <w:kern w:val="0"/>
                <w:vertAlign w:val="superscript"/>
              </w:rPr>
              <w:t>2</w:t>
            </w:r>
            <w:r>
              <w:rPr>
                <w:rFonts w:hint="eastAsia"/>
                <w:snapToGrid w:val="0"/>
                <w:kern w:val="0"/>
              </w:rPr>
              <w:t>，其中涉及生物多样性优先保护区面积约22.35hm</w:t>
            </w:r>
            <w:r>
              <w:rPr>
                <w:rFonts w:hint="eastAsia"/>
                <w:snapToGrid w:val="0"/>
                <w:kern w:val="0"/>
                <w:vertAlign w:val="superscript"/>
              </w:rPr>
              <w:t>2</w:t>
            </w:r>
            <w:r>
              <w:rPr>
                <w:rFonts w:hint="eastAsia"/>
                <w:snapToGrid w:val="0"/>
                <w:kern w:val="0"/>
              </w:rPr>
              <w:t>，占用植被类型均为暖温性杂草草丛，占调查范围内该类型面积的3.57%，该类型受人为干扰影响较大，次生性强，生物多样性低，且不涉及占用其他自然植被，占用物种主要为羊茅、芒种花、野拔子、拔毒散、穗序野古草、野青茅等本土常见物种，不涉及国家级、云南省级重点保护野生动植物，无珍稀濒危物种等分布。另外，本项目的开发建设不涉及区内巧家五针松、攀枝花苏铁、朴菊木、林麝、云豹、白腹锦鸡等主要保护物种。综上，本项目建设对云南省生物多样性优先保护区的影响较小。</w:t>
            </w:r>
            <w:r>
              <w:rPr>
                <w:rFonts w:hint="eastAsia"/>
                <w:szCs w:val="24"/>
                <w:lang w:val="en-US"/>
              </w:rPr>
              <w:t>项目平面布置合理可行。</w:t>
            </w:r>
          </w:p>
          <w:p w14:paraId="4E37B5A9">
            <w:pPr>
              <w:autoSpaceDE w:val="0"/>
              <w:autoSpaceDN w:val="0"/>
              <w:adjustRightInd w:val="0"/>
              <w:snapToGrid w:val="0"/>
              <w:spacing w:line="360" w:lineRule="auto"/>
              <w:rPr>
                <w:rFonts w:hint="eastAsia"/>
                <w:b/>
                <w:sz w:val="24"/>
              </w:rPr>
            </w:pPr>
            <w:r>
              <w:rPr>
                <w:rFonts w:hint="eastAsia"/>
                <w:b/>
                <w:sz w:val="24"/>
              </w:rPr>
              <w:t xml:space="preserve">4.3.6 </w:t>
            </w:r>
            <w:r>
              <w:rPr>
                <w:b/>
                <w:bCs/>
                <w:kern w:val="0"/>
                <w:sz w:val="24"/>
              </w:rPr>
              <w:t>升压站站址</w:t>
            </w:r>
            <w:r>
              <w:rPr>
                <w:rFonts w:hint="eastAsia"/>
                <w:b/>
                <w:sz w:val="24"/>
              </w:rPr>
              <w:t>合理性分析</w:t>
            </w:r>
          </w:p>
          <w:p w14:paraId="2E23A986">
            <w:pPr>
              <w:pStyle w:val="212"/>
              <w:ind w:firstLine="480"/>
            </w:pPr>
            <w:r>
              <w:rPr>
                <w:rFonts w:hint="eastAsia"/>
              </w:rPr>
              <w:t>拟建升压站位于以礼河三级电站预留用地内，场址与外界有道路连接，交通相对便利。场址不涉及永久基本农田、生态保护红线、稳定耕地、一般耕地、饮用水源保护区、自然保护区、风景名胜区等敏感因素，升压站的布设结合站址的生态环境、地理位置、交通运输等条件，充分比较并优化了电气总平面布置方案，从而做到布局合理、出线顺畅、节约占地、减少土方等。综上，本项目升压站选址合理。</w:t>
            </w:r>
          </w:p>
          <w:p w14:paraId="5BE4C33D">
            <w:pPr>
              <w:autoSpaceDE w:val="0"/>
              <w:autoSpaceDN w:val="0"/>
              <w:adjustRightInd w:val="0"/>
              <w:snapToGrid w:val="0"/>
              <w:spacing w:line="360" w:lineRule="auto"/>
              <w:rPr>
                <w:rFonts w:hint="eastAsia"/>
                <w:b/>
                <w:sz w:val="24"/>
              </w:rPr>
            </w:pPr>
            <w:r>
              <w:rPr>
                <w:rFonts w:hint="eastAsia"/>
                <w:b/>
                <w:sz w:val="24"/>
              </w:rPr>
              <w:t>4.3.7 集电线路设计布置合理性分析</w:t>
            </w:r>
          </w:p>
          <w:p w14:paraId="6AAD35ED">
            <w:pPr>
              <w:pStyle w:val="212"/>
              <w:ind w:firstLine="480"/>
              <w:rPr>
                <w:rFonts w:hint="eastAsia"/>
              </w:rPr>
            </w:pPr>
            <w:r>
              <w:rPr>
                <w:rFonts w:hint="eastAsia"/>
              </w:rPr>
              <w:t>本项目以2回35kV集电线路接入新建110kV升压站。场区内集电线路采用架空线路、直埋电缆敷设两种方式，集电线路长度47.09km，其中架空路径约30.2km，电缆路径约16.9km，塔基90座。</w:t>
            </w:r>
          </w:p>
          <w:p w14:paraId="3E9D7AD1">
            <w:pPr>
              <w:spacing w:line="360" w:lineRule="auto"/>
              <w:ind w:firstLine="480" w:firstLineChars="200"/>
              <w:rPr>
                <w:rFonts w:hint="eastAsia"/>
                <w:sz w:val="24"/>
                <w:szCs w:val="22"/>
                <w:lang w:val="zh-CN"/>
              </w:rPr>
            </w:pPr>
            <w:bookmarkStart w:id="158" w:name="OLE_LINK55"/>
            <w:r>
              <w:rPr>
                <w:rFonts w:hint="eastAsia"/>
                <w:sz w:val="24"/>
                <w:szCs w:val="22"/>
                <w:lang w:val="zh-CN"/>
              </w:rPr>
              <w:t>受地形、土地利用及工程经济技术条件限制，本工程集电线路跨越金沙江下游-小江流域水土流失控制生态保护红线</w:t>
            </w:r>
            <w:bookmarkEnd w:id="158"/>
            <w:r>
              <w:rPr>
                <w:rFonts w:hint="eastAsia"/>
                <w:sz w:val="24"/>
                <w:szCs w:val="22"/>
                <w:lang w:val="zh-CN"/>
              </w:rPr>
              <w:t>和生物多样性优先保护区。直埋线路区不占用生态保护红线、永久基本农田等敏感因素，且均布置在现有道路沿线两侧不远处，避免额外的施工便道修建；架空线路塔基不占用生态保护红线、永久基本农田等敏感因素。扰动地表主要为地埋线路开挖区域和架空线路塔基修筑部分，主体设计考虑了表土剥离措施，施工过程中考虑新增临时覆盖、拦挡防护措施，主要考虑施工结束后，对该区扰动地表采取条播种草的方式恢复植被。因此，集电线路选线合理。</w:t>
            </w:r>
          </w:p>
          <w:p w14:paraId="2F588189">
            <w:pPr>
              <w:autoSpaceDE w:val="0"/>
              <w:autoSpaceDN w:val="0"/>
              <w:adjustRightInd w:val="0"/>
              <w:snapToGrid w:val="0"/>
              <w:spacing w:line="360" w:lineRule="auto"/>
              <w:rPr>
                <w:rFonts w:hint="eastAsia"/>
                <w:b/>
                <w:sz w:val="24"/>
              </w:rPr>
            </w:pPr>
            <w:r>
              <w:rPr>
                <w:rFonts w:hint="eastAsia"/>
                <w:b/>
                <w:sz w:val="24"/>
              </w:rPr>
              <w:t>4.3.8 道路选址选线合理性分析</w:t>
            </w:r>
          </w:p>
          <w:p w14:paraId="7449CDED">
            <w:pPr>
              <w:pStyle w:val="212"/>
              <w:ind w:firstLine="480"/>
              <w:rPr>
                <w:rFonts w:hint="eastAsia"/>
              </w:rPr>
            </w:pPr>
            <w:r>
              <w:rPr>
                <w:rFonts w:hint="eastAsia"/>
              </w:rPr>
              <w:t>本项目共布置15.87km场内道路，其中场内道路改扩建约13.99km，场内新建道路1.68km，进站道路0.2km。方阵区道路设置是基于区域现有土路布设，充分依托利用现有路径，减少新的开挖破坏；场内引接新建时，路径主要选择于地形较缓处沿等高线布设，并尽量以较短的路径兼顾各方阵，减小道路工程量及由此带来的植被破坏和水土流失等。</w:t>
            </w:r>
          </w:p>
          <w:p w14:paraId="59A370FB">
            <w:pPr>
              <w:pStyle w:val="212"/>
              <w:ind w:firstLine="480"/>
              <w:rPr>
                <w:rFonts w:hint="eastAsia"/>
              </w:rPr>
            </w:pPr>
            <w:r>
              <w:rPr>
                <w:rFonts w:hint="eastAsia"/>
              </w:rPr>
              <w:t>经核实，本项目道路工程不涉及自然保护区、风景名胜区、森林公园、饮用水水源保护区及生态保护红线等环境敏感区域。道路工程占地范围内自然条件较差，植物资源较少，现状植被主要是草地，植物均为周围环境常见种类，无国家级和地方重点保护野生植物分布，项目建设对当地植物资源的数量及利用方式产生影响小。因此，道路选址选线合理。</w:t>
            </w:r>
          </w:p>
          <w:p w14:paraId="28846695">
            <w:pPr>
              <w:autoSpaceDE w:val="0"/>
              <w:autoSpaceDN w:val="0"/>
              <w:adjustRightInd w:val="0"/>
              <w:snapToGrid w:val="0"/>
              <w:spacing w:line="360" w:lineRule="auto"/>
              <w:rPr>
                <w:rFonts w:hint="eastAsia"/>
                <w:b/>
                <w:sz w:val="24"/>
              </w:rPr>
            </w:pPr>
            <w:r>
              <w:rPr>
                <w:rFonts w:hint="eastAsia"/>
                <w:b/>
                <w:sz w:val="24"/>
              </w:rPr>
              <w:t>4.3.9 施工布置合理性分析</w:t>
            </w:r>
          </w:p>
          <w:p w14:paraId="5E162354">
            <w:pPr>
              <w:pStyle w:val="212"/>
              <w:ind w:firstLine="480"/>
              <w:rPr>
                <w:rFonts w:hint="eastAsia"/>
              </w:rPr>
            </w:pPr>
            <w:r>
              <w:rPr>
                <w:rFonts w:hint="eastAsia"/>
              </w:rPr>
              <w:t>项目不设置取土（石、砂）场和弃渣场，设置临时施工生产生活区，设置12个临时表土堆场，其中直埋电缆区、架空线路、施工生产生活区、升压站区各1个，道路工程区8个。</w:t>
            </w:r>
          </w:p>
          <w:p w14:paraId="3F41F984">
            <w:pPr>
              <w:pStyle w:val="212"/>
              <w:ind w:firstLine="480"/>
              <w:rPr>
                <w:rFonts w:hint="eastAsia"/>
              </w:rPr>
            </w:pPr>
            <w:r>
              <w:rPr>
                <w:rFonts w:hint="eastAsia"/>
              </w:rPr>
              <w:t>施工临时场地布置充分考虑了主体工程施工便利，同时兼顾了水土流失治理与防护，项目“三场”不新增占地，均位于光伏场区的红线范围内，施工场地就近有现有道路，只要落实报告表提出的各项环境保护措施的要求，就可最大限度的降低对环境的不利影响，因此项目“三场”布置合理。</w:t>
            </w:r>
          </w:p>
          <w:p w14:paraId="77F345B5">
            <w:pPr>
              <w:pStyle w:val="212"/>
              <w:ind w:firstLine="480"/>
              <w:rPr>
                <w:rFonts w:hint="eastAsia"/>
              </w:rPr>
            </w:pPr>
            <w:r>
              <w:rPr>
                <w:rFonts w:hint="eastAsia"/>
              </w:rPr>
              <w:t>综上所述，本项目选址合理。</w:t>
            </w:r>
          </w:p>
        </w:tc>
      </w:tr>
    </w:tbl>
    <w:p w14:paraId="44C4F7F8">
      <w:pPr>
        <w:pStyle w:val="26"/>
        <w:jc w:val="both"/>
        <w:rPr>
          <w:rFonts w:ascii="Times New Roman" w:hAnsi="Times New Roman"/>
          <w:szCs w:val="24"/>
        </w:rPr>
        <w:sectPr>
          <w:pgSz w:w="11905" w:h="16838"/>
          <w:pgMar w:top="1531" w:right="1417" w:bottom="1531" w:left="1417" w:header="851" w:footer="1077" w:gutter="0"/>
          <w:pgBorders>
            <w:top w:val="none" w:sz="0" w:space="0"/>
            <w:left w:val="none" w:sz="0" w:space="0"/>
            <w:bottom w:val="none" w:sz="0" w:space="0"/>
            <w:right w:val="none" w:sz="0" w:space="0"/>
          </w:pgBorders>
          <w:cols w:space="720" w:num="1"/>
          <w:docGrid w:linePitch="312" w:charSpace="0"/>
        </w:sectPr>
      </w:pPr>
    </w:p>
    <w:p w14:paraId="33A29E5B">
      <w:pPr>
        <w:pStyle w:val="26"/>
        <w:spacing w:before="0" w:beforeAutospacing="0" w:after="0" w:afterAutospacing="0" w:line="360" w:lineRule="auto"/>
        <w:jc w:val="center"/>
        <w:outlineLvl w:val="0"/>
        <w:rPr>
          <w:rFonts w:hint="eastAsia" w:ascii="黑体" w:hAnsi="黑体" w:eastAsia="黑体"/>
          <w:snapToGrid w:val="0"/>
          <w:sz w:val="30"/>
          <w:szCs w:val="30"/>
        </w:rPr>
      </w:pPr>
      <w:bookmarkStart w:id="159" w:name="_Toc1726"/>
      <w:bookmarkStart w:id="160" w:name="_Toc10082"/>
      <w:bookmarkStart w:id="161" w:name="_Toc233036184"/>
      <w:bookmarkStart w:id="162" w:name="_Toc116995653"/>
      <w:bookmarkStart w:id="163" w:name="_Toc24117"/>
      <w:bookmarkStart w:id="164" w:name="_Toc231571704"/>
      <w:bookmarkStart w:id="165" w:name="_Toc122040750"/>
      <w:r>
        <w:rPr>
          <w:rFonts w:hint="eastAsia" w:ascii="黑体" w:hAnsi="黑体" w:eastAsia="黑体"/>
          <w:snapToGrid w:val="0"/>
          <w:sz w:val="30"/>
          <w:szCs w:val="30"/>
        </w:rPr>
        <w:t>五、主要生态环境保护措施</w:t>
      </w:r>
      <w:bookmarkEnd w:id="159"/>
      <w:bookmarkEnd w:id="160"/>
      <w:bookmarkEnd w:id="161"/>
      <w:bookmarkEnd w:id="162"/>
      <w:bookmarkEnd w:id="163"/>
      <w:bookmarkEnd w:id="164"/>
      <w:bookmarkEnd w:id="165"/>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05"/>
        <w:gridCol w:w="8802"/>
      </w:tblGrid>
      <w:tr w14:paraId="2C250A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20" w:type="pct"/>
            <w:noWrap/>
            <w:tcMar>
              <w:left w:w="28" w:type="dxa"/>
              <w:right w:w="28" w:type="dxa"/>
            </w:tcMar>
            <w:vAlign w:val="center"/>
          </w:tcPr>
          <w:p w14:paraId="65A6B13F">
            <w:pPr>
              <w:adjustRightInd w:val="0"/>
              <w:snapToGrid w:val="0"/>
              <w:jc w:val="center"/>
              <w:rPr>
                <w:rFonts w:ascii="宋体" w:hAnsi="宋体"/>
                <w:bCs/>
                <w:sz w:val="24"/>
              </w:rPr>
            </w:pPr>
            <w:r>
              <w:rPr>
                <w:rFonts w:hint="eastAsia" w:ascii="宋体" w:hAnsi="宋体" w:cs="宋体"/>
                <w:bCs/>
                <w:spacing w:val="10"/>
                <w:sz w:val="24"/>
              </w:rPr>
              <w:t>施工期生态环境保护措施</w:t>
            </w:r>
          </w:p>
        </w:tc>
        <w:tc>
          <w:tcPr>
            <w:tcW w:w="4779" w:type="pct"/>
            <w:noWrap/>
          </w:tcPr>
          <w:p w14:paraId="74834E35">
            <w:pPr>
              <w:overflowPunct w:val="0"/>
              <w:topLinePunct/>
              <w:autoSpaceDE w:val="0"/>
              <w:autoSpaceDN w:val="0"/>
              <w:spacing w:line="360" w:lineRule="auto"/>
              <w:rPr>
                <w:b/>
                <w:snapToGrid w:val="0"/>
                <w:kern w:val="0"/>
                <w:sz w:val="24"/>
              </w:rPr>
            </w:pPr>
            <w:r>
              <w:rPr>
                <w:b/>
                <w:spacing w:val="10"/>
                <w:sz w:val="24"/>
              </w:rPr>
              <w:t>5.1</w:t>
            </w:r>
            <w:r>
              <w:rPr>
                <w:rFonts w:hint="eastAsia"/>
                <w:b/>
                <w:spacing w:val="10"/>
                <w:sz w:val="24"/>
              </w:rPr>
              <w:t xml:space="preserve"> </w:t>
            </w:r>
            <w:r>
              <w:rPr>
                <w:b/>
                <w:spacing w:val="10"/>
                <w:sz w:val="24"/>
              </w:rPr>
              <w:t>施工期生态环境保护措施</w:t>
            </w:r>
          </w:p>
          <w:p w14:paraId="4BB2D7E7">
            <w:pPr>
              <w:overflowPunct w:val="0"/>
              <w:topLinePunct/>
              <w:autoSpaceDE w:val="0"/>
              <w:autoSpaceDN w:val="0"/>
              <w:spacing w:line="360" w:lineRule="auto"/>
              <w:rPr>
                <w:rFonts w:hint="eastAsia"/>
                <w:b/>
                <w:bCs/>
                <w:snapToGrid w:val="0"/>
                <w:kern w:val="0"/>
                <w:sz w:val="24"/>
              </w:rPr>
            </w:pPr>
            <w:r>
              <w:rPr>
                <w:rFonts w:hint="eastAsia"/>
                <w:b/>
                <w:bCs/>
                <w:snapToGrid w:val="0"/>
                <w:kern w:val="0"/>
                <w:sz w:val="24"/>
              </w:rPr>
              <w:t>5.1.1 生态保护对策措施</w:t>
            </w:r>
          </w:p>
          <w:p w14:paraId="251A4112">
            <w:pPr>
              <w:overflowPunct w:val="0"/>
              <w:topLinePunct/>
              <w:autoSpaceDE w:val="0"/>
              <w:autoSpaceDN w:val="0"/>
              <w:spacing w:line="360" w:lineRule="auto"/>
              <w:ind w:firstLine="482" w:firstLineChars="200"/>
              <w:rPr>
                <w:rFonts w:hint="eastAsia"/>
                <w:b/>
                <w:bCs/>
                <w:snapToGrid w:val="0"/>
                <w:kern w:val="0"/>
                <w:sz w:val="24"/>
              </w:rPr>
            </w:pPr>
            <w:bookmarkStart w:id="166" w:name="_Toc146500921"/>
            <w:r>
              <w:rPr>
                <w:rFonts w:hint="eastAsia"/>
                <w:b/>
                <w:bCs/>
                <w:snapToGrid w:val="0"/>
                <w:kern w:val="0"/>
                <w:sz w:val="24"/>
              </w:rPr>
              <w:t>（1）施工避让</w:t>
            </w:r>
          </w:p>
          <w:p w14:paraId="6E3A4F6C">
            <w:pPr>
              <w:autoSpaceDE w:val="0"/>
              <w:autoSpaceDN w:val="0"/>
              <w:adjustRightInd w:val="0"/>
              <w:spacing w:line="360" w:lineRule="auto"/>
              <w:ind w:firstLine="480" w:firstLineChars="200"/>
              <w:rPr>
                <w:kern w:val="0"/>
                <w:sz w:val="24"/>
              </w:rPr>
            </w:pPr>
            <w:r>
              <w:rPr>
                <w:kern w:val="0"/>
                <w:sz w:val="24"/>
              </w:rPr>
              <w:t>工程施工区无珍稀</w:t>
            </w:r>
            <w:r>
              <w:rPr>
                <w:rFonts w:hint="eastAsia"/>
                <w:kern w:val="0"/>
                <w:sz w:val="24"/>
              </w:rPr>
              <w:t>保护</w:t>
            </w:r>
            <w:r>
              <w:rPr>
                <w:kern w:val="0"/>
                <w:sz w:val="24"/>
              </w:rPr>
              <w:t>植物和生态敏感目标，但在施工工程中，应严格控制施工范围，禁止超范</w:t>
            </w:r>
            <w:r>
              <w:rPr>
                <w:rFonts w:hint="eastAsia"/>
                <w:kern w:val="0"/>
                <w:sz w:val="24"/>
              </w:rPr>
              <w:t>围和</w:t>
            </w:r>
            <w:r>
              <w:rPr>
                <w:kern w:val="0"/>
                <w:sz w:val="24"/>
              </w:rPr>
              <w:t>超计划毁坏植物和植被，保护植物的生境条件，注意防止外来物种的入侵</w:t>
            </w:r>
            <w:r>
              <w:rPr>
                <w:rFonts w:hint="eastAsia"/>
                <w:kern w:val="0"/>
                <w:sz w:val="24"/>
              </w:rPr>
              <w:t>，</w:t>
            </w:r>
            <w:r>
              <w:rPr>
                <w:kern w:val="0"/>
                <w:sz w:val="24"/>
              </w:rPr>
              <w:t>有效保护生态环境和物种资源。</w:t>
            </w:r>
          </w:p>
          <w:p w14:paraId="5E307B38">
            <w:pPr>
              <w:autoSpaceDE w:val="0"/>
              <w:autoSpaceDN w:val="0"/>
              <w:adjustRightInd w:val="0"/>
              <w:spacing w:line="360" w:lineRule="auto"/>
              <w:ind w:firstLine="480" w:firstLineChars="200"/>
              <w:rPr>
                <w:kern w:val="0"/>
                <w:sz w:val="24"/>
              </w:rPr>
            </w:pPr>
            <w:r>
              <w:rPr>
                <w:kern w:val="0"/>
                <w:sz w:val="24"/>
              </w:rPr>
              <w:t>施工人员在施工过程中尽量避开长势良好的植物，要制定生态环境管理体系，通过管理规定和制度化，禁止施工人员捕杀野生动物、砍伐树木，禁止到非施工区活动，施工区外严禁烟火，以杜绝施工人员对施工区和</w:t>
            </w:r>
            <w:r>
              <w:rPr>
                <w:rFonts w:hint="eastAsia"/>
                <w:kern w:val="0"/>
                <w:sz w:val="24"/>
              </w:rPr>
              <w:t>其他地区</w:t>
            </w:r>
            <w:r>
              <w:rPr>
                <w:kern w:val="0"/>
                <w:sz w:val="24"/>
              </w:rPr>
              <w:t>植物的破坏，减轻工程施工对野生生物的影响。</w:t>
            </w:r>
          </w:p>
          <w:p w14:paraId="21531393">
            <w:pPr>
              <w:autoSpaceDE w:val="0"/>
              <w:autoSpaceDN w:val="0"/>
              <w:adjustRightInd w:val="0"/>
              <w:spacing w:line="360" w:lineRule="auto"/>
              <w:ind w:firstLine="480" w:firstLineChars="200"/>
              <w:rPr>
                <w:kern w:val="0"/>
                <w:sz w:val="24"/>
              </w:rPr>
            </w:pPr>
            <w:bookmarkStart w:id="167" w:name="_Hlk216990550"/>
            <w:r>
              <w:rPr>
                <w:kern w:val="0"/>
                <w:sz w:val="24"/>
              </w:rPr>
              <w:t>在施工中尽量减少对动物栖息地生境的破坏，特别是对树木的砍伐</w:t>
            </w:r>
            <w:r>
              <w:rPr>
                <w:rFonts w:hint="eastAsia"/>
                <w:kern w:val="0"/>
                <w:sz w:val="24"/>
              </w:rPr>
              <w:t>；在</w:t>
            </w:r>
            <w:r>
              <w:rPr>
                <w:kern w:val="0"/>
                <w:sz w:val="24"/>
              </w:rPr>
              <w:t>工程施工中减少</w:t>
            </w:r>
            <w:r>
              <w:rPr>
                <w:rFonts w:hint="eastAsia"/>
                <w:kern w:val="0"/>
                <w:sz w:val="24"/>
              </w:rPr>
              <w:t>对</w:t>
            </w:r>
            <w:r>
              <w:rPr>
                <w:kern w:val="0"/>
                <w:sz w:val="24"/>
              </w:rPr>
              <w:t>自然植被的破坏，尽可能维持原有的森林生态系统。尽可能增加动物生境的多样性，维持动物群落的结构。</w:t>
            </w:r>
          </w:p>
          <w:bookmarkEnd w:id="167"/>
          <w:p w14:paraId="5DEC89A3">
            <w:pPr>
              <w:overflowPunct w:val="0"/>
              <w:topLinePunct/>
              <w:autoSpaceDE w:val="0"/>
              <w:autoSpaceDN w:val="0"/>
              <w:spacing w:line="360" w:lineRule="auto"/>
              <w:ind w:firstLine="482" w:firstLineChars="200"/>
              <w:rPr>
                <w:rFonts w:hint="eastAsia"/>
                <w:b/>
                <w:bCs/>
                <w:snapToGrid w:val="0"/>
                <w:kern w:val="0"/>
                <w:sz w:val="24"/>
              </w:rPr>
            </w:pPr>
            <w:bookmarkStart w:id="168" w:name="_Toc11486_WPSOffice_Level3"/>
            <w:bookmarkEnd w:id="168"/>
            <w:r>
              <w:rPr>
                <w:rFonts w:hint="eastAsia"/>
                <w:b/>
                <w:bCs/>
                <w:snapToGrid w:val="0"/>
                <w:kern w:val="0"/>
                <w:sz w:val="24"/>
              </w:rPr>
              <w:t>（2）减缓措施</w:t>
            </w:r>
          </w:p>
          <w:p w14:paraId="5CA09EFA">
            <w:pPr>
              <w:autoSpaceDE w:val="0"/>
              <w:autoSpaceDN w:val="0"/>
              <w:spacing w:line="360" w:lineRule="auto"/>
              <w:ind w:firstLine="480" w:firstLineChars="200"/>
              <w:rPr>
                <w:kern w:val="0"/>
                <w:sz w:val="24"/>
              </w:rPr>
            </w:pPr>
            <w:r>
              <w:rPr>
                <w:rFonts w:hint="eastAsia"/>
                <w:kern w:val="0"/>
                <w:sz w:val="24"/>
              </w:rPr>
              <w:t>1）</w:t>
            </w:r>
            <w:r>
              <w:rPr>
                <w:kern w:val="0"/>
                <w:sz w:val="24"/>
              </w:rPr>
              <w:t>坚持</w:t>
            </w:r>
            <w:r>
              <w:rPr>
                <w:rFonts w:hint="eastAsia"/>
                <w:kern w:val="0"/>
                <w:sz w:val="24"/>
              </w:rPr>
              <w:t>“</w:t>
            </w:r>
            <w:r>
              <w:rPr>
                <w:kern w:val="0"/>
                <w:sz w:val="24"/>
              </w:rPr>
              <w:t>先防护，后施工</w:t>
            </w:r>
            <w:r>
              <w:rPr>
                <w:rFonts w:hint="eastAsia"/>
                <w:kern w:val="0"/>
                <w:sz w:val="24"/>
              </w:rPr>
              <w:t>”</w:t>
            </w:r>
            <w:r>
              <w:rPr>
                <w:kern w:val="0"/>
                <w:sz w:val="24"/>
              </w:rPr>
              <w:t>的原则，在施工生产生活区修建挡墙。</w:t>
            </w:r>
            <w:r>
              <w:rPr>
                <w:rFonts w:hint="eastAsia"/>
                <w:kern w:val="0"/>
                <w:sz w:val="24"/>
              </w:rPr>
              <w:t>设置环保宣传牌和保护动物警示牌。</w:t>
            </w:r>
          </w:p>
          <w:p w14:paraId="1B960124">
            <w:pPr>
              <w:autoSpaceDE w:val="0"/>
              <w:autoSpaceDN w:val="0"/>
              <w:spacing w:line="360" w:lineRule="auto"/>
              <w:ind w:firstLine="480" w:firstLineChars="200"/>
              <w:rPr>
                <w:kern w:val="0"/>
                <w:sz w:val="24"/>
              </w:rPr>
            </w:pPr>
            <w:bookmarkStart w:id="169" w:name="_Hlk216990559"/>
            <w:r>
              <w:rPr>
                <w:rFonts w:hint="eastAsia"/>
                <w:kern w:val="0"/>
                <w:sz w:val="24"/>
              </w:rPr>
              <w:t>2）</w:t>
            </w:r>
            <w:r>
              <w:rPr>
                <w:kern w:val="0"/>
                <w:sz w:val="24"/>
              </w:rPr>
              <w:t>严格按照征地范围进行施工，划定最小施工范围，</w:t>
            </w:r>
            <w:r>
              <w:rPr>
                <w:rFonts w:hint="eastAsia"/>
                <w:kern w:val="0"/>
                <w:sz w:val="24"/>
              </w:rPr>
              <w:t>减少</w:t>
            </w:r>
            <w:r>
              <w:rPr>
                <w:kern w:val="0"/>
                <w:sz w:val="24"/>
              </w:rPr>
              <w:t>植被受影响面积。在水湿条件较好、植被盖度相对较高，物种相对丰富的</w:t>
            </w:r>
            <w:r>
              <w:rPr>
                <w:rFonts w:hint="eastAsia"/>
                <w:kern w:val="0"/>
                <w:sz w:val="24"/>
              </w:rPr>
              <w:t>地区</w:t>
            </w:r>
            <w:r>
              <w:rPr>
                <w:kern w:val="0"/>
                <w:sz w:val="24"/>
              </w:rPr>
              <w:t>，这些地区是动物赖以生存的重要生境，因此，在可能会受到影响的沟和小支流应采取相应措施尽量避免不利影响。</w:t>
            </w:r>
          </w:p>
          <w:bookmarkEnd w:id="169"/>
          <w:p w14:paraId="327C8D09">
            <w:pPr>
              <w:autoSpaceDE w:val="0"/>
              <w:autoSpaceDN w:val="0"/>
              <w:spacing w:line="360" w:lineRule="auto"/>
              <w:ind w:firstLine="480" w:firstLineChars="200"/>
              <w:rPr>
                <w:kern w:val="0"/>
                <w:sz w:val="24"/>
              </w:rPr>
            </w:pPr>
            <w:r>
              <w:rPr>
                <w:rFonts w:hint="eastAsia"/>
                <w:kern w:val="0"/>
                <w:sz w:val="24"/>
              </w:rPr>
              <w:t>3）</w:t>
            </w:r>
            <w:r>
              <w:rPr>
                <w:kern w:val="0"/>
                <w:sz w:val="24"/>
              </w:rPr>
              <w:t>优化施工临时道路选线，施工便道充分利用地方道路或乡村机耕道，尽量不要铺设新的施工道路。</w:t>
            </w:r>
          </w:p>
          <w:p w14:paraId="3425F7CD">
            <w:pPr>
              <w:autoSpaceDE w:val="0"/>
              <w:autoSpaceDN w:val="0"/>
              <w:spacing w:line="360" w:lineRule="auto"/>
              <w:ind w:firstLine="480" w:firstLineChars="200"/>
              <w:rPr>
                <w:kern w:val="0"/>
                <w:sz w:val="24"/>
              </w:rPr>
            </w:pPr>
            <w:r>
              <w:rPr>
                <w:rFonts w:hint="eastAsia"/>
                <w:kern w:val="0"/>
                <w:sz w:val="24"/>
              </w:rPr>
              <w:t>4）</w:t>
            </w:r>
            <w:r>
              <w:rPr>
                <w:kern w:val="0"/>
                <w:sz w:val="24"/>
              </w:rPr>
              <w:t>加强对施工器材的管理，</w:t>
            </w:r>
            <w:r>
              <w:rPr>
                <w:rFonts w:hint="eastAsia"/>
                <w:kern w:val="0"/>
                <w:sz w:val="24"/>
              </w:rPr>
              <w:t>杜绝</w:t>
            </w:r>
            <w:r>
              <w:rPr>
                <w:kern w:val="0"/>
                <w:sz w:val="24"/>
              </w:rPr>
              <w:t>私自制造狩猎工具和捕杀野生动物</w:t>
            </w:r>
            <w:r>
              <w:rPr>
                <w:rFonts w:hint="eastAsia"/>
                <w:kern w:val="0"/>
                <w:sz w:val="24"/>
              </w:rPr>
              <w:t>的行为</w:t>
            </w:r>
            <w:r>
              <w:rPr>
                <w:kern w:val="0"/>
                <w:sz w:val="24"/>
              </w:rPr>
              <w:t>。</w:t>
            </w:r>
          </w:p>
          <w:p w14:paraId="3CC1C83C">
            <w:pPr>
              <w:autoSpaceDE w:val="0"/>
              <w:autoSpaceDN w:val="0"/>
              <w:spacing w:line="360" w:lineRule="auto"/>
              <w:ind w:firstLine="480" w:firstLineChars="200"/>
              <w:rPr>
                <w:kern w:val="0"/>
                <w:sz w:val="24"/>
              </w:rPr>
            </w:pPr>
            <w:r>
              <w:rPr>
                <w:rFonts w:hint="eastAsia"/>
                <w:kern w:val="0"/>
                <w:sz w:val="24"/>
              </w:rPr>
              <w:t>5）</w:t>
            </w:r>
            <w:r>
              <w:rPr>
                <w:kern w:val="0"/>
                <w:sz w:val="24"/>
              </w:rPr>
              <w:t>加强施工人员对野生动物和生态环境的保护意识教育，在施工中遇到的幼兽，应交给林业局的专业人员，不得擅自处理；对施工中遇到的鸟窝</w:t>
            </w:r>
            <w:r>
              <w:rPr>
                <w:rFonts w:hint="eastAsia"/>
                <w:kern w:val="0"/>
                <w:sz w:val="24"/>
              </w:rPr>
              <w:t>应转</w:t>
            </w:r>
            <w:r>
              <w:rPr>
                <w:kern w:val="0"/>
                <w:sz w:val="24"/>
              </w:rPr>
              <w:t>移到非施工区的其他地区；在施工中遇到的幼鸟和鸟卵（蛋）应交林业局的专业人员妥善处置；在施工期和营运期，尽可能地防止燃油和污水泄漏，对工程废物进行快速、集中处理，减少对动物栖息环境的污染。</w:t>
            </w:r>
          </w:p>
          <w:p w14:paraId="5A9E00EA">
            <w:pPr>
              <w:autoSpaceDE w:val="0"/>
              <w:autoSpaceDN w:val="0"/>
              <w:adjustRightInd w:val="0"/>
              <w:spacing w:line="360" w:lineRule="auto"/>
              <w:ind w:firstLine="480" w:firstLineChars="200"/>
              <w:rPr>
                <w:kern w:val="0"/>
                <w:sz w:val="24"/>
              </w:rPr>
            </w:pPr>
            <w:r>
              <w:rPr>
                <w:rFonts w:hint="eastAsia"/>
                <w:kern w:val="0"/>
                <w:sz w:val="24"/>
              </w:rPr>
              <w:t>6）</w:t>
            </w:r>
            <w:r>
              <w:rPr>
                <w:kern w:val="0"/>
                <w:sz w:val="24"/>
              </w:rPr>
              <w:t>采用先进的施工工艺和优良设备，严格规范施工，特别注意减少</w:t>
            </w:r>
            <w:r>
              <w:rPr>
                <w:rFonts w:hint="eastAsia"/>
                <w:kern w:val="0"/>
                <w:sz w:val="24"/>
              </w:rPr>
              <w:t>工程施工</w:t>
            </w:r>
            <w:r>
              <w:rPr>
                <w:kern w:val="0"/>
                <w:sz w:val="24"/>
              </w:rPr>
              <w:t>对鸟类和兽类的惊扰，为将工程占地对动物的影响减少到最低限度，应在施工前对直接占地区内分布的动物进行中等干扰强度下的驱赶，如先进行地表植被提取等干扰较小的施工，使其在受到惊扰后能够迁出施工占地区，避免大量动物个体在施工、挖掘中受到伤害。</w:t>
            </w:r>
          </w:p>
          <w:p w14:paraId="1AA862A3">
            <w:pPr>
              <w:autoSpaceDE w:val="0"/>
              <w:autoSpaceDN w:val="0"/>
              <w:adjustRightInd w:val="0"/>
              <w:spacing w:line="360" w:lineRule="auto"/>
              <w:ind w:firstLine="480" w:firstLineChars="200"/>
              <w:rPr>
                <w:kern w:val="0"/>
                <w:sz w:val="24"/>
              </w:rPr>
            </w:pPr>
            <w:r>
              <w:rPr>
                <w:rFonts w:hint="eastAsia"/>
                <w:kern w:val="0"/>
                <w:sz w:val="24"/>
              </w:rPr>
              <w:t>7）</w:t>
            </w:r>
            <w:r>
              <w:rPr>
                <w:kern w:val="0"/>
                <w:sz w:val="24"/>
              </w:rPr>
              <w:t>施工期和运行期，施工人员野外作业会带来野外火源管理的压力，必须把</w:t>
            </w:r>
            <w:r>
              <w:rPr>
                <w:rFonts w:hint="eastAsia"/>
                <w:kern w:val="0"/>
                <w:sz w:val="24"/>
              </w:rPr>
              <w:t>火源</w:t>
            </w:r>
            <w:r>
              <w:rPr>
                <w:kern w:val="0"/>
                <w:sz w:val="24"/>
              </w:rPr>
              <w:t>管理放在首要位置，常抓不懈，杜绝一切隐患。积极贯彻《森林防火条例》，加强防火宣传教育，时时敲响防火警钟，禁止在草坡、灌丛地附近吸烟和生火，做好生活和生产用火的火源管理，建立防火及火警警报系统和管理制度，明确责任制最大程度避免发生火灾。一旦出现火情，立即向当地林业主管部门进行报告，同时及时组织人员和当地群众积极灭火，以免造成对自然资源和野生动植物的影响。</w:t>
            </w:r>
          </w:p>
          <w:p w14:paraId="5EBF4DFB">
            <w:pPr>
              <w:autoSpaceDE w:val="0"/>
              <w:autoSpaceDN w:val="0"/>
              <w:adjustRightInd w:val="0"/>
              <w:spacing w:line="360" w:lineRule="auto"/>
              <w:ind w:firstLine="480" w:firstLineChars="200"/>
              <w:rPr>
                <w:rFonts w:hint="eastAsia"/>
                <w:kern w:val="0"/>
                <w:sz w:val="24"/>
              </w:rPr>
            </w:pPr>
            <w:r>
              <w:rPr>
                <w:rFonts w:hint="eastAsia"/>
                <w:kern w:val="0"/>
                <w:sz w:val="24"/>
              </w:rPr>
              <w:t>8）集电线路跨越生态保护红线采用一档跨越、红线内零塔基，选用高塔大档距、无人机放线等低扰动施工工艺，严控施工范围、避开野生动物繁殖与迁徙期，落实水土保持与植被恢复。</w:t>
            </w:r>
          </w:p>
          <w:p w14:paraId="041C3E50">
            <w:pPr>
              <w:overflowPunct w:val="0"/>
              <w:topLinePunct/>
              <w:autoSpaceDE w:val="0"/>
              <w:autoSpaceDN w:val="0"/>
              <w:spacing w:line="360" w:lineRule="auto"/>
              <w:ind w:firstLine="482" w:firstLineChars="200"/>
              <w:rPr>
                <w:rFonts w:hint="eastAsia"/>
                <w:b/>
                <w:bCs/>
                <w:snapToGrid w:val="0"/>
                <w:kern w:val="0"/>
                <w:sz w:val="24"/>
              </w:rPr>
            </w:pPr>
            <w:bookmarkStart w:id="170" w:name="_Toc12177_WPSOffice_Level3"/>
            <w:bookmarkEnd w:id="170"/>
            <w:r>
              <w:rPr>
                <w:rFonts w:hint="eastAsia"/>
                <w:b/>
                <w:bCs/>
                <w:snapToGrid w:val="0"/>
                <w:kern w:val="0"/>
                <w:sz w:val="24"/>
              </w:rPr>
              <w:t>（3）补偿措施</w:t>
            </w:r>
          </w:p>
          <w:p w14:paraId="403D86B3">
            <w:pPr>
              <w:autoSpaceDE w:val="0"/>
              <w:autoSpaceDN w:val="0"/>
              <w:adjustRightInd w:val="0"/>
              <w:spacing w:line="360" w:lineRule="auto"/>
              <w:ind w:firstLine="480" w:firstLineChars="200"/>
              <w:rPr>
                <w:kern w:val="0"/>
                <w:sz w:val="24"/>
              </w:rPr>
            </w:pPr>
            <w:bookmarkStart w:id="171" w:name="_Hlk216990565"/>
            <w:r>
              <w:rPr>
                <w:kern w:val="0"/>
                <w:sz w:val="24"/>
              </w:rPr>
              <w:t>工程要永久性的和临时性占用一部分</w:t>
            </w:r>
            <w:r>
              <w:rPr>
                <w:rFonts w:hint="eastAsia"/>
                <w:kern w:val="0"/>
                <w:sz w:val="24"/>
              </w:rPr>
              <w:t>土地</w:t>
            </w:r>
            <w:r>
              <w:rPr>
                <w:kern w:val="0"/>
                <w:sz w:val="24"/>
              </w:rPr>
              <w:t>，使这些资源受到损失，因此必须按照国家相关土地补偿标准予以补偿</w:t>
            </w:r>
            <w:r>
              <w:rPr>
                <w:rFonts w:hint="eastAsia"/>
                <w:kern w:val="0"/>
                <w:sz w:val="24"/>
              </w:rPr>
              <w:t>，并在施工期结束后对临时用地植被进行恢复。</w:t>
            </w:r>
          </w:p>
          <w:bookmarkEnd w:id="171"/>
          <w:p w14:paraId="0EA70939">
            <w:pPr>
              <w:overflowPunct w:val="0"/>
              <w:topLinePunct/>
              <w:autoSpaceDE w:val="0"/>
              <w:autoSpaceDN w:val="0"/>
              <w:spacing w:line="360" w:lineRule="auto"/>
              <w:ind w:firstLine="482" w:firstLineChars="200"/>
              <w:rPr>
                <w:rFonts w:hint="eastAsia"/>
                <w:b/>
                <w:bCs/>
                <w:snapToGrid w:val="0"/>
                <w:kern w:val="0"/>
                <w:sz w:val="24"/>
              </w:rPr>
            </w:pPr>
            <w:bookmarkStart w:id="172" w:name="_Toc26914_WPSOffice_Level3"/>
            <w:bookmarkEnd w:id="172"/>
            <w:r>
              <w:rPr>
                <w:rFonts w:hint="eastAsia"/>
                <w:b/>
                <w:bCs/>
                <w:snapToGrid w:val="0"/>
                <w:kern w:val="0"/>
                <w:sz w:val="24"/>
              </w:rPr>
              <w:t>（4）修复措施</w:t>
            </w:r>
          </w:p>
          <w:p w14:paraId="3FC0F14E">
            <w:pPr>
              <w:autoSpaceDE w:val="0"/>
              <w:autoSpaceDN w:val="0"/>
              <w:adjustRightInd w:val="0"/>
              <w:spacing w:line="360" w:lineRule="auto"/>
              <w:ind w:firstLine="480" w:firstLineChars="200"/>
              <w:rPr>
                <w:kern w:val="0"/>
                <w:sz w:val="24"/>
              </w:rPr>
            </w:pPr>
            <w:bookmarkStart w:id="173" w:name="_Toc13407_WPSOffice_Level3"/>
            <w:bookmarkEnd w:id="173"/>
            <w:r>
              <w:rPr>
                <w:rFonts w:hint="eastAsia"/>
                <w:kern w:val="0"/>
                <w:sz w:val="24"/>
              </w:rPr>
              <w:t>1</w:t>
            </w:r>
            <w:r>
              <w:rPr>
                <w:kern w:val="0"/>
                <w:sz w:val="24"/>
              </w:rPr>
              <w:t>）生态修复原则</w:t>
            </w:r>
          </w:p>
          <w:p w14:paraId="43C196E7">
            <w:pPr>
              <w:autoSpaceDE w:val="0"/>
              <w:autoSpaceDN w:val="0"/>
              <w:adjustRightInd w:val="0"/>
              <w:spacing w:line="360" w:lineRule="auto"/>
              <w:ind w:firstLine="480" w:firstLineChars="200"/>
              <w:rPr>
                <w:kern w:val="0"/>
                <w:sz w:val="24"/>
              </w:rPr>
            </w:pPr>
            <w:r>
              <w:rPr>
                <w:rFonts w:hint="eastAsia"/>
                <w:kern w:val="0"/>
                <w:sz w:val="24"/>
              </w:rPr>
              <w:t>①</w:t>
            </w:r>
            <w:r>
              <w:rPr>
                <w:kern w:val="0"/>
                <w:sz w:val="24"/>
              </w:rPr>
              <w:t>保护原有生态系统的原则</w:t>
            </w:r>
          </w:p>
          <w:p w14:paraId="7AF20C41">
            <w:pPr>
              <w:autoSpaceDE w:val="0"/>
              <w:autoSpaceDN w:val="0"/>
              <w:adjustRightInd w:val="0"/>
              <w:spacing w:line="360" w:lineRule="auto"/>
              <w:ind w:firstLine="480" w:firstLineChars="200"/>
              <w:rPr>
                <w:kern w:val="0"/>
                <w:sz w:val="24"/>
              </w:rPr>
            </w:pPr>
            <w:r>
              <w:rPr>
                <w:kern w:val="0"/>
                <w:sz w:val="24"/>
              </w:rPr>
              <w:t>工程区生态环境复杂，植被类型多样，在生态修复的过程中，必须尽量保护施工占地区原有的生态环境，生态修复的植被类型应尽量与工程区原有的植被类型相一致。</w:t>
            </w:r>
          </w:p>
          <w:p w14:paraId="138A1B63">
            <w:pPr>
              <w:autoSpaceDE w:val="0"/>
              <w:autoSpaceDN w:val="0"/>
              <w:adjustRightInd w:val="0"/>
              <w:spacing w:line="360" w:lineRule="auto"/>
              <w:ind w:firstLine="480" w:firstLineChars="200"/>
              <w:rPr>
                <w:kern w:val="0"/>
                <w:sz w:val="24"/>
              </w:rPr>
            </w:pPr>
            <w:r>
              <w:rPr>
                <w:rFonts w:hint="eastAsia"/>
                <w:kern w:val="0"/>
                <w:sz w:val="24"/>
              </w:rPr>
              <w:t>②</w:t>
            </w:r>
            <w:r>
              <w:rPr>
                <w:kern w:val="0"/>
                <w:sz w:val="24"/>
              </w:rPr>
              <w:t>保护物种多样性的原则</w:t>
            </w:r>
          </w:p>
          <w:p w14:paraId="7C268F26">
            <w:pPr>
              <w:autoSpaceDE w:val="0"/>
              <w:autoSpaceDN w:val="0"/>
              <w:adjustRightInd w:val="0"/>
              <w:spacing w:line="360" w:lineRule="auto"/>
              <w:ind w:firstLine="480" w:firstLineChars="200"/>
              <w:rPr>
                <w:kern w:val="0"/>
                <w:sz w:val="24"/>
              </w:rPr>
            </w:pPr>
            <w:r>
              <w:rPr>
                <w:kern w:val="0"/>
                <w:sz w:val="24"/>
              </w:rPr>
              <w:t>植被修复措施不仅考虑植被覆盖率，而且需要在利用当地原有物种的情况下，尽量使物种多样化，避免单一。</w:t>
            </w:r>
          </w:p>
          <w:p w14:paraId="1A242B2F">
            <w:pPr>
              <w:autoSpaceDE w:val="0"/>
              <w:autoSpaceDN w:val="0"/>
              <w:adjustRightInd w:val="0"/>
              <w:spacing w:line="360" w:lineRule="auto"/>
              <w:ind w:firstLine="480" w:firstLineChars="200"/>
              <w:rPr>
                <w:kern w:val="0"/>
                <w:sz w:val="24"/>
              </w:rPr>
            </w:pPr>
            <w:r>
              <w:rPr>
                <w:rFonts w:hint="eastAsia"/>
                <w:kern w:val="0"/>
                <w:sz w:val="24"/>
              </w:rPr>
              <w:t>③</w:t>
            </w:r>
            <w:r>
              <w:rPr>
                <w:kern w:val="0"/>
                <w:sz w:val="24"/>
              </w:rPr>
              <w:t>与当地经济发展一致原则</w:t>
            </w:r>
          </w:p>
          <w:p w14:paraId="7E7EC608">
            <w:pPr>
              <w:autoSpaceDE w:val="0"/>
              <w:autoSpaceDN w:val="0"/>
              <w:adjustRightInd w:val="0"/>
              <w:spacing w:line="360" w:lineRule="auto"/>
              <w:ind w:firstLine="480" w:firstLineChars="200"/>
              <w:rPr>
                <w:kern w:val="0"/>
                <w:sz w:val="24"/>
              </w:rPr>
            </w:pPr>
            <w:r>
              <w:rPr>
                <w:kern w:val="0"/>
                <w:sz w:val="24"/>
              </w:rPr>
              <w:t>生态恢复措施以营造生态林和经济林为主，兼顾生态效益和经济效益，在提高生态环境质量的同时，增加农民的经济收入，促进评价区内经济发展，</w:t>
            </w:r>
            <w:r>
              <w:rPr>
                <w:rFonts w:hint="eastAsia"/>
                <w:kern w:val="0"/>
                <w:sz w:val="24"/>
              </w:rPr>
              <w:t>更好地</w:t>
            </w:r>
            <w:r>
              <w:rPr>
                <w:kern w:val="0"/>
                <w:sz w:val="24"/>
              </w:rPr>
              <w:t>保护当地生态环境。</w:t>
            </w:r>
          </w:p>
          <w:p w14:paraId="49876D09">
            <w:pPr>
              <w:autoSpaceDE w:val="0"/>
              <w:autoSpaceDN w:val="0"/>
              <w:adjustRightInd w:val="0"/>
              <w:spacing w:line="360" w:lineRule="auto"/>
              <w:ind w:firstLine="480" w:firstLineChars="200"/>
              <w:rPr>
                <w:kern w:val="0"/>
                <w:sz w:val="24"/>
              </w:rPr>
            </w:pPr>
            <w:bookmarkStart w:id="174" w:name="_Toc29703_WPSOffice_Level3"/>
            <w:bookmarkEnd w:id="174"/>
            <w:r>
              <w:rPr>
                <w:rFonts w:hint="eastAsia"/>
                <w:kern w:val="0"/>
                <w:sz w:val="24"/>
              </w:rPr>
              <w:t>2</w:t>
            </w:r>
            <w:r>
              <w:rPr>
                <w:kern w:val="0"/>
                <w:sz w:val="24"/>
              </w:rPr>
              <w:t>）施工迹地生态修复</w:t>
            </w:r>
          </w:p>
          <w:p w14:paraId="1F498E59">
            <w:pPr>
              <w:autoSpaceDE w:val="0"/>
              <w:autoSpaceDN w:val="0"/>
              <w:adjustRightInd w:val="0"/>
              <w:spacing w:line="360" w:lineRule="auto"/>
              <w:ind w:firstLine="480" w:firstLineChars="200"/>
              <w:rPr>
                <w:kern w:val="0"/>
                <w:sz w:val="24"/>
              </w:rPr>
            </w:pPr>
            <w:r>
              <w:rPr>
                <w:kern w:val="0"/>
                <w:sz w:val="24"/>
              </w:rPr>
              <w:t>施工迹地的修复主要指临时占地的生态修复，</w:t>
            </w:r>
            <w:r>
              <w:rPr>
                <w:rFonts w:hint="eastAsia"/>
                <w:kern w:val="0"/>
                <w:sz w:val="24"/>
              </w:rPr>
              <w:t>本项目</w:t>
            </w:r>
            <w:r>
              <w:rPr>
                <w:kern w:val="0"/>
                <w:sz w:val="24"/>
              </w:rPr>
              <w:t>生态修复的总体思路：</w:t>
            </w:r>
          </w:p>
          <w:p w14:paraId="1350DB70">
            <w:pPr>
              <w:autoSpaceDE w:val="0"/>
              <w:autoSpaceDN w:val="0"/>
              <w:adjustRightInd w:val="0"/>
              <w:spacing w:line="360" w:lineRule="auto"/>
              <w:ind w:firstLine="480" w:firstLineChars="200"/>
              <w:rPr>
                <w:rFonts w:hint="eastAsia"/>
                <w:kern w:val="0"/>
                <w:sz w:val="24"/>
              </w:rPr>
            </w:pPr>
            <w:r>
              <w:rPr>
                <w:rFonts w:hint="eastAsia"/>
                <w:kern w:val="0"/>
                <w:sz w:val="24"/>
              </w:rPr>
              <w:t>①</w:t>
            </w:r>
            <w:r>
              <w:rPr>
                <w:kern w:val="0"/>
                <w:sz w:val="24"/>
              </w:rPr>
              <w:t>根据工程</w:t>
            </w:r>
            <w:r>
              <w:rPr>
                <w:rFonts w:hint="eastAsia"/>
                <w:kern w:val="0"/>
                <w:sz w:val="24"/>
              </w:rPr>
              <w:t>区域</w:t>
            </w:r>
            <w:r>
              <w:rPr>
                <w:kern w:val="0"/>
                <w:sz w:val="24"/>
              </w:rPr>
              <w:t>的植被现状进行分析，确定工程区域现有的主要植物群落类型及其主要特征</w:t>
            </w:r>
            <w:r>
              <w:rPr>
                <w:rFonts w:hint="eastAsia"/>
                <w:kern w:val="0"/>
                <w:sz w:val="24"/>
              </w:rPr>
              <w:t>。</w:t>
            </w:r>
          </w:p>
          <w:p w14:paraId="00F5622B">
            <w:pPr>
              <w:autoSpaceDE w:val="0"/>
              <w:autoSpaceDN w:val="0"/>
              <w:adjustRightInd w:val="0"/>
              <w:spacing w:line="360" w:lineRule="auto"/>
              <w:ind w:firstLine="480" w:firstLineChars="200"/>
              <w:rPr>
                <w:rFonts w:hint="eastAsia"/>
                <w:kern w:val="0"/>
                <w:sz w:val="24"/>
              </w:rPr>
            </w:pPr>
            <w:r>
              <w:rPr>
                <w:rFonts w:hint="eastAsia"/>
                <w:kern w:val="0"/>
                <w:sz w:val="24"/>
              </w:rPr>
              <w:t>②</w:t>
            </w:r>
            <w:r>
              <w:rPr>
                <w:kern w:val="0"/>
                <w:sz w:val="24"/>
              </w:rPr>
              <w:t>根据</w:t>
            </w:r>
            <w:r>
              <w:rPr>
                <w:rFonts w:hint="eastAsia"/>
                <w:kern w:val="0"/>
                <w:sz w:val="24"/>
              </w:rPr>
              <w:t>本项目</w:t>
            </w:r>
            <w:r>
              <w:rPr>
                <w:kern w:val="0"/>
                <w:sz w:val="24"/>
              </w:rPr>
              <w:t>施工迹地生境条件特征及各工程区域植被恢复、植物绿化及生态系统美化等多方面生态功能要求，拟定需要恢复的植被类型</w:t>
            </w:r>
            <w:r>
              <w:rPr>
                <w:rFonts w:hint="eastAsia"/>
                <w:kern w:val="0"/>
                <w:sz w:val="24"/>
              </w:rPr>
              <w:t>。</w:t>
            </w:r>
          </w:p>
          <w:p w14:paraId="5C999EBE">
            <w:pPr>
              <w:autoSpaceDE w:val="0"/>
              <w:autoSpaceDN w:val="0"/>
              <w:adjustRightInd w:val="0"/>
              <w:spacing w:line="360" w:lineRule="auto"/>
              <w:ind w:firstLine="480" w:firstLineChars="200"/>
              <w:rPr>
                <w:kern w:val="0"/>
                <w:sz w:val="24"/>
              </w:rPr>
            </w:pPr>
            <w:r>
              <w:rPr>
                <w:rFonts w:hint="eastAsia"/>
                <w:kern w:val="0"/>
                <w:sz w:val="24"/>
              </w:rPr>
              <w:t>③</w:t>
            </w:r>
            <w:r>
              <w:rPr>
                <w:kern w:val="0"/>
                <w:sz w:val="24"/>
              </w:rPr>
              <w:t>结合工程施工迹地等工程在空间上布设情况，从整体上把握</w:t>
            </w:r>
            <w:r>
              <w:rPr>
                <w:rFonts w:hint="eastAsia"/>
                <w:kern w:val="0"/>
                <w:sz w:val="24"/>
              </w:rPr>
              <w:t>本项目</w:t>
            </w:r>
            <w:r>
              <w:rPr>
                <w:kern w:val="0"/>
                <w:sz w:val="24"/>
              </w:rPr>
              <w:t>生态修复的总体目标，进而拟定生态修复区的划分。</w:t>
            </w:r>
          </w:p>
          <w:p w14:paraId="61C07942">
            <w:pPr>
              <w:overflowPunct w:val="0"/>
              <w:topLinePunct/>
              <w:autoSpaceDE w:val="0"/>
              <w:autoSpaceDN w:val="0"/>
              <w:spacing w:line="360" w:lineRule="auto"/>
              <w:ind w:firstLine="482" w:firstLineChars="200"/>
              <w:rPr>
                <w:rFonts w:hint="eastAsia"/>
                <w:b/>
                <w:bCs/>
                <w:snapToGrid w:val="0"/>
                <w:kern w:val="0"/>
                <w:sz w:val="24"/>
              </w:rPr>
            </w:pPr>
            <w:r>
              <w:rPr>
                <w:rFonts w:hint="eastAsia"/>
                <w:b/>
                <w:bCs/>
                <w:snapToGrid w:val="0"/>
                <w:kern w:val="0"/>
                <w:sz w:val="24"/>
              </w:rPr>
              <w:t>（</w:t>
            </w:r>
            <w:r>
              <w:rPr>
                <w:b/>
                <w:bCs/>
                <w:snapToGrid w:val="0"/>
                <w:kern w:val="0"/>
                <w:sz w:val="24"/>
              </w:rPr>
              <w:t>5</w:t>
            </w:r>
            <w:r>
              <w:rPr>
                <w:rFonts w:hint="eastAsia"/>
                <w:b/>
                <w:bCs/>
                <w:snapToGrid w:val="0"/>
                <w:kern w:val="0"/>
                <w:sz w:val="24"/>
              </w:rPr>
              <w:t>）生态保护红线和优先保护区保护措施</w:t>
            </w:r>
          </w:p>
          <w:p w14:paraId="4A5FAFA6">
            <w:pPr>
              <w:autoSpaceDE w:val="0"/>
              <w:autoSpaceDN w:val="0"/>
              <w:adjustRightInd w:val="0"/>
              <w:spacing w:line="360" w:lineRule="auto"/>
              <w:ind w:firstLine="480" w:firstLineChars="200"/>
              <w:rPr>
                <w:rFonts w:hint="eastAsia"/>
                <w:kern w:val="0"/>
                <w:sz w:val="24"/>
              </w:rPr>
            </w:pPr>
            <w:r>
              <w:rPr>
                <w:rFonts w:hint="eastAsia"/>
                <w:kern w:val="0"/>
                <w:sz w:val="24"/>
              </w:rPr>
              <w:t>①划定施工管控边界。在施工区域与生态保护红线和优先保护区之间设置明显的警示标识（如围栏、警示牌），明确施工活动禁止范围，严禁施工机械、人员进入生态红线区域，严禁在红线区域内开展开挖、碾压、弃土等任何施工活动。</w:t>
            </w:r>
          </w:p>
          <w:p w14:paraId="479FFDFF">
            <w:pPr>
              <w:autoSpaceDE w:val="0"/>
              <w:autoSpaceDN w:val="0"/>
              <w:adjustRightInd w:val="0"/>
              <w:spacing w:line="360" w:lineRule="auto"/>
              <w:ind w:firstLine="480" w:firstLineChars="200"/>
              <w:rPr>
                <w:rFonts w:hint="eastAsia"/>
                <w:kern w:val="0"/>
                <w:sz w:val="24"/>
              </w:rPr>
            </w:pPr>
            <w:r>
              <w:rPr>
                <w:rFonts w:hint="eastAsia"/>
                <w:kern w:val="0"/>
                <w:sz w:val="24"/>
              </w:rPr>
              <w:t>②优化施工工艺与路线。施工道路优先利用现有道路，确需新建或扩建的，可结合防火路、农村道路等建设，严格控制道路宽度和扰动范围，严防水土流失，促进林区道路综合利用。塔基、集电线路等施工尽量采用集约化施工方式，减少地表开挖面积，避免破坏周边原生植被；施工过程中对表层土与下层土分开存放，集中覆盖保护，为后续植被恢复预留土壤条件。</w:t>
            </w:r>
          </w:p>
          <w:p w14:paraId="6D794B95">
            <w:pPr>
              <w:autoSpaceDE w:val="0"/>
              <w:autoSpaceDN w:val="0"/>
              <w:adjustRightInd w:val="0"/>
              <w:spacing w:line="360" w:lineRule="auto"/>
              <w:ind w:firstLine="480" w:firstLineChars="200"/>
              <w:rPr>
                <w:rFonts w:hint="eastAsia"/>
                <w:kern w:val="0"/>
                <w:sz w:val="24"/>
              </w:rPr>
            </w:pPr>
            <w:r>
              <w:rPr>
                <w:rFonts w:hint="eastAsia"/>
                <w:kern w:val="0"/>
                <w:sz w:val="24"/>
              </w:rPr>
              <w:t>③强化敏感区域防控。若施工区域临近野生动物重要栖息地、迁徙通道，需合理安排施工时间，避开野生动物繁殖、迁徙高峰期，确需占用的，需修建野生动物通道等措施，消除或减少不利影响。施工过程中严禁捕杀、惊扰野生动物，严禁破坏野生植物生长环境，发现珍稀野生动植物及时上报相关主管部门并采取保护措施。</w:t>
            </w:r>
          </w:p>
          <w:p w14:paraId="483C254D">
            <w:pPr>
              <w:autoSpaceDE w:val="0"/>
              <w:autoSpaceDN w:val="0"/>
              <w:adjustRightInd w:val="0"/>
              <w:spacing w:line="360" w:lineRule="auto"/>
              <w:ind w:firstLine="480" w:firstLineChars="200"/>
              <w:rPr>
                <w:rFonts w:hint="eastAsia"/>
                <w:kern w:val="0"/>
                <w:sz w:val="24"/>
              </w:rPr>
            </w:pPr>
            <w:r>
              <w:rPr>
                <w:rFonts w:hint="eastAsia"/>
                <w:kern w:val="0"/>
                <w:sz w:val="24"/>
              </w:rPr>
              <w:t>④严控施工污染与流失。施工过程中产生的弃土、弃渣需集中存放于指定区域，严禁随意倾倒，避免流入生态红线</w:t>
            </w:r>
            <w:bookmarkStart w:id="175" w:name="OLE_LINK73"/>
            <w:r>
              <w:rPr>
                <w:rFonts w:hint="eastAsia"/>
                <w:kern w:val="0"/>
                <w:sz w:val="24"/>
              </w:rPr>
              <w:t>和优先保护区</w:t>
            </w:r>
            <w:bookmarkEnd w:id="175"/>
            <w:r>
              <w:rPr>
                <w:rFonts w:hint="eastAsia"/>
                <w:kern w:val="0"/>
                <w:sz w:val="24"/>
              </w:rPr>
              <w:t>；施工废水经处理达标后回用，严禁污染区域内的水体、土壤。施工区域采取临时水土保持措施（如铺设防尘网、种植临时植被），减少水土流失对红线和优先保护区的间接影响，同步配套建设森林草原防灭火设施，与主体工程同步规划、设计、施工、验收。</w:t>
            </w:r>
          </w:p>
          <w:bookmarkEnd w:id="166"/>
          <w:p w14:paraId="0A430B4F">
            <w:pPr>
              <w:overflowPunct w:val="0"/>
              <w:topLinePunct/>
              <w:autoSpaceDE w:val="0"/>
              <w:autoSpaceDN w:val="0"/>
              <w:spacing w:line="360" w:lineRule="auto"/>
              <w:rPr>
                <w:rFonts w:hint="eastAsia"/>
                <w:b/>
                <w:bCs/>
                <w:snapToGrid w:val="0"/>
                <w:kern w:val="0"/>
                <w:sz w:val="24"/>
              </w:rPr>
            </w:pPr>
            <w:r>
              <w:rPr>
                <w:rFonts w:hint="eastAsia"/>
                <w:b/>
                <w:bCs/>
                <w:snapToGrid w:val="0"/>
                <w:kern w:val="0"/>
                <w:sz w:val="24"/>
              </w:rPr>
              <w:t>5.1.2 水土保持措施</w:t>
            </w:r>
          </w:p>
          <w:p w14:paraId="18D78FA6">
            <w:pPr>
              <w:autoSpaceDE w:val="0"/>
              <w:autoSpaceDN w:val="0"/>
              <w:spacing w:line="360" w:lineRule="auto"/>
              <w:ind w:firstLine="480" w:firstLineChars="200"/>
              <w:rPr>
                <w:kern w:val="0"/>
                <w:sz w:val="24"/>
              </w:rPr>
            </w:pPr>
            <w:r>
              <w:rPr>
                <w:rFonts w:hint="eastAsia"/>
                <w:kern w:val="0"/>
                <w:sz w:val="24"/>
              </w:rPr>
              <w:t>水土保持措施按照《绿坪村光伏发电项目水土保持方案报告书》中的要求执行和落实。</w:t>
            </w:r>
          </w:p>
          <w:p w14:paraId="3C3D608B">
            <w:pPr>
              <w:autoSpaceDE w:val="0"/>
              <w:autoSpaceDN w:val="0"/>
              <w:spacing w:line="360" w:lineRule="auto"/>
              <w:ind w:firstLine="482" w:firstLineChars="200"/>
              <w:rPr>
                <w:rFonts w:hint="eastAsia"/>
                <w:b/>
                <w:bCs/>
                <w:kern w:val="0"/>
                <w:sz w:val="24"/>
              </w:rPr>
            </w:pPr>
            <w:r>
              <w:rPr>
                <w:rFonts w:hint="eastAsia"/>
                <w:b/>
                <w:bCs/>
                <w:kern w:val="0"/>
                <w:sz w:val="24"/>
              </w:rPr>
              <w:t>（1）光伏阵列区和施工生产生活区</w:t>
            </w:r>
          </w:p>
          <w:p w14:paraId="4299FE8D">
            <w:pPr>
              <w:autoSpaceDE w:val="0"/>
              <w:autoSpaceDN w:val="0"/>
              <w:spacing w:line="360" w:lineRule="auto"/>
              <w:ind w:firstLine="480" w:firstLineChars="200"/>
              <w:rPr>
                <w:kern w:val="0"/>
                <w:sz w:val="24"/>
              </w:rPr>
            </w:pPr>
            <w:r>
              <w:rPr>
                <w:kern w:val="0"/>
                <w:sz w:val="24"/>
              </w:rPr>
              <w:t>土地整治：施工结束后对</w:t>
            </w:r>
            <w:r>
              <w:rPr>
                <w:rFonts w:hint="eastAsia"/>
                <w:kern w:val="0"/>
                <w:sz w:val="24"/>
              </w:rPr>
              <w:t>光伏支架基础</w:t>
            </w:r>
            <w:r>
              <w:rPr>
                <w:kern w:val="0"/>
                <w:sz w:val="24"/>
              </w:rPr>
              <w:t>进行平整，进行植被恢复，施工过程中表层土及深层土分别开挖，回填</w:t>
            </w:r>
            <w:r>
              <w:rPr>
                <w:rFonts w:hint="eastAsia"/>
                <w:kern w:val="0"/>
                <w:sz w:val="24"/>
              </w:rPr>
              <w:t>时</w:t>
            </w:r>
            <w:r>
              <w:rPr>
                <w:kern w:val="0"/>
                <w:sz w:val="24"/>
              </w:rPr>
              <w:t>将深层土及浅层土分层回填。</w:t>
            </w:r>
          </w:p>
          <w:p w14:paraId="30E4F52F">
            <w:pPr>
              <w:autoSpaceDE w:val="0"/>
              <w:autoSpaceDN w:val="0"/>
              <w:spacing w:line="360" w:lineRule="auto"/>
              <w:ind w:firstLine="480" w:firstLineChars="200"/>
              <w:rPr>
                <w:rFonts w:hint="eastAsia"/>
                <w:kern w:val="0"/>
                <w:sz w:val="24"/>
              </w:rPr>
            </w:pPr>
            <w:r>
              <w:rPr>
                <w:kern w:val="0"/>
                <w:sz w:val="24"/>
              </w:rPr>
              <w:t>种植方式：土地整治后</w:t>
            </w:r>
            <w:r>
              <w:rPr>
                <w:rFonts w:hint="eastAsia"/>
                <w:kern w:val="0"/>
                <w:sz w:val="24"/>
              </w:rPr>
              <w:t>植被恢复种植模式主要采用多种灌草籽混播的模式，种子选择当地适生、抗逆性强的车桑子、野古草及白茅，种子采用3:3:4混播方式，草籽密度按80kg/hm</w:t>
            </w:r>
            <w:r>
              <w:rPr>
                <w:rFonts w:hint="eastAsia"/>
                <w:kern w:val="0"/>
                <w:sz w:val="24"/>
                <w:vertAlign w:val="superscript"/>
              </w:rPr>
              <w:t>2</w:t>
            </w:r>
            <w:r>
              <w:rPr>
                <w:rFonts w:hint="eastAsia"/>
                <w:kern w:val="0"/>
                <w:sz w:val="24"/>
              </w:rPr>
              <w:t>。</w:t>
            </w:r>
          </w:p>
          <w:p w14:paraId="782A2803">
            <w:pPr>
              <w:autoSpaceDE w:val="0"/>
              <w:autoSpaceDN w:val="0"/>
              <w:spacing w:line="360" w:lineRule="auto"/>
              <w:ind w:firstLine="480" w:firstLineChars="200"/>
              <w:rPr>
                <w:kern w:val="0"/>
                <w:sz w:val="24"/>
              </w:rPr>
            </w:pPr>
            <w:r>
              <w:rPr>
                <w:kern w:val="0"/>
                <w:sz w:val="24"/>
              </w:rPr>
              <w:t>草籽规格：草</w:t>
            </w:r>
            <w:r>
              <w:rPr>
                <w:rFonts w:hint="eastAsia"/>
                <w:kern w:val="0"/>
                <w:sz w:val="24"/>
              </w:rPr>
              <w:t>本</w:t>
            </w:r>
            <w:r>
              <w:rPr>
                <w:kern w:val="0"/>
                <w:sz w:val="24"/>
              </w:rPr>
              <w:t>种子选用无病害，饱满的一级种子，雨季条播种草，播种前用细土和种子</w:t>
            </w:r>
            <w:r>
              <w:rPr>
                <w:rFonts w:hint="eastAsia"/>
                <w:kern w:val="0"/>
                <w:sz w:val="24"/>
              </w:rPr>
              <w:t>混合</w:t>
            </w:r>
            <w:r>
              <w:rPr>
                <w:kern w:val="0"/>
                <w:sz w:val="24"/>
              </w:rPr>
              <w:t>均匀，播种后进行覆土并适当滚压。</w:t>
            </w:r>
          </w:p>
          <w:p w14:paraId="30666928">
            <w:pPr>
              <w:autoSpaceDE w:val="0"/>
              <w:autoSpaceDN w:val="0"/>
              <w:spacing w:line="360" w:lineRule="auto"/>
              <w:ind w:firstLine="482" w:firstLineChars="200"/>
              <w:rPr>
                <w:rFonts w:hint="eastAsia"/>
                <w:b/>
                <w:bCs/>
                <w:kern w:val="0"/>
                <w:sz w:val="24"/>
              </w:rPr>
            </w:pPr>
            <w:r>
              <w:rPr>
                <w:rFonts w:hint="eastAsia"/>
                <w:b/>
                <w:bCs/>
                <w:kern w:val="0"/>
                <w:sz w:val="24"/>
              </w:rPr>
              <w:t>（2）集电线路区</w:t>
            </w:r>
          </w:p>
          <w:p w14:paraId="584B18BA">
            <w:pPr>
              <w:autoSpaceDE w:val="0"/>
              <w:autoSpaceDN w:val="0"/>
              <w:spacing w:line="360" w:lineRule="auto"/>
              <w:ind w:firstLine="480" w:firstLineChars="200"/>
              <w:rPr>
                <w:kern w:val="0"/>
                <w:sz w:val="24"/>
              </w:rPr>
            </w:pPr>
            <w:r>
              <w:rPr>
                <w:kern w:val="0"/>
                <w:sz w:val="24"/>
              </w:rPr>
              <w:t>集电线路</w:t>
            </w:r>
            <w:r>
              <w:rPr>
                <w:rFonts w:hint="eastAsia"/>
                <w:kern w:val="0"/>
                <w:sz w:val="24"/>
              </w:rPr>
              <w:t>分为直埋电缆沟和架空线路</w:t>
            </w:r>
            <w:r>
              <w:rPr>
                <w:kern w:val="0"/>
                <w:sz w:val="24"/>
              </w:rPr>
              <w:t>，施工期较短，分段施工，水土保持防护措施主要考虑临时措施及植物措施。在进行电缆沟基础及塔基</w:t>
            </w:r>
            <w:r>
              <w:rPr>
                <w:rFonts w:hint="eastAsia"/>
                <w:kern w:val="0"/>
                <w:sz w:val="24"/>
              </w:rPr>
              <w:t>基坑开挖</w:t>
            </w:r>
            <w:r>
              <w:rPr>
                <w:kern w:val="0"/>
                <w:sz w:val="24"/>
              </w:rPr>
              <w:t>时，将分层开挖的表土和土石方堆放在沟槽或塔基一侧，方案考虑对于临时堆土如遇雨天、大风天采用密目网进行临时覆盖。</w:t>
            </w:r>
          </w:p>
          <w:p w14:paraId="6066F116">
            <w:pPr>
              <w:autoSpaceDE w:val="0"/>
              <w:autoSpaceDN w:val="0"/>
              <w:spacing w:line="360" w:lineRule="auto"/>
              <w:ind w:firstLine="482" w:firstLineChars="200"/>
              <w:rPr>
                <w:rFonts w:hint="eastAsia"/>
                <w:b/>
                <w:bCs/>
                <w:kern w:val="0"/>
                <w:sz w:val="24"/>
              </w:rPr>
            </w:pPr>
            <w:r>
              <w:rPr>
                <w:rFonts w:hint="eastAsia"/>
                <w:b/>
                <w:bCs/>
                <w:kern w:val="0"/>
                <w:sz w:val="24"/>
              </w:rPr>
              <w:t>（3）交通道路区</w:t>
            </w:r>
          </w:p>
          <w:p w14:paraId="0A077594">
            <w:pPr>
              <w:autoSpaceDE w:val="0"/>
              <w:autoSpaceDN w:val="0"/>
              <w:spacing w:line="360" w:lineRule="auto"/>
              <w:ind w:firstLine="480" w:firstLineChars="200"/>
              <w:rPr>
                <w:rFonts w:hint="eastAsia" w:eastAsia="仿宋_GB2312"/>
                <w:sz w:val="24"/>
              </w:rPr>
            </w:pPr>
            <w:r>
              <w:rPr>
                <w:kern w:val="0"/>
                <w:sz w:val="24"/>
              </w:rPr>
              <w:t>道路上边坡栽植爬藤，下边坡条播种草进行植被恢复，爬藤选择爬山虎，间距</w:t>
            </w:r>
            <w:r>
              <w:rPr>
                <w:rFonts w:hint="eastAsia"/>
                <w:kern w:val="0"/>
                <w:sz w:val="24"/>
              </w:rPr>
              <w:t>0.5</w:t>
            </w:r>
            <w:r>
              <w:rPr>
                <w:kern w:val="0"/>
                <w:sz w:val="24"/>
              </w:rPr>
              <w:t>m，条播种草植被恢复种植模式主要采用多种草籽混播的模式，种子选择当地适生、抗逆性强的</w:t>
            </w:r>
            <w:r>
              <w:rPr>
                <w:rFonts w:hint="eastAsia"/>
                <w:kern w:val="0"/>
                <w:sz w:val="24"/>
              </w:rPr>
              <w:t>野古草、白茅和车桑子</w:t>
            </w:r>
            <w:r>
              <w:rPr>
                <w:kern w:val="0"/>
                <w:sz w:val="24"/>
              </w:rPr>
              <w:t>狗牙根、百喜草及苜蓿，</w:t>
            </w:r>
            <w:r>
              <w:rPr>
                <w:rFonts w:hint="eastAsia"/>
                <w:kern w:val="0"/>
                <w:sz w:val="24"/>
              </w:rPr>
              <w:t>种子采用3:3:4混播方式，草籽密度按80kg/hm</w:t>
            </w:r>
            <w:r>
              <w:rPr>
                <w:rFonts w:hint="eastAsia"/>
                <w:kern w:val="0"/>
                <w:sz w:val="24"/>
                <w:vertAlign w:val="superscript"/>
              </w:rPr>
              <w:t>2</w:t>
            </w:r>
            <w:r>
              <w:rPr>
                <w:rFonts w:hint="eastAsia"/>
                <w:kern w:val="0"/>
                <w:sz w:val="24"/>
              </w:rPr>
              <w:t>。</w:t>
            </w:r>
          </w:p>
          <w:p w14:paraId="5930C733">
            <w:pPr>
              <w:overflowPunct w:val="0"/>
              <w:topLinePunct/>
              <w:autoSpaceDE w:val="0"/>
              <w:autoSpaceDN w:val="0"/>
              <w:spacing w:line="360" w:lineRule="auto"/>
              <w:rPr>
                <w:rFonts w:hint="eastAsia"/>
                <w:b/>
                <w:bCs/>
                <w:snapToGrid w:val="0"/>
                <w:kern w:val="0"/>
                <w:sz w:val="24"/>
              </w:rPr>
            </w:pPr>
            <w:r>
              <w:rPr>
                <w:rFonts w:hint="eastAsia"/>
                <w:b/>
                <w:bCs/>
                <w:snapToGrid w:val="0"/>
                <w:kern w:val="0"/>
                <w:sz w:val="24"/>
              </w:rPr>
              <w:t>5.1.3 大气污染控制措施</w:t>
            </w:r>
          </w:p>
          <w:p w14:paraId="47B87783">
            <w:pPr>
              <w:autoSpaceDE w:val="0"/>
              <w:autoSpaceDN w:val="0"/>
              <w:adjustRightInd w:val="0"/>
              <w:spacing w:line="360" w:lineRule="auto"/>
              <w:ind w:firstLine="480" w:firstLineChars="200"/>
              <w:rPr>
                <w:kern w:val="0"/>
                <w:sz w:val="24"/>
              </w:rPr>
            </w:pPr>
            <w:r>
              <w:rPr>
                <w:kern w:val="0"/>
                <w:sz w:val="24"/>
              </w:rPr>
              <w:t>针对施工扬尘，</w:t>
            </w:r>
            <w:r>
              <w:rPr>
                <w:rFonts w:hint="eastAsia"/>
                <w:kern w:val="0"/>
                <w:sz w:val="24"/>
              </w:rPr>
              <w:t>本项目</w:t>
            </w:r>
            <w:r>
              <w:rPr>
                <w:kern w:val="0"/>
                <w:sz w:val="24"/>
              </w:rPr>
              <w:t>施工期间应采取的治理措施如下：</w:t>
            </w:r>
          </w:p>
          <w:p w14:paraId="0C92A495">
            <w:pPr>
              <w:autoSpaceDE w:val="0"/>
              <w:autoSpaceDN w:val="0"/>
              <w:adjustRightInd w:val="0"/>
              <w:spacing w:line="360" w:lineRule="auto"/>
              <w:ind w:firstLine="480" w:firstLineChars="200"/>
              <w:rPr>
                <w:kern w:val="0"/>
                <w:sz w:val="24"/>
              </w:rPr>
            </w:pPr>
            <w:bookmarkStart w:id="176" w:name="_Hlk216990607"/>
            <w:r>
              <w:rPr>
                <w:rFonts w:hint="eastAsia"/>
                <w:kern w:val="0"/>
                <w:sz w:val="24"/>
              </w:rPr>
              <w:t>（1）</w:t>
            </w:r>
            <w:r>
              <w:rPr>
                <w:kern w:val="0"/>
                <w:sz w:val="24"/>
              </w:rPr>
              <w:t>制定施工扬尘污染防治和文明施工方案，根据施工工序编制施工期内扬尘污染防治任务书，实施扬尘防治全过程管理，责任到每个施工工序。</w:t>
            </w:r>
          </w:p>
          <w:bookmarkEnd w:id="176"/>
          <w:p w14:paraId="01834900">
            <w:pPr>
              <w:autoSpaceDE w:val="0"/>
              <w:autoSpaceDN w:val="0"/>
              <w:adjustRightInd w:val="0"/>
              <w:spacing w:line="360" w:lineRule="auto"/>
              <w:ind w:firstLine="480" w:firstLineChars="200"/>
              <w:rPr>
                <w:kern w:val="0"/>
                <w:sz w:val="24"/>
              </w:rPr>
            </w:pPr>
            <w:r>
              <w:rPr>
                <w:rFonts w:hint="eastAsia"/>
                <w:kern w:val="0"/>
                <w:sz w:val="24"/>
              </w:rPr>
              <w:t>（2）本</w:t>
            </w:r>
            <w:r>
              <w:rPr>
                <w:kern w:val="0"/>
                <w:sz w:val="24"/>
              </w:rPr>
              <w:t>项目在靠近敏感点一侧设置</w:t>
            </w:r>
            <w:r>
              <w:rPr>
                <w:rFonts w:hint="eastAsia"/>
                <w:kern w:val="0"/>
                <w:sz w:val="24"/>
              </w:rPr>
              <w:t>防尘网</w:t>
            </w:r>
            <w:r>
              <w:rPr>
                <w:kern w:val="0"/>
                <w:sz w:val="24"/>
              </w:rPr>
              <w:t>，</w:t>
            </w:r>
            <w:r>
              <w:rPr>
                <w:rFonts w:hint="eastAsia"/>
                <w:kern w:val="0"/>
                <w:sz w:val="24"/>
              </w:rPr>
              <w:t>高2.5m，</w:t>
            </w:r>
            <w:r>
              <w:rPr>
                <w:kern w:val="0"/>
                <w:sz w:val="24"/>
              </w:rPr>
              <w:t>避免粉尘扰民。尽量缩小施工范围，分段进行施工，夜间不施工。</w:t>
            </w:r>
          </w:p>
          <w:p w14:paraId="61B432DF">
            <w:pPr>
              <w:autoSpaceDE w:val="0"/>
              <w:autoSpaceDN w:val="0"/>
              <w:adjustRightInd w:val="0"/>
              <w:spacing w:line="360" w:lineRule="auto"/>
              <w:ind w:firstLine="480" w:firstLineChars="200"/>
              <w:rPr>
                <w:kern w:val="0"/>
                <w:sz w:val="24"/>
              </w:rPr>
            </w:pPr>
            <w:r>
              <w:rPr>
                <w:rFonts w:hint="eastAsia"/>
                <w:kern w:val="0"/>
                <w:sz w:val="24"/>
              </w:rPr>
              <w:t>（3）</w:t>
            </w:r>
            <w:r>
              <w:rPr>
                <w:kern w:val="0"/>
                <w:sz w:val="24"/>
              </w:rPr>
              <w:t>开挖过程中，洒水使作业保持一定的湿度：对施工场地内松散、干涸的表土，也应经常洒水防治粉尘；回填土方时，在表层土质干燥时应适当洒水，防止粉尘飞扬。</w:t>
            </w:r>
          </w:p>
          <w:p w14:paraId="0540B490">
            <w:pPr>
              <w:autoSpaceDE w:val="0"/>
              <w:autoSpaceDN w:val="0"/>
              <w:adjustRightInd w:val="0"/>
              <w:spacing w:line="360" w:lineRule="auto"/>
              <w:ind w:firstLine="480" w:firstLineChars="200"/>
              <w:rPr>
                <w:kern w:val="0"/>
                <w:sz w:val="24"/>
              </w:rPr>
            </w:pPr>
            <w:r>
              <w:rPr>
                <w:rFonts w:hint="eastAsia"/>
                <w:kern w:val="0"/>
                <w:sz w:val="24"/>
              </w:rPr>
              <w:t>（4）</w:t>
            </w:r>
            <w:r>
              <w:rPr>
                <w:kern w:val="0"/>
                <w:sz w:val="24"/>
              </w:rPr>
              <w:t>加强路面维护及施工运输车辆的运输管理，尽可能防止运输的物料泼洒，运输车辆</w:t>
            </w:r>
            <w:r>
              <w:rPr>
                <w:rFonts w:hint="eastAsia"/>
                <w:kern w:val="0"/>
                <w:sz w:val="24"/>
              </w:rPr>
              <w:t>加蓬</w:t>
            </w:r>
            <w:r>
              <w:rPr>
                <w:kern w:val="0"/>
                <w:sz w:val="24"/>
              </w:rPr>
              <w:t>盖、装卸场地在装卸</w:t>
            </w:r>
            <w:r>
              <w:rPr>
                <w:rFonts w:hint="eastAsia"/>
                <w:kern w:val="0"/>
                <w:sz w:val="24"/>
              </w:rPr>
              <w:t>前</w:t>
            </w:r>
            <w:r>
              <w:rPr>
                <w:kern w:val="0"/>
                <w:sz w:val="24"/>
              </w:rPr>
              <w:t>先冲洗干净，减少车轮、底盘等携带泥土</w:t>
            </w:r>
            <w:r>
              <w:rPr>
                <w:rFonts w:hint="eastAsia"/>
                <w:kern w:val="0"/>
                <w:sz w:val="24"/>
              </w:rPr>
              <w:t>散落</w:t>
            </w:r>
            <w:r>
              <w:rPr>
                <w:kern w:val="0"/>
                <w:sz w:val="24"/>
              </w:rPr>
              <w:t>。</w:t>
            </w:r>
          </w:p>
          <w:p w14:paraId="0D8A1CE2">
            <w:pPr>
              <w:autoSpaceDE w:val="0"/>
              <w:autoSpaceDN w:val="0"/>
              <w:adjustRightInd w:val="0"/>
              <w:spacing w:line="360" w:lineRule="auto"/>
              <w:ind w:firstLine="480" w:firstLineChars="200"/>
              <w:rPr>
                <w:kern w:val="0"/>
                <w:sz w:val="24"/>
              </w:rPr>
            </w:pPr>
            <w:r>
              <w:rPr>
                <w:rFonts w:hint="eastAsia"/>
                <w:kern w:val="0"/>
                <w:sz w:val="24"/>
              </w:rPr>
              <w:t>（5）</w:t>
            </w:r>
            <w:r>
              <w:rPr>
                <w:kern w:val="0"/>
                <w:sz w:val="24"/>
              </w:rPr>
              <w:t>配备洒水车</w:t>
            </w:r>
            <w:r>
              <w:rPr>
                <w:rFonts w:hint="eastAsia"/>
                <w:kern w:val="0"/>
                <w:sz w:val="24"/>
              </w:rPr>
              <w:t>1辆</w:t>
            </w:r>
            <w:r>
              <w:rPr>
                <w:kern w:val="0"/>
                <w:sz w:val="24"/>
              </w:rPr>
              <w:t>，对各施工场地经常洒水，一般每天可洒水4</w:t>
            </w:r>
            <w:r>
              <w:rPr>
                <w:rFonts w:hint="eastAsia"/>
                <w:kern w:val="0"/>
                <w:sz w:val="24"/>
              </w:rPr>
              <w:t>～</w:t>
            </w:r>
            <w:r>
              <w:rPr>
                <w:kern w:val="0"/>
                <w:sz w:val="24"/>
              </w:rPr>
              <w:t>5次。</w:t>
            </w:r>
          </w:p>
          <w:p w14:paraId="04452BF0">
            <w:pPr>
              <w:autoSpaceDE w:val="0"/>
              <w:autoSpaceDN w:val="0"/>
              <w:adjustRightInd w:val="0"/>
              <w:spacing w:line="360" w:lineRule="auto"/>
              <w:ind w:firstLine="480" w:firstLineChars="200"/>
              <w:rPr>
                <w:kern w:val="0"/>
                <w:sz w:val="24"/>
              </w:rPr>
            </w:pPr>
            <w:bookmarkStart w:id="177" w:name="_Hlk216990614"/>
            <w:r>
              <w:rPr>
                <w:rFonts w:hint="eastAsia"/>
                <w:kern w:val="0"/>
                <w:sz w:val="24"/>
              </w:rPr>
              <w:t>（6）</w:t>
            </w:r>
            <w:r>
              <w:rPr>
                <w:kern w:val="0"/>
                <w:sz w:val="24"/>
              </w:rPr>
              <w:t>各施工段应设置相应的环境保护管理人员，其职责是指导和管理施工现场的工程弃土、建筑材料的处置、清运、堆放，场地恢复和硬化，清除进出施工现场道路上的泥土、弃料以及车辆、轮胎上的泥土，防止二次扬尘污染；对一些质轻、易飞扬的施工材料，如水泥等的堆放场地，应采取防止扬尘措施，如设简易堆放棚等，避免风吹损失和二次污染。</w:t>
            </w:r>
          </w:p>
          <w:bookmarkEnd w:id="177"/>
          <w:p w14:paraId="37623BEC">
            <w:pPr>
              <w:autoSpaceDE w:val="0"/>
              <w:autoSpaceDN w:val="0"/>
              <w:adjustRightInd w:val="0"/>
              <w:snapToGrid w:val="0"/>
              <w:spacing w:line="360" w:lineRule="auto"/>
              <w:ind w:firstLine="480" w:firstLineChars="200"/>
              <w:rPr>
                <w:kern w:val="0"/>
                <w:sz w:val="24"/>
              </w:rPr>
            </w:pPr>
            <w:r>
              <w:rPr>
                <w:rFonts w:hint="eastAsia"/>
                <w:kern w:val="0"/>
                <w:sz w:val="24"/>
              </w:rPr>
              <w:t>（7）</w:t>
            </w:r>
            <w:r>
              <w:rPr>
                <w:kern w:val="0"/>
                <w:sz w:val="24"/>
              </w:rPr>
              <w:t>施工期环保对策措施的执行与落实纳入施工监理专项工作，施工期环保管理人员</w:t>
            </w:r>
            <w:r>
              <w:rPr>
                <w:rFonts w:hint="eastAsia"/>
                <w:kern w:val="0"/>
                <w:sz w:val="24"/>
              </w:rPr>
              <w:t>对</w:t>
            </w:r>
            <w:r>
              <w:rPr>
                <w:kern w:val="0"/>
                <w:sz w:val="24"/>
              </w:rPr>
              <w:t>措施执行情况及效果进行巡查，发现环境污染、</w:t>
            </w:r>
            <w:r>
              <w:rPr>
                <w:rFonts w:hint="eastAsia"/>
                <w:kern w:val="0"/>
                <w:sz w:val="24"/>
              </w:rPr>
              <w:t>投诉</w:t>
            </w:r>
            <w:r>
              <w:rPr>
                <w:kern w:val="0"/>
                <w:sz w:val="24"/>
              </w:rPr>
              <w:t>和纠纷等问题，及时上报并</w:t>
            </w:r>
            <w:r>
              <w:rPr>
                <w:rFonts w:hint="eastAsia"/>
                <w:kern w:val="0"/>
                <w:sz w:val="24"/>
              </w:rPr>
              <w:t>妥善</w:t>
            </w:r>
            <w:r>
              <w:rPr>
                <w:kern w:val="0"/>
                <w:sz w:val="24"/>
              </w:rPr>
              <w:t>合理解决。</w:t>
            </w:r>
          </w:p>
          <w:p w14:paraId="3D99330E">
            <w:pPr>
              <w:autoSpaceDE w:val="0"/>
              <w:autoSpaceDN w:val="0"/>
              <w:adjustRightInd w:val="0"/>
              <w:snapToGrid w:val="0"/>
              <w:spacing w:line="360" w:lineRule="auto"/>
              <w:ind w:firstLine="480" w:firstLineChars="200"/>
              <w:rPr>
                <w:kern w:val="0"/>
                <w:sz w:val="24"/>
              </w:rPr>
            </w:pPr>
            <w:r>
              <w:rPr>
                <w:kern w:val="0"/>
                <w:sz w:val="24"/>
              </w:rPr>
              <w:t>经采取以上扬尘污染防治措施后，施工</w:t>
            </w:r>
            <w:r>
              <w:rPr>
                <w:rFonts w:hint="eastAsia"/>
                <w:kern w:val="0"/>
                <w:sz w:val="24"/>
              </w:rPr>
              <w:t>厂界</w:t>
            </w:r>
            <w:r>
              <w:rPr>
                <w:kern w:val="0"/>
                <w:sz w:val="24"/>
              </w:rPr>
              <w:t>扬尘可达到《大气污染物综合排放标准》（GB</w:t>
            </w:r>
            <w:r>
              <w:rPr>
                <w:rFonts w:hint="eastAsia"/>
                <w:kern w:val="0"/>
                <w:sz w:val="24"/>
              </w:rPr>
              <w:t xml:space="preserve"> </w:t>
            </w:r>
            <w:r>
              <w:rPr>
                <w:kern w:val="0"/>
                <w:sz w:val="24"/>
              </w:rPr>
              <w:t>16297-1996）无组织排放浓度限值要求。</w:t>
            </w:r>
          </w:p>
          <w:p w14:paraId="7B3C6585">
            <w:pPr>
              <w:overflowPunct w:val="0"/>
              <w:topLinePunct/>
              <w:autoSpaceDE w:val="0"/>
              <w:autoSpaceDN w:val="0"/>
              <w:spacing w:line="360" w:lineRule="auto"/>
              <w:rPr>
                <w:rFonts w:hint="eastAsia"/>
                <w:b/>
                <w:bCs/>
                <w:snapToGrid w:val="0"/>
                <w:kern w:val="0"/>
                <w:sz w:val="24"/>
              </w:rPr>
            </w:pPr>
            <w:bookmarkStart w:id="178" w:name="_Hlk216990623"/>
            <w:r>
              <w:rPr>
                <w:rFonts w:hint="eastAsia"/>
                <w:b/>
                <w:bCs/>
                <w:snapToGrid w:val="0"/>
                <w:kern w:val="0"/>
                <w:sz w:val="24"/>
              </w:rPr>
              <w:t>5.1.4 水环境保护措施</w:t>
            </w:r>
          </w:p>
          <w:bookmarkEnd w:id="178"/>
          <w:p w14:paraId="20DCC54B">
            <w:pPr>
              <w:autoSpaceDE w:val="0"/>
              <w:autoSpaceDN w:val="0"/>
              <w:spacing w:line="360" w:lineRule="auto"/>
              <w:ind w:firstLine="480" w:firstLineChars="200"/>
              <w:rPr>
                <w:kern w:val="0"/>
                <w:sz w:val="24"/>
              </w:rPr>
            </w:pPr>
            <w:r>
              <w:rPr>
                <w:kern w:val="0"/>
                <w:sz w:val="24"/>
              </w:rPr>
              <w:t>为保护</w:t>
            </w:r>
            <w:r>
              <w:rPr>
                <w:rFonts w:hint="eastAsia"/>
                <w:kern w:val="0"/>
                <w:sz w:val="24"/>
              </w:rPr>
              <w:t>周边地表水</w:t>
            </w:r>
            <w:r>
              <w:rPr>
                <w:kern w:val="0"/>
                <w:sz w:val="24"/>
              </w:rPr>
              <w:t>水质，减轻施工期施工活</w:t>
            </w:r>
            <w:r>
              <w:rPr>
                <w:rFonts w:hint="eastAsia"/>
                <w:kern w:val="0"/>
                <w:sz w:val="24"/>
              </w:rPr>
              <w:t>动对周边地表水</w:t>
            </w:r>
            <w:r>
              <w:rPr>
                <w:kern w:val="0"/>
                <w:sz w:val="24"/>
              </w:rPr>
              <w:t>的不利影响，本次评价提出如下施工期水环境保护措施：</w:t>
            </w:r>
          </w:p>
          <w:p w14:paraId="7FAD4A59">
            <w:pPr>
              <w:pStyle w:val="212"/>
              <w:ind w:firstLine="480"/>
              <w:rPr>
                <w:rFonts w:hint="eastAsia"/>
              </w:rPr>
            </w:pPr>
            <w:r>
              <w:t>（</w:t>
            </w:r>
            <w:r>
              <w:rPr>
                <w:rFonts w:hint="eastAsia"/>
              </w:rPr>
              <w:t>1</w:t>
            </w:r>
            <w:r>
              <w:t>）</w:t>
            </w:r>
            <w:r>
              <w:rPr>
                <w:rFonts w:hint="eastAsia"/>
              </w:rPr>
              <w:t>合理安排施工进度，土石方工程尽量避开雨季。</w:t>
            </w:r>
          </w:p>
          <w:p w14:paraId="521355D3">
            <w:pPr>
              <w:pStyle w:val="212"/>
              <w:ind w:firstLine="480"/>
            </w:pPr>
            <w:r>
              <w:t>（</w:t>
            </w:r>
            <w:r>
              <w:rPr>
                <w:rFonts w:hint="eastAsia"/>
              </w:rPr>
              <w:t>2</w:t>
            </w:r>
            <w:r>
              <w:t>）</w:t>
            </w:r>
            <w:r>
              <w:rPr>
                <w:rFonts w:hint="eastAsia"/>
              </w:rPr>
              <w:t>生活污水：本项目不设置施工营地，施工人员的生活污水依托租住村庄的现有污水处理设施处理。</w:t>
            </w:r>
          </w:p>
          <w:p w14:paraId="691425CC">
            <w:pPr>
              <w:autoSpaceDE w:val="0"/>
              <w:autoSpaceDN w:val="0"/>
              <w:spacing w:line="360" w:lineRule="auto"/>
              <w:ind w:firstLine="480" w:firstLineChars="200"/>
              <w:rPr>
                <w:kern w:val="0"/>
                <w:sz w:val="24"/>
              </w:rPr>
            </w:pPr>
            <w:bookmarkStart w:id="179" w:name="_Hlk216990636"/>
            <w:r>
              <w:rPr>
                <w:rFonts w:hint="eastAsia"/>
                <w:kern w:val="0"/>
                <w:sz w:val="24"/>
              </w:rPr>
              <w:t>（3）</w:t>
            </w:r>
            <w:r>
              <w:rPr>
                <w:kern w:val="0"/>
                <w:sz w:val="24"/>
              </w:rPr>
              <w:t>施工废</w:t>
            </w:r>
            <w:r>
              <w:rPr>
                <w:rFonts w:hint="eastAsia"/>
                <w:kern w:val="0"/>
                <w:sz w:val="24"/>
              </w:rPr>
              <w:t>污</w:t>
            </w:r>
            <w:r>
              <w:rPr>
                <w:kern w:val="0"/>
                <w:sz w:val="24"/>
              </w:rPr>
              <w:t>水</w:t>
            </w:r>
            <w:r>
              <w:rPr>
                <w:rFonts w:hint="eastAsia"/>
                <w:kern w:val="0"/>
                <w:sz w:val="24"/>
              </w:rPr>
              <w:t>处理后全部</w:t>
            </w:r>
            <w:r>
              <w:rPr>
                <w:kern w:val="0"/>
                <w:sz w:val="24"/>
              </w:rPr>
              <w:t>回用于</w:t>
            </w:r>
            <w:r>
              <w:rPr>
                <w:rFonts w:hint="eastAsia"/>
                <w:kern w:val="0"/>
                <w:sz w:val="24"/>
              </w:rPr>
              <w:t>洒水抑尘，</w:t>
            </w:r>
            <w:r>
              <w:rPr>
                <w:kern w:val="0"/>
                <w:sz w:val="24"/>
              </w:rPr>
              <w:t>不外排。</w:t>
            </w:r>
          </w:p>
          <w:p w14:paraId="4548B0B5">
            <w:pPr>
              <w:autoSpaceDE w:val="0"/>
              <w:autoSpaceDN w:val="0"/>
              <w:spacing w:line="360" w:lineRule="auto"/>
              <w:ind w:firstLine="480" w:firstLineChars="200"/>
              <w:rPr>
                <w:kern w:val="0"/>
                <w:sz w:val="24"/>
              </w:rPr>
            </w:pPr>
            <w:r>
              <w:rPr>
                <w:rFonts w:hint="eastAsia"/>
                <w:kern w:val="0"/>
                <w:sz w:val="24"/>
              </w:rPr>
              <w:t>（4）</w:t>
            </w:r>
            <w:r>
              <w:rPr>
                <w:kern w:val="0"/>
                <w:sz w:val="24"/>
              </w:rPr>
              <w:t>施工过程中，必须严格按照有关设计及规范规定。施工过程中产生的表土不乱堆乱倒，做到文明施工，避免将泥渣直接排入地表水体中。</w:t>
            </w:r>
          </w:p>
          <w:p w14:paraId="3663EF43">
            <w:pPr>
              <w:pStyle w:val="212"/>
              <w:ind w:firstLine="480"/>
              <w:rPr>
                <w:kern w:val="0"/>
              </w:rPr>
            </w:pPr>
            <w:r>
              <w:rPr>
                <w:rFonts w:hint="eastAsia"/>
                <w:kern w:val="0"/>
              </w:rPr>
              <w:t>（</w:t>
            </w:r>
            <w:r>
              <w:rPr>
                <w:rFonts w:hint="eastAsia"/>
                <w:kern w:val="0"/>
                <w:lang w:val="en-US"/>
              </w:rPr>
              <w:t>5</w:t>
            </w:r>
            <w:r>
              <w:rPr>
                <w:rFonts w:hint="eastAsia"/>
                <w:kern w:val="0"/>
              </w:rPr>
              <w:t>）</w:t>
            </w:r>
            <w:r>
              <w:rPr>
                <w:rFonts w:hint="eastAsia"/>
              </w:rPr>
              <w:t>项目区内设置排水沟与沉沙池，</w:t>
            </w:r>
            <w:r>
              <w:rPr>
                <w:kern w:val="0"/>
              </w:rPr>
              <w:t>确保排水设施和沉淀设施连续、通畅，发现堵塞或损坏，应当立即疏通或修复。</w:t>
            </w:r>
          </w:p>
          <w:p w14:paraId="61EB6B7E">
            <w:pPr>
              <w:autoSpaceDE w:val="0"/>
              <w:autoSpaceDN w:val="0"/>
              <w:spacing w:line="360" w:lineRule="auto"/>
              <w:ind w:firstLine="480" w:firstLineChars="200"/>
              <w:rPr>
                <w:kern w:val="0"/>
                <w:sz w:val="24"/>
              </w:rPr>
            </w:pPr>
            <w:r>
              <w:rPr>
                <w:rFonts w:hint="eastAsia"/>
                <w:kern w:val="0"/>
                <w:sz w:val="24"/>
              </w:rPr>
              <w:t>（6）</w:t>
            </w:r>
            <w:r>
              <w:rPr>
                <w:kern w:val="0"/>
                <w:sz w:val="24"/>
              </w:rPr>
              <w:t>项目应加强管理，做好机械的日常维护保养，杜绝跑、冒、滴、漏现象。</w:t>
            </w:r>
          </w:p>
          <w:p w14:paraId="67CAA163">
            <w:pPr>
              <w:autoSpaceDE w:val="0"/>
              <w:autoSpaceDN w:val="0"/>
              <w:spacing w:line="360" w:lineRule="auto"/>
              <w:ind w:firstLine="480" w:firstLineChars="200"/>
              <w:rPr>
                <w:kern w:val="0"/>
                <w:sz w:val="24"/>
              </w:rPr>
            </w:pPr>
            <w:r>
              <w:rPr>
                <w:rFonts w:hint="eastAsia"/>
                <w:kern w:val="0"/>
                <w:sz w:val="24"/>
              </w:rPr>
              <w:t>（7）</w:t>
            </w:r>
            <w:r>
              <w:rPr>
                <w:kern w:val="0"/>
                <w:sz w:val="24"/>
              </w:rPr>
              <w:t>施工场地材料堆场四周设置挡墙，防止散料被雨水冲刷流失到</w:t>
            </w:r>
            <w:r>
              <w:rPr>
                <w:rFonts w:hint="eastAsia"/>
                <w:kern w:val="0"/>
                <w:sz w:val="24"/>
              </w:rPr>
              <w:t>地表水体</w:t>
            </w:r>
            <w:r>
              <w:rPr>
                <w:kern w:val="0"/>
                <w:sz w:val="24"/>
              </w:rPr>
              <w:t>中；施工材料中如化学建材等不得堆放在地表水体附近，并加设土工布围挡，防止被雨水冲刷进入</w:t>
            </w:r>
            <w:r>
              <w:rPr>
                <w:rFonts w:hint="eastAsia"/>
                <w:kern w:val="0"/>
                <w:sz w:val="24"/>
              </w:rPr>
              <w:t>地表水体</w:t>
            </w:r>
            <w:r>
              <w:rPr>
                <w:kern w:val="0"/>
                <w:sz w:val="24"/>
              </w:rPr>
              <w:t>。</w:t>
            </w:r>
          </w:p>
          <w:p w14:paraId="1A8FF112">
            <w:pPr>
              <w:autoSpaceDE w:val="0"/>
              <w:autoSpaceDN w:val="0"/>
              <w:spacing w:line="360" w:lineRule="auto"/>
              <w:ind w:firstLine="480" w:firstLineChars="200"/>
              <w:rPr>
                <w:kern w:val="0"/>
                <w:sz w:val="24"/>
              </w:rPr>
            </w:pPr>
            <w:r>
              <w:rPr>
                <w:rFonts w:hint="eastAsia"/>
                <w:kern w:val="0"/>
                <w:sz w:val="24"/>
              </w:rPr>
              <w:t>（8）</w:t>
            </w:r>
            <w:r>
              <w:rPr>
                <w:kern w:val="0"/>
                <w:sz w:val="24"/>
              </w:rPr>
              <w:t>施工场地散落的物料要及时清扫，物料堆放要采取防雨水冲刷和淋溶措施，以免被冲入河道，污染水体。</w:t>
            </w:r>
          </w:p>
          <w:bookmarkEnd w:id="179"/>
          <w:p w14:paraId="2E901E51">
            <w:pPr>
              <w:overflowPunct w:val="0"/>
              <w:topLinePunct/>
              <w:autoSpaceDE w:val="0"/>
              <w:autoSpaceDN w:val="0"/>
              <w:spacing w:line="360" w:lineRule="auto"/>
              <w:rPr>
                <w:rFonts w:hint="eastAsia"/>
                <w:b/>
                <w:bCs/>
                <w:snapToGrid w:val="0"/>
                <w:kern w:val="0"/>
                <w:sz w:val="24"/>
              </w:rPr>
            </w:pPr>
            <w:r>
              <w:rPr>
                <w:rFonts w:hint="eastAsia"/>
                <w:b/>
                <w:bCs/>
                <w:snapToGrid w:val="0"/>
                <w:kern w:val="0"/>
                <w:sz w:val="24"/>
              </w:rPr>
              <w:t>5.1.5 噪声防治对策措施</w:t>
            </w:r>
          </w:p>
          <w:p w14:paraId="3B4FC8C8">
            <w:pPr>
              <w:spacing w:line="360" w:lineRule="auto"/>
              <w:ind w:firstLine="482" w:firstLineChars="200"/>
              <w:rPr>
                <w:b/>
                <w:bCs/>
                <w:snapToGrid w:val="0"/>
                <w:color w:val="000000"/>
                <w:kern w:val="0"/>
                <w:sz w:val="24"/>
              </w:rPr>
            </w:pPr>
            <w:r>
              <w:rPr>
                <w:b/>
                <w:bCs/>
                <w:snapToGrid w:val="0"/>
                <w:color w:val="000000"/>
                <w:kern w:val="0"/>
                <w:sz w:val="24"/>
              </w:rPr>
              <w:t>（1）规划布局</w:t>
            </w:r>
          </w:p>
          <w:p w14:paraId="125E5A2F">
            <w:pPr>
              <w:spacing w:line="360" w:lineRule="auto"/>
              <w:ind w:firstLine="480" w:firstLineChars="200"/>
              <w:rPr>
                <w:sz w:val="24"/>
                <w:szCs w:val="22"/>
              </w:rPr>
            </w:pPr>
            <w:r>
              <w:rPr>
                <w:sz w:val="24"/>
                <w:szCs w:val="22"/>
              </w:rPr>
              <w:t>要求建设单位以及设计单位优化设计，尽可能将保护目标30</w:t>
            </w:r>
            <w:r>
              <w:rPr>
                <w:rFonts w:hint="eastAsia"/>
                <w:sz w:val="24"/>
                <w:szCs w:val="22"/>
              </w:rPr>
              <w:t>m</w:t>
            </w:r>
            <w:r>
              <w:rPr>
                <w:sz w:val="24"/>
                <w:szCs w:val="22"/>
              </w:rPr>
              <w:t>范围内的光伏板布置优化至其他地区。</w:t>
            </w:r>
          </w:p>
          <w:p w14:paraId="56DB938D">
            <w:pPr>
              <w:spacing w:line="360" w:lineRule="auto"/>
              <w:ind w:firstLine="482" w:firstLineChars="200"/>
              <w:rPr>
                <w:b/>
                <w:bCs/>
                <w:snapToGrid w:val="0"/>
                <w:color w:val="000000"/>
                <w:kern w:val="0"/>
                <w:sz w:val="24"/>
              </w:rPr>
            </w:pPr>
            <w:bookmarkStart w:id="180" w:name="OLE_LINK43"/>
            <w:r>
              <w:rPr>
                <w:b/>
                <w:bCs/>
                <w:snapToGrid w:val="0"/>
                <w:color w:val="000000"/>
                <w:kern w:val="0"/>
                <w:sz w:val="24"/>
              </w:rPr>
              <w:t>（2）噪声源控制</w:t>
            </w:r>
          </w:p>
          <w:p w14:paraId="3F709427">
            <w:pPr>
              <w:spacing w:line="360" w:lineRule="auto"/>
              <w:ind w:firstLine="480" w:firstLineChars="200"/>
              <w:rPr>
                <w:snapToGrid w:val="0"/>
                <w:color w:val="000000"/>
                <w:kern w:val="0"/>
                <w:sz w:val="24"/>
              </w:rPr>
            </w:pPr>
            <w:r>
              <w:rPr>
                <w:snapToGrid w:val="0"/>
                <w:color w:val="000000"/>
                <w:kern w:val="0"/>
                <w:sz w:val="24"/>
              </w:rPr>
              <w:t>1）尽量采用低噪声施工机械，工程施工所用的施工机械设备应事先对其常规工作状态下的噪声进行测量，超过国家标准的机械应禁止入场施工。</w:t>
            </w:r>
          </w:p>
          <w:p w14:paraId="41FBF144">
            <w:pPr>
              <w:spacing w:line="360" w:lineRule="auto"/>
              <w:ind w:firstLine="480" w:firstLineChars="200"/>
              <w:rPr>
                <w:snapToGrid w:val="0"/>
                <w:color w:val="000000"/>
                <w:kern w:val="0"/>
                <w:sz w:val="24"/>
              </w:rPr>
            </w:pPr>
            <w:r>
              <w:rPr>
                <w:snapToGrid w:val="0"/>
                <w:color w:val="000000"/>
                <w:kern w:val="0"/>
                <w:sz w:val="24"/>
              </w:rPr>
              <w:t>2）对强噪声设备进行一定的隔声及减振处理，在不影响施工情况下将噪声设备尽量不集中安排，固定的机械设备尽量入棚操作。</w:t>
            </w:r>
          </w:p>
          <w:p w14:paraId="40929A48">
            <w:pPr>
              <w:spacing w:line="360" w:lineRule="auto"/>
              <w:ind w:firstLine="480" w:firstLineChars="200"/>
              <w:rPr>
                <w:snapToGrid w:val="0"/>
                <w:color w:val="000000"/>
                <w:kern w:val="0"/>
                <w:sz w:val="24"/>
              </w:rPr>
            </w:pPr>
            <w:r>
              <w:rPr>
                <w:snapToGrid w:val="0"/>
                <w:color w:val="000000"/>
                <w:kern w:val="0"/>
                <w:sz w:val="24"/>
              </w:rPr>
              <w:t>3）对施工机械进行维护，减小施工机械的施工噪声，同时施工单位应设专人对设备进行定期保养和维护。</w:t>
            </w:r>
          </w:p>
          <w:p w14:paraId="4C276DD2">
            <w:pPr>
              <w:spacing w:line="360" w:lineRule="auto"/>
              <w:ind w:firstLine="480" w:firstLineChars="200"/>
              <w:rPr>
                <w:snapToGrid w:val="0"/>
                <w:color w:val="000000"/>
                <w:kern w:val="0"/>
                <w:sz w:val="24"/>
              </w:rPr>
            </w:pPr>
            <w:r>
              <w:rPr>
                <w:snapToGrid w:val="0"/>
                <w:color w:val="000000"/>
                <w:kern w:val="0"/>
                <w:sz w:val="24"/>
              </w:rPr>
              <w:t>4）运输过程中的车辆应尽量避免在夜间运输，限制车速，进出</w:t>
            </w:r>
            <w:r>
              <w:rPr>
                <w:rFonts w:hint="eastAsia"/>
                <w:snapToGrid w:val="0"/>
                <w:color w:val="000000"/>
                <w:kern w:val="0"/>
                <w:sz w:val="24"/>
              </w:rPr>
              <w:t>厂区</w:t>
            </w:r>
            <w:r>
              <w:rPr>
                <w:snapToGrid w:val="0"/>
                <w:color w:val="000000"/>
                <w:kern w:val="0"/>
                <w:sz w:val="24"/>
              </w:rPr>
              <w:t>、经过居民点时严禁鸣笛，做到文明行车。</w:t>
            </w:r>
          </w:p>
          <w:p w14:paraId="274611C0">
            <w:pPr>
              <w:spacing w:line="360" w:lineRule="auto"/>
              <w:ind w:firstLine="480" w:firstLineChars="200"/>
              <w:rPr>
                <w:snapToGrid w:val="0"/>
                <w:color w:val="000000"/>
                <w:kern w:val="0"/>
                <w:sz w:val="24"/>
              </w:rPr>
            </w:pPr>
            <w:r>
              <w:rPr>
                <w:snapToGrid w:val="0"/>
                <w:color w:val="000000"/>
                <w:kern w:val="0"/>
                <w:sz w:val="24"/>
              </w:rPr>
              <w:t>5）在进行物料运输时，应合理安排运输时间，经过环境保护目标时应低速、禁鸣。</w:t>
            </w:r>
          </w:p>
          <w:bookmarkEnd w:id="180"/>
          <w:p w14:paraId="21DFFDB5">
            <w:pPr>
              <w:spacing w:line="360" w:lineRule="auto"/>
              <w:ind w:firstLine="482" w:firstLineChars="200"/>
              <w:rPr>
                <w:b/>
                <w:bCs/>
                <w:snapToGrid w:val="0"/>
                <w:color w:val="000000"/>
                <w:kern w:val="0"/>
                <w:sz w:val="24"/>
              </w:rPr>
            </w:pPr>
            <w:r>
              <w:rPr>
                <w:b/>
                <w:bCs/>
                <w:snapToGrid w:val="0"/>
                <w:color w:val="000000"/>
                <w:kern w:val="0"/>
                <w:sz w:val="24"/>
              </w:rPr>
              <w:t>（3）噪声传播途径控制</w:t>
            </w:r>
          </w:p>
          <w:p w14:paraId="7C65AF74">
            <w:pPr>
              <w:pStyle w:val="212"/>
              <w:ind w:firstLine="480"/>
            </w:pPr>
            <w:bookmarkStart w:id="181" w:name="OLE_LINK64"/>
            <w:r>
              <w:t>按照要求设置隔声围挡，保护目标周围施工地的围挡采用高度不小于2m，长度不小于20m的彩钢瓦按照地形进行围挡</w:t>
            </w:r>
            <w:r>
              <w:rPr>
                <w:rFonts w:hint="eastAsia"/>
              </w:rPr>
              <w:t>，针对昼间施工期噪声超标的1</w:t>
            </w:r>
            <w:r>
              <w:t>1</w:t>
            </w:r>
            <w:r>
              <w:rPr>
                <w:rFonts w:hint="eastAsia"/>
              </w:rPr>
              <w:t>个居民点一侧设置1</w:t>
            </w:r>
            <w:r>
              <w:t>.1</w:t>
            </w:r>
            <w:r>
              <w:rPr>
                <w:rFonts w:hint="eastAsia"/>
              </w:rPr>
              <w:t>km隔声屏障</w:t>
            </w:r>
            <w:bookmarkEnd w:id="181"/>
            <w:r>
              <w:rPr>
                <w:rFonts w:hint="eastAsia"/>
              </w:rPr>
              <w:t>。</w:t>
            </w:r>
          </w:p>
          <w:p w14:paraId="0851FB75">
            <w:pPr>
              <w:spacing w:line="360" w:lineRule="auto"/>
              <w:ind w:firstLine="482" w:firstLineChars="200"/>
              <w:rPr>
                <w:b/>
                <w:bCs/>
                <w:snapToGrid w:val="0"/>
                <w:color w:val="000000"/>
                <w:kern w:val="0"/>
                <w:sz w:val="24"/>
              </w:rPr>
            </w:pPr>
            <w:r>
              <w:rPr>
                <w:b/>
                <w:bCs/>
                <w:snapToGrid w:val="0"/>
                <w:color w:val="000000"/>
                <w:kern w:val="0"/>
                <w:sz w:val="24"/>
              </w:rPr>
              <w:t>（4）管理方面</w:t>
            </w:r>
          </w:p>
          <w:p w14:paraId="7B844E33">
            <w:pPr>
              <w:spacing w:line="360" w:lineRule="auto"/>
              <w:ind w:firstLine="480" w:firstLineChars="200"/>
              <w:rPr>
                <w:snapToGrid w:val="0"/>
                <w:color w:val="000000"/>
                <w:kern w:val="0"/>
                <w:sz w:val="24"/>
              </w:rPr>
            </w:pPr>
            <w:r>
              <w:rPr>
                <w:snapToGrid w:val="0"/>
                <w:color w:val="000000"/>
                <w:kern w:val="0"/>
                <w:sz w:val="24"/>
              </w:rPr>
              <w:t>1）合理安排施工时间，禁止夜间施工，</w:t>
            </w:r>
            <w:r>
              <w:rPr>
                <w:sz w:val="24"/>
                <w:szCs w:val="22"/>
              </w:rPr>
              <w:t>严格控制保护目标周边的施工时间，昼间施工时在中午午休12</w:t>
            </w:r>
            <w:r>
              <w:rPr>
                <w:rFonts w:hint="eastAsia"/>
                <w:sz w:val="24"/>
                <w:szCs w:val="22"/>
              </w:rPr>
              <w:t>:</w:t>
            </w:r>
            <w:r>
              <w:rPr>
                <w:sz w:val="24"/>
                <w:szCs w:val="22"/>
              </w:rPr>
              <w:t>00-2</w:t>
            </w:r>
            <w:r>
              <w:rPr>
                <w:rFonts w:hint="eastAsia"/>
                <w:sz w:val="24"/>
                <w:szCs w:val="22"/>
              </w:rPr>
              <w:t>:</w:t>
            </w:r>
            <w:r>
              <w:rPr>
                <w:sz w:val="24"/>
                <w:szCs w:val="22"/>
              </w:rPr>
              <w:t>00不施工。</w:t>
            </w:r>
          </w:p>
          <w:p w14:paraId="6BA9E0CE">
            <w:pPr>
              <w:autoSpaceDE w:val="0"/>
              <w:autoSpaceDN w:val="0"/>
              <w:spacing w:line="360" w:lineRule="auto"/>
              <w:ind w:firstLine="480" w:firstLineChars="200"/>
              <w:rPr>
                <w:sz w:val="24"/>
                <w:szCs w:val="24"/>
              </w:rPr>
            </w:pPr>
            <w:r>
              <w:rPr>
                <w:sz w:val="24"/>
                <w:szCs w:val="22"/>
              </w:rPr>
              <w:t>2）在保护目标</w:t>
            </w:r>
            <w:r>
              <w:rPr>
                <w:rFonts w:hint="eastAsia"/>
                <w:sz w:val="24"/>
                <w:szCs w:val="22"/>
              </w:rPr>
              <w:t>周边</w:t>
            </w:r>
            <w:r>
              <w:rPr>
                <w:sz w:val="24"/>
                <w:szCs w:val="22"/>
              </w:rPr>
              <w:t>施工前张贴告示并</w:t>
            </w:r>
            <w:r>
              <w:rPr>
                <w:rFonts w:hint="eastAsia"/>
                <w:sz w:val="24"/>
                <w:szCs w:val="22"/>
              </w:rPr>
              <w:t>与</w:t>
            </w:r>
            <w:r>
              <w:rPr>
                <w:sz w:val="24"/>
                <w:szCs w:val="22"/>
              </w:rPr>
              <w:t>施工地点附近的居民进行沟通。</w:t>
            </w:r>
          </w:p>
          <w:p w14:paraId="1EDE2374">
            <w:pPr>
              <w:overflowPunct w:val="0"/>
              <w:topLinePunct/>
              <w:autoSpaceDE w:val="0"/>
              <w:autoSpaceDN w:val="0"/>
              <w:spacing w:line="360" w:lineRule="auto"/>
              <w:rPr>
                <w:rFonts w:hint="eastAsia"/>
                <w:b/>
                <w:bCs/>
                <w:snapToGrid w:val="0"/>
                <w:kern w:val="0"/>
                <w:sz w:val="24"/>
              </w:rPr>
            </w:pPr>
            <w:r>
              <w:rPr>
                <w:rFonts w:hint="eastAsia"/>
                <w:b/>
                <w:bCs/>
                <w:snapToGrid w:val="0"/>
                <w:kern w:val="0"/>
                <w:sz w:val="24"/>
              </w:rPr>
              <w:t>5.1.6 固体废物处置措施</w:t>
            </w:r>
          </w:p>
          <w:p w14:paraId="50F43163">
            <w:pPr>
              <w:spacing w:line="360" w:lineRule="auto"/>
              <w:ind w:firstLine="482" w:firstLineChars="200"/>
              <w:rPr>
                <w:b/>
                <w:bCs/>
                <w:sz w:val="24"/>
              </w:rPr>
            </w:pPr>
            <w:bookmarkStart w:id="182" w:name="_Hlk216990782"/>
            <w:r>
              <w:rPr>
                <w:b/>
                <w:bCs/>
                <w:sz w:val="24"/>
              </w:rPr>
              <w:t>（1）废弃土石方</w:t>
            </w:r>
          </w:p>
          <w:p w14:paraId="34819A88">
            <w:pPr>
              <w:spacing w:line="360" w:lineRule="auto"/>
              <w:ind w:firstLine="480" w:firstLineChars="200"/>
              <w:rPr>
                <w:sz w:val="24"/>
              </w:rPr>
            </w:pPr>
            <w:r>
              <w:rPr>
                <w:sz w:val="24"/>
              </w:rPr>
              <w:t>项目产生土石方内部平衡，不单独设置弃渣场，禁止乱弃渣。</w:t>
            </w:r>
          </w:p>
          <w:p w14:paraId="08E664AF">
            <w:pPr>
              <w:spacing w:line="360" w:lineRule="auto"/>
              <w:ind w:firstLine="482" w:firstLineChars="200"/>
              <w:rPr>
                <w:b/>
                <w:bCs/>
                <w:sz w:val="24"/>
              </w:rPr>
            </w:pPr>
            <w:r>
              <w:rPr>
                <w:b/>
                <w:bCs/>
                <w:sz w:val="24"/>
              </w:rPr>
              <w:t>（2）建筑垃圾</w:t>
            </w:r>
          </w:p>
          <w:p w14:paraId="319852A5">
            <w:pPr>
              <w:spacing w:line="360" w:lineRule="auto"/>
              <w:ind w:firstLine="480" w:firstLineChars="200"/>
              <w:rPr>
                <w:sz w:val="24"/>
              </w:rPr>
            </w:pPr>
            <w:r>
              <w:rPr>
                <w:sz w:val="24"/>
              </w:rPr>
              <w:t>建筑垃圾分类收集，能利用部分外售收购商进行回收利用，不可回收部分委托有资质单位清运至政府部门指定的场所进行处置。建筑垃圾禁止乱堆乱倒。施工单位在施工中应当随时清理建筑垃圾，控制建筑污染；保持施工现场卫生整洁；施工中不得随意抛掷建筑材料、废土、旧料、</w:t>
            </w:r>
            <w:r>
              <w:rPr>
                <w:rFonts w:hint="eastAsia"/>
                <w:sz w:val="24"/>
              </w:rPr>
              <w:t>其他杂物</w:t>
            </w:r>
            <w:r>
              <w:rPr>
                <w:sz w:val="24"/>
              </w:rPr>
              <w:t>和建筑垃圾</w:t>
            </w:r>
            <w:r>
              <w:rPr>
                <w:rFonts w:hint="eastAsia"/>
                <w:sz w:val="24"/>
              </w:rPr>
              <w:t>；对</w:t>
            </w:r>
            <w:r>
              <w:rPr>
                <w:sz w:val="24"/>
              </w:rPr>
              <w:t>施工中的金属废料进行统一回收并外售，施工中应当注意清理施工场地，做到随做随清。</w:t>
            </w:r>
          </w:p>
          <w:p w14:paraId="64AF9A83">
            <w:pPr>
              <w:spacing w:line="360" w:lineRule="auto"/>
              <w:ind w:firstLine="482" w:firstLineChars="200"/>
              <w:rPr>
                <w:b/>
                <w:bCs/>
                <w:sz w:val="24"/>
              </w:rPr>
            </w:pPr>
            <w:r>
              <w:rPr>
                <w:b/>
                <w:bCs/>
                <w:sz w:val="24"/>
              </w:rPr>
              <w:t>（3）生活垃圾</w:t>
            </w:r>
          </w:p>
          <w:p w14:paraId="73608612">
            <w:pPr>
              <w:spacing w:line="360" w:lineRule="auto"/>
              <w:ind w:firstLine="480" w:firstLineChars="200"/>
              <w:rPr>
                <w:sz w:val="24"/>
              </w:rPr>
            </w:pPr>
            <w:r>
              <w:rPr>
                <w:rFonts w:hint="eastAsia"/>
                <w:sz w:val="24"/>
              </w:rPr>
              <w:t>生活</w:t>
            </w:r>
            <w:r>
              <w:rPr>
                <w:sz w:val="24"/>
              </w:rPr>
              <w:t>垃圾</w:t>
            </w:r>
            <w:r>
              <w:rPr>
                <w:rFonts w:hint="eastAsia"/>
                <w:sz w:val="24"/>
              </w:rPr>
              <w:t>“</w:t>
            </w:r>
            <w:r>
              <w:rPr>
                <w:sz w:val="24"/>
              </w:rPr>
              <w:t>日产日清</w:t>
            </w:r>
            <w:r>
              <w:rPr>
                <w:rFonts w:hint="eastAsia"/>
                <w:sz w:val="24"/>
              </w:rPr>
              <w:t>”</w:t>
            </w:r>
            <w:r>
              <w:rPr>
                <w:sz w:val="24"/>
              </w:rPr>
              <w:t>，能利用部分外售收购商进行回收利用，不可回收部分</w:t>
            </w:r>
            <w:r>
              <w:rPr>
                <w:rFonts w:hint="eastAsia"/>
                <w:sz w:val="24"/>
              </w:rPr>
              <w:t>由施工现场设置的临时垃圾桶收集后，交附近村庄垃圾收集点由环卫部门处理。</w:t>
            </w:r>
          </w:p>
          <w:p w14:paraId="29AEBD72">
            <w:pPr>
              <w:spacing w:line="360" w:lineRule="auto"/>
              <w:ind w:firstLine="482" w:firstLineChars="200"/>
              <w:rPr>
                <w:b/>
                <w:bCs/>
                <w:sz w:val="24"/>
              </w:rPr>
            </w:pPr>
            <w:r>
              <w:rPr>
                <w:rFonts w:hint="eastAsia"/>
                <w:b/>
                <w:bCs/>
                <w:sz w:val="24"/>
              </w:rPr>
              <w:t>（4）旱厕粪便</w:t>
            </w:r>
          </w:p>
          <w:p w14:paraId="0F041C55">
            <w:pPr>
              <w:pStyle w:val="7"/>
              <w:topLinePunct/>
              <w:spacing w:line="360" w:lineRule="auto"/>
              <w:ind w:firstLine="480"/>
              <w:rPr>
                <w:rFonts w:hint="eastAsia"/>
              </w:rPr>
            </w:pPr>
            <w:r>
              <w:rPr>
                <w:rFonts w:hint="eastAsia"/>
                <w:sz w:val="24"/>
                <w:szCs w:val="24"/>
              </w:rPr>
              <w:t>施工期生产生活区旱厕产生的粪便，定期委托当地村民定期清掏用作农肥。</w:t>
            </w:r>
          </w:p>
          <w:p w14:paraId="600AFA93">
            <w:pPr>
              <w:spacing w:line="360" w:lineRule="auto"/>
              <w:ind w:firstLine="482" w:firstLineChars="200"/>
              <w:rPr>
                <w:b/>
                <w:bCs/>
                <w:sz w:val="24"/>
              </w:rPr>
            </w:pPr>
            <w:r>
              <w:rPr>
                <w:b/>
                <w:bCs/>
                <w:sz w:val="24"/>
              </w:rPr>
              <w:t>（</w:t>
            </w:r>
            <w:r>
              <w:rPr>
                <w:rFonts w:hint="eastAsia"/>
                <w:b/>
                <w:bCs/>
                <w:sz w:val="24"/>
              </w:rPr>
              <w:t>5</w:t>
            </w:r>
            <w:r>
              <w:rPr>
                <w:b/>
                <w:bCs/>
                <w:sz w:val="24"/>
              </w:rPr>
              <w:t>）临时堆土</w:t>
            </w:r>
          </w:p>
          <w:p w14:paraId="7089CA52">
            <w:pPr>
              <w:spacing w:line="360" w:lineRule="auto"/>
              <w:ind w:firstLine="480" w:firstLineChars="200"/>
              <w:rPr>
                <w:sz w:val="24"/>
              </w:rPr>
            </w:pPr>
            <w:r>
              <w:rPr>
                <w:sz w:val="24"/>
              </w:rPr>
              <w:t>项目临时堆场应选择在项目用地范围内，严禁新增占地，并进行覆盖和</w:t>
            </w:r>
            <w:r>
              <w:rPr>
                <w:rFonts w:hint="eastAsia"/>
                <w:sz w:val="24"/>
              </w:rPr>
              <w:t>拦挡</w:t>
            </w:r>
            <w:r>
              <w:rPr>
                <w:sz w:val="24"/>
              </w:rPr>
              <w:t>。</w:t>
            </w:r>
          </w:p>
          <w:p w14:paraId="5ADD8CC4">
            <w:pPr>
              <w:pStyle w:val="7"/>
              <w:spacing w:line="360" w:lineRule="auto"/>
              <w:ind w:firstLine="482"/>
              <w:rPr>
                <w:b/>
                <w:bCs/>
                <w:sz w:val="24"/>
              </w:rPr>
            </w:pPr>
            <w:r>
              <w:rPr>
                <w:b/>
                <w:bCs/>
                <w:sz w:val="24"/>
              </w:rPr>
              <w:t>（</w:t>
            </w:r>
            <w:r>
              <w:rPr>
                <w:rFonts w:hint="eastAsia"/>
                <w:b/>
                <w:bCs/>
                <w:sz w:val="24"/>
              </w:rPr>
              <w:t>6</w:t>
            </w:r>
            <w:r>
              <w:rPr>
                <w:b/>
                <w:bCs/>
                <w:sz w:val="24"/>
              </w:rPr>
              <w:t>）废光伏板</w:t>
            </w:r>
          </w:p>
          <w:p w14:paraId="605E9574">
            <w:pPr>
              <w:pStyle w:val="7"/>
              <w:spacing w:line="360" w:lineRule="auto"/>
              <w:ind w:firstLine="480"/>
              <w:rPr>
                <w:sz w:val="24"/>
              </w:rPr>
            </w:pPr>
            <w:r>
              <w:rPr>
                <w:sz w:val="24"/>
              </w:rPr>
              <w:t>施工期的废光伏板统一回收至厂家进行维修利用或外售处置。</w:t>
            </w:r>
            <w:bookmarkEnd w:id="182"/>
          </w:p>
          <w:p w14:paraId="6ED51701">
            <w:pPr>
              <w:overflowPunct w:val="0"/>
              <w:topLinePunct/>
              <w:autoSpaceDE w:val="0"/>
              <w:autoSpaceDN w:val="0"/>
              <w:spacing w:line="360" w:lineRule="auto"/>
              <w:rPr>
                <w:rFonts w:hint="eastAsia"/>
                <w:b/>
                <w:bCs/>
                <w:snapToGrid w:val="0"/>
                <w:kern w:val="0"/>
                <w:sz w:val="24"/>
              </w:rPr>
            </w:pPr>
            <w:r>
              <w:rPr>
                <w:rFonts w:hint="eastAsia"/>
                <w:b/>
                <w:bCs/>
                <w:snapToGrid w:val="0"/>
                <w:kern w:val="0"/>
                <w:sz w:val="24"/>
              </w:rPr>
              <w:t>5.1.</w:t>
            </w:r>
            <w:r>
              <w:rPr>
                <w:b/>
                <w:bCs/>
                <w:snapToGrid w:val="0"/>
                <w:kern w:val="0"/>
                <w:sz w:val="24"/>
              </w:rPr>
              <w:t>7</w:t>
            </w:r>
            <w:r>
              <w:rPr>
                <w:rFonts w:hint="eastAsia"/>
                <w:b/>
                <w:bCs/>
                <w:snapToGrid w:val="0"/>
                <w:kern w:val="0"/>
                <w:sz w:val="24"/>
              </w:rPr>
              <w:t xml:space="preserve"> 人群健康保护措施</w:t>
            </w:r>
          </w:p>
          <w:p w14:paraId="7F788672">
            <w:pPr>
              <w:pStyle w:val="7"/>
              <w:spacing w:line="360" w:lineRule="auto"/>
              <w:ind w:firstLine="480"/>
              <w:rPr>
                <w:rFonts w:hint="eastAsia"/>
                <w:sz w:val="24"/>
              </w:rPr>
            </w:pPr>
            <w:r>
              <w:rPr>
                <w:rFonts w:hint="eastAsia"/>
                <w:sz w:val="24"/>
              </w:rPr>
              <w:t>（</w:t>
            </w:r>
            <w:r>
              <w:rPr>
                <w:sz w:val="24"/>
              </w:rPr>
              <w:t>1</w:t>
            </w:r>
            <w:r>
              <w:rPr>
                <w:rFonts w:hint="eastAsia"/>
                <w:sz w:val="24"/>
              </w:rPr>
              <w:t>）施工人员进入施工区时，对生产区和部分作业区进行卫生处理，即采取消毒、杀虫、灭鼠等卫生措施。在人群中普及</w:t>
            </w:r>
            <w:r>
              <w:rPr>
                <w:rFonts w:hint="eastAsia"/>
                <w:sz w:val="24"/>
                <w:lang w:eastAsia="zh-CN"/>
              </w:rPr>
              <w:t>传染病防治</w:t>
            </w:r>
            <w:r>
              <w:rPr>
                <w:rFonts w:hint="eastAsia"/>
                <w:sz w:val="24"/>
              </w:rPr>
              <w:t>知识，动员群众开展灭蚊、灭蝇和灭鼠等卫生运动，改善环境卫生，加强个人防护。</w:t>
            </w:r>
          </w:p>
          <w:p w14:paraId="2499AD44">
            <w:pPr>
              <w:pStyle w:val="7"/>
              <w:spacing w:line="360" w:lineRule="auto"/>
              <w:ind w:firstLine="480"/>
              <w:rPr>
                <w:rFonts w:hint="eastAsia"/>
                <w:sz w:val="24"/>
              </w:rPr>
            </w:pPr>
            <w:r>
              <w:rPr>
                <w:rFonts w:hint="eastAsia"/>
                <w:sz w:val="24"/>
              </w:rPr>
              <w:t>（</w:t>
            </w:r>
            <w:r>
              <w:rPr>
                <w:sz w:val="24"/>
              </w:rPr>
              <w:t>2</w:t>
            </w:r>
            <w:r>
              <w:rPr>
                <w:rFonts w:hint="eastAsia"/>
                <w:sz w:val="24"/>
              </w:rPr>
              <w:t>）施工区修建旱厕，及时对垃圾和粪便进行清运处置。</w:t>
            </w:r>
          </w:p>
          <w:p w14:paraId="25E172B1">
            <w:pPr>
              <w:pStyle w:val="7"/>
              <w:spacing w:line="360" w:lineRule="auto"/>
              <w:ind w:firstLine="480"/>
              <w:rPr>
                <w:rFonts w:hint="eastAsia"/>
              </w:rPr>
            </w:pPr>
            <w:r>
              <w:rPr>
                <w:rFonts w:hint="eastAsia"/>
                <w:sz w:val="24"/>
              </w:rPr>
              <w:t>（</w:t>
            </w:r>
            <w:r>
              <w:rPr>
                <w:sz w:val="24"/>
              </w:rPr>
              <w:t>3</w:t>
            </w:r>
            <w:r>
              <w:rPr>
                <w:rFonts w:hint="eastAsia"/>
                <w:sz w:val="24"/>
              </w:rPr>
              <w:t>）应加强流感监测，对所有施工人员作定期健康观察，严格执行流感报告制度。</w:t>
            </w:r>
          </w:p>
        </w:tc>
      </w:tr>
      <w:tr w14:paraId="40C1E2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220" w:type="pct"/>
            <w:noWrap/>
            <w:tcMar>
              <w:left w:w="28" w:type="dxa"/>
              <w:right w:w="28" w:type="dxa"/>
            </w:tcMar>
            <w:vAlign w:val="center"/>
          </w:tcPr>
          <w:p w14:paraId="341B7036">
            <w:pPr>
              <w:adjustRightInd w:val="0"/>
              <w:snapToGrid w:val="0"/>
              <w:jc w:val="center"/>
              <w:rPr>
                <w:rFonts w:ascii="宋体" w:hAnsi="宋体" w:cs="宋体"/>
                <w:bCs/>
                <w:spacing w:val="10"/>
                <w:sz w:val="24"/>
              </w:rPr>
            </w:pPr>
            <w:r>
              <w:rPr>
                <w:rFonts w:hint="eastAsia" w:ascii="宋体" w:hAnsi="宋体" w:cs="宋体"/>
                <w:bCs/>
                <w:spacing w:val="10"/>
                <w:sz w:val="24"/>
              </w:rPr>
              <w:t>运营期生态环境保护措施</w:t>
            </w:r>
          </w:p>
        </w:tc>
        <w:tc>
          <w:tcPr>
            <w:tcW w:w="4779" w:type="pct"/>
            <w:noWrap/>
          </w:tcPr>
          <w:p w14:paraId="73A785A3">
            <w:pPr>
              <w:adjustRightInd w:val="0"/>
              <w:snapToGrid w:val="0"/>
              <w:spacing w:line="360" w:lineRule="auto"/>
              <w:rPr>
                <w:b/>
                <w:spacing w:val="10"/>
                <w:sz w:val="24"/>
              </w:rPr>
            </w:pPr>
            <w:r>
              <w:rPr>
                <w:b/>
                <w:spacing w:val="10"/>
                <w:sz w:val="24"/>
              </w:rPr>
              <w:t>5.2</w:t>
            </w:r>
            <w:r>
              <w:rPr>
                <w:rFonts w:hint="eastAsia"/>
                <w:b/>
                <w:spacing w:val="10"/>
                <w:sz w:val="24"/>
              </w:rPr>
              <w:t xml:space="preserve"> </w:t>
            </w:r>
            <w:r>
              <w:rPr>
                <w:b/>
                <w:spacing w:val="10"/>
                <w:sz w:val="24"/>
              </w:rPr>
              <w:t>运营期生态环境保护措施</w:t>
            </w:r>
          </w:p>
          <w:p w14:paraId="7B885847">
            <w:pPr>
              <w:adjustRightInd w:val="0"/>
              <w:snapToGrid w:val="0"/>
              <w:spacing w:line="360" w:lineRule="auto"/>
              <w:rPr>
                <w:b/>
                <w:spacing w:val="10"/>
                <w:sz w:val="24"/>
              </w:rPr>
            </w:pPr>
            <w:r>
              <w:rPr>
                <w:b/>
                <w:spacing w:val="10"/>
                <w:sz w:val="24"/>
              </w:rPr>
              <w:t>5.2.1</w:t>
            </w:r>
            <w:r>
              <w:rPr>
                <w:rFonts w:hint="eastAsia"/>
                <w:b/>
                <w:spacing w:val="10"/>
                <w:sz w:val="24"/>
              </w:rPr>
              <w:t xml:space="preserve"> </w:t>
            </w:r>
            <w:r>
              <w:rPr>
                <w:b/>
                <w:spacing w:val="10"/>
                <w:sz w:val="24"/>
              </w:rPr>
              <w:t>生态保护</w:t>
            </w:r>
            <w:r>
              <w:rPr>
                <w:rFonts w:hint="eastAsia"/>
                <w:b/>
                <w:spacing w:val="10"/>
                <w:sz w:val="24"/>
              </w:rPr>
              <w:t>对策</w:t>
            </w:r>
            <w:r>
              <w:rPr>
                <w:b/>
                <w:spacing w:val="10"/>
                <w:sz w:val="24"/>
              </w:rPr>
              <w:t>措施</w:t>
            </w:r>
          </w:p>
          <w:p w14:paraId="04E5C794">
            <w:pPr>
              <w:spacing w:line="360" w:lineRule="auto"/>
              <w:ind w:firstLine="480" w:firstLineChars="200"/>
              <w:rPr>
                <w:rFonts w:hint="eastAsia"/>
                <w:sz w:val="24"/>
              </w:rPr>
            </w:pPr>
            <w:r>
              <w:rPr>
                <w:rFonts w:hint="eastAsia"/>
                <w:sz w:val="24"/>
              </w:rPr>
              <w:t>（1）光伏场区等临时用地区域在植被恢复过程中，应加强初期、中期的植被抚育工作。尽量采取场地封禁自然恢复，并辅以适当的人工手段：如选取乡土物种补种补植；项目区较为干旱，必要时可进行适当的洒水浇灌，以保障植被的恢复存活。</w:t>
            </w:r>
          </w:p>
          <w:p w14:paraId="08217DD1">
            <w:pPr>
              <w:adjustRightInd w:val="0"/>
              <w:snapToGrid w:val="0"/>
              <w:spacing w:line="360" w:lineRule="auto"/>
              <w:ind w:firstLine="480" w:firstLineChars="200"/>
              <w:rPr>
                <w:rFonts w:hint="eastAsia"/>
                <w:sz w:val="24"/>
              </w:rPr>
            </w:pPr>
            <w:r>
              <w:rPr>
                <w:rFonts w:hint="eastAsia"/>
                <w:sz w:val="24"/>
              </w:rPr>
              <w:t>（2）占用林草地区域，后期光伏场区植被恢复后，生长过程中在满足电站正常运行的基础上，应尽量减少对下方及周边植物的扰动。在影响电站发电时，应尽量采取人工修剪高度的方式，避免直接清理砍伐。</w:t>
            </w:r>
          </w:p>
          <w:p w14:paraId="3EB12795">
            <w:pPr>
              <w:adjustRightInd w:val="0"/>
              <w:snapToGrid w:val="0"/>
              <w:spacing w:line="360" w:lineRule="auto"/>
              <w:ind w:firstLine="480" w:firstLineChars="200"/>
              <w:rPr>
                <w:rFonts w:hint="eastAsia"/>
                <w:sz w:val="24"/>
              </w:rPr>
            </w:pPr>
            <w:r>
              <w:rPr>
                <w:rFonts w:hint="eastAsia"/>
                <w:sz w:val="24"/>
              </w:rPr>
              <w:t>（3）光伏场区周边围栏等应尽量避免使用过于密集的钢丝网，保留一定的动物通过空间。</w:t>
            </w:r>
          </w:p>
          <w:p w14:paraId="06FF5985">
            <w:pPr>
              <w:adjustRightInd w:val="0"/>
              <w:snapToGrid w:val="0"/>
              <w:spacing w:line="360" w:lineRule="auto"/>
              <w:ind w:firstLine="480" w:firstLineChars="200"/>
              <w:rPr>
                <w:sz w:val="24"/>
              </w:rPr>
            </w:pPr>
            <w:r>
              <w:rPr>
                <w:rFonts w:hint="eastAsia"/>
                <w:sz w:val="24"/>
              </w:rPr>
              <w:t>（4）加强运维管理人员和场地内工作人员的环保宣传教育和监督管理，保护当地的植物及野生动物，禁止人为捕杀；禁止引入外来有害生物。</w:t>
            </w:r>
          </w:p>
          <w:p w14:paraId="6C558E08">
            <w:pPr>
              <w:adjustRightInd w:val="0"/>
              <w:snapToGrid w:val="0"/>
              <w:spacing w:line="360" w:lineRule="auto"/>
              <w:ind w:firstLine="480" w:firstLineChars="200"/>
              <w:rPr>
                <w:rFonts w:hint="eastAsia"/>
                <w:sz w:val="24"/>
              </w:rPr>
            </w:pPr>
            <w:r>
              <w:rPr>
                <w:rFonts w:hint="eastAsia"/>
                <w:sz w:val="24"/>
              </w:rPr>
              <w:t>（5）在光伏板下及阵列间隙，优先选用本土耐寒草种进行植被恢复。植被恢复后，昆虫和小型啮齿类数量增加，可为红隼等猛禽提供充足食物，部分抵消光伏板对猛禽俯冲捕食的不利影响。严禁引入外来物种，以防生态入侵。</w:t>
            </w:r>
          </w:p>
          <w:p w14:paraId="241F96F1">
            <w:pPr>
              <w:adjustRightInd w:val="0"/>
              <w:snapToGrid w:val="0"/>
              <w:spacing w:line="360" w:lineRule="auto"/>
              <w:ind w:firstLine="480" w:firstLineChars="200"/>
              <w:rPr>
                <w:rFonts w:hint="eastAsia"/>
                <w:sz w:val="24"/>
              </w:rPr>
            </w:pPr>
            <w:r>
              <w:rPr>
                <w:rFonts w:hint="eastAsia"/>
                <w:sz w:val="24"/>
              </w:rPr>
              <w:t>（6）做好项目区的森林草原防火工作，重点加强项目运营、检修期间的野外火源管理，落实森林草原防火管护人员和措施。</w:t>
            </w:r>
          </w:p>
          <w:p w14:paraId="72CD17B5">
            <w:pPr>
              <w:adjustRightInd w:val="0"/>
              <w:snapToGrid w:val="0"/>
              <w:spacing w:line="360" w:lineRule="auto"/>
              <w:ind w:firstLine="480" w:firstLineChars="200"/>
              <w:rPr>
                <w:sz w:val="24"/>
              </w:rPr>
            </w:pPr>
            <w:r>
              <w:rPr>
                <w:rFonts w:hint="eastAsia"/>
                <w:sz w:val="24"/>
              </w:rPr>
              <w:t>（7）巡检车辆只在检修道路内行驶，避免对植被造成损害；加强对各项生态保护措施的日常维护。</w:t>
            </w:r>
            <w:bookmarkStart w:id="183" w:name="_Hlk216990867"/>
          </w:p>
          <w:p w14:paraId="2FC74C95">
            <w:pPr>
              <w:adjustRightInd w:val="0"/>
              <w:snapToGrid w:val="0"/>
              <w:spacing w:line="360" w:lineRule="auto"/>
              <w:ind w:firstLine="480" w:firstLineChars="200"/>
              <w:rPr>
                <w:rFonts w:hint="eastAsia"/>
                <w:b/>
                <w:spacing w:val="10"/>
                <w:sz w:val="24"/>
              </w:rPr>
            </w:pPr>
            <w:r>
              <w:rPr>
                <w:rFonts w:hint="eastAsia"/>
                <w:sz w:val="24"/>
              </w:rPr>
              <w:t>（8）禁止捕杀、惊扰野生鸟类，发现受伤鸟类及时移交野生动物保护机构，规范组件清洗药剂使用，杜绝水土污染破坏鸟类生存环境，兼顾电站稳定运行与区域鸟类种群保护。</w:t>
            </w:r>
          </w:p>
          <w:p w14:paraId="5795959B">
            <w:pPr>
              <w:spacing w:line="360" w:lineRule="auto"/>
              <w:rPr>
                <w:b/>
                <w:spacing w:val="10"/>
                <w:sz w:val="24"/>
              </w:rPr>
            </w:pPr>
            <w:r>
              <w:rPr>
                <w:b/>
                <w:spacing w:val="10"/>
                <w:sz w:val="24"/>
              </w:rPr>
              <w:t>5.2.</w:t>
            </w:r>
            <w:r>
              <w:rPr>
                <w:rFonts w:hint="eastAsia"/>
                <w:b/>
                <w:spacing w:val="10"/>
                <w:sz w:val="24"/>
              </w:rPr>
              <w:t xml:space="preserve">2 </w:t>
            </w:r>
            <w:r>
              <w:rPr>
                <w:b/>
                <w:spacing w:val="10"/>
                <w:sz w:val="24"/>
              </w:rPr>
              <w:t>大气</w:t>
            </w:r>
            <w:r>
              <w:rPr>
                <w:rFonts w:hint="eastAsia"/>
                <w:b/>
                <w:spacing w:val="10"/>
                <w:sz w:val="24"/>
              </w:rPr>
              <w:t>污染控制</w:t>
            </w:r>
            <w:r>
              <w:rPr>
                <w:b/>
                <w:spacing w:val="10"/>
                <w:sz w:val="24"/>
              </w:rPr>
              <w:t>措施</w:t>
            </w:r>
          </w:p>
          <w:p w14:paraId="403B1C2A">
            <w:pPr>
              <w:spacing w:line="360" w:lineRule="auto"/>
              <w:ind w:firstLine="480" w:firstLineChars="200"/>
              <w:rPr>
                <w:sz w:val="24"/>
              </w:rPr>
            </w:pPr>
            <w:r>
              <w:rPr>
                <w:sz w:val="24"/>
              </w:rPr>
              <w:t>保持</w:t>
            </w:r>
            <w:r>
              <w:rPr>
                <w:rFonts w:hint="eastAsia"/>
                <w:sz w:val="24"/>
              </w:rPr>
              <w:t>项目</w:t>
            </w:r>
            <w:r>
              <w:rPr>
                <w:sz w:val="24"/>
              </w:rPr>
              <w:t>区内环境卫生，减少运营期地面扬尘和飘散物对环境空气质量的影响</w:t>
            </w:r>
            <w:r>
              <w:rPr>
                <w:rFonts w:hint="eastAsia"/>
                <w:sz w:val="24"/>
              </w:rPr>
              <w:t>；生活</w:t>
            </w:r>
            <w:r>
              <w:rPr>
                <w:sz w:val="24"/>
              </w:rPr>
              <w:t>垃圾及时清运并对垃圾</w:t>
            </w:r>
            <w:r>
              <w:rPr>
                <w:rFonts w:hint="eastAsia"/>
                <w:sz w:val="24"/>
              </w:rPr>
              <w:t>收集及时清运，定时清掏化粪池及污水处理设施</w:t>
            </w:r>
            <w:r>
              <w:rPr>
                <w:sz w:val="24"/>
              </w:rPr>
              <w:t>。</w:t>
            </w:r>
          </w:p>
          <w:p w14:paraId="7695B155">
            <w:pPr>
              <w:spacing w:line="360" w:lineRule="auto"/>
              <w:rPr>
                <w:rFonts w:hint="eastAsia"/>
                <w:b/>
                <w:spacing w:val="10"/>
                <w:sz w:val="24"/>
              </w:rPr>
            </w:pPr>
            <w:r>
              <w:rPr>
                <w:b/>
                <w:spacing w:val="10"/>
                <w:sz w:val="24"/>
              </w:rPr>
              <w:t>5.2.</w:t>
            </w:r>
            <w:r>
              <w:rPr>
                <w:rFonts w:hint="eastAsia"/>
                <w:b/>
                <w:spacing w:val="10"/>
                <w:sz w:val="24"/>
              </w:rPr>
              <w:t>3 水环境保护措施</w:t>
            </w:r>
          </w:p>
          <w:p w14:paraId="3E170BCF">
            <w:pPr>
              <w:spacing w:line="360" w:lineRule="auto"/>
              <w:ind w:firstLine="480" w:firstLineChars="200"/>
              <w:rPr>
                <w:sz w:val="24"/>
              </w:rPr>
            </w:pPr>
            <w:r>
              <w:rPr>
                <w:rFonts w:hint="eastAsia"/>
                <w:sz w:val="24"/>
              </w:rPr>
              <w:t>（1）以礼河三级电站厂区食堂废水经1个1</w:t>
            </w:r>
            <w:r>
              <w:rPr>
                <w:sz w:val="24"/>
              </w:rPr>
              <w:t>m</w:t>
            </w:r>
            <w:r>
              <w:rPr>
                <w:sz w:val="24"/>
                <w:vertAlign w:val="superscript"/>
              </w:rPr>
              <w:t>3</w:t>
            </w:r>
            <w:r>
              <w:rPr>
                <w:rFonts w:hint="eastAsia"/>
                <w:sz w:val="24"/>
              </w:rPr>
              <w:t>油水分离器隔油后，连同其他生活污水经1个4</w:t>
            </w:r>
            <w:r>
              <w:rPr>
                <w:sz w:val="24"/>
              </w:rPr>
              <w:t>m</w:t>
            </w:r>
            <w:r>
              <w:rPr>
                <w:sz w:val="24"/>
                <w:vertAlign w:val="superscript"/>
              </w:rPr>
              <w:t>3</w:t>
            </w:r>
            <w:r>
              <w:rPr>
                <w:rFonts w:hint="eastAsia"/>
                <w:sz w:val="24"/>
              </w:rPr>
              <w:t>化粪池预处理后，进入1座处理能力为0.5</w:t>
            </w:r>
            <w:r>
              <w:rPr>
                <w:sz w:val="24"/>
              </w:rPr>
              <w:t>m</w:t>
            </w:r>
            <w:r>
              <w:rPr>
                <w:sz w:val="24"/>
                <w:vertAlign w:val="superscript"/>
              </w:rPr>
              <w:t>3</w:t>
            </w:r>
            <w:r>
              <w:rPr>
                <w:sz w:val="24"/>
              </w:rPr>
              <w:t>/</w:t>
            </w:r>
            <w:r>
              <w:rPr>
                <w:rFonts w:hint="eastAsia"/>
                <w:sz w:val="24"/>
              </w:rPr>
              <w:t>h的地埋式一体化污水处理达《污水综合排放标准》（GB 8978-1996）后进入中水池，不外排；回用于绿化、降尘时，应满足《城市污水再生利用 城市杂用水水质》（GB/T</w:t>
            </w:r>
            <w:r>
              <w:rPr>
                <w:sz w:val="24"/>
              </w:rPr>
              <w:t xml:space="preserve"> </w:t>
            </w:r>
            <w:r>
              <w:rPr>
                <w:rFonts w:hint="eastAsia"/>
                <w:sz w:val="24"/>
              </w:rPr>
              <w:t>18920-2020）绿化标准</w:t>
            </w:r>
            <w:r>
              <w:rPr>
                <w:sz w:val="24"/>
              </w:rPr>
              <w:t>，</w:t>
            </w:r>
            <w:r>
              <w:rPr>
                <w:rFonts w:hint="eastAsia"/>
                <w:sz w:val="24"/>
              </w:rPr>
              <w:t>雨天暂存在1个5</w:t>
            </w:r>
            <w:r>
              <w:rPr>
                <w:sz w:val="24"/>
              </w:rPr>
              <w:t>m</w:t>
            </w:r>
            <w:r>
              <w:rPr>
                <w:sz w:val="24"/>
                <w:vertAlign w:val="superscript"/>
              </w:rPr>
              <w:t>3</w:t>
            </w:r>
            <w:r>
              <w:rPr>
                <w:rFonts w:hint="eastAsia"/>
                <w:sz w:val="24"/>
              </w:rPr>
              <w:t>的中水暂存池内，</w:t>
            </w:r>
            <w:r>
              <w:rPr>
                <w:sz w:val="24"/>
              </w:rPr>
              <w:t>不外排。</w:t>
            </w:r>
          </w:p>
          <w:p w14:paraId="173DCCFC">
            <w:pPr>
              <w:spacing w:line="360" w:lineRule="auto"/>
              <w:ind w:firstLine="480" w:firstLineChars="200"/>
              <w:rPr>
                <w:sz w:val="24"/>
              </w:rPr>
            </w:pPr>
            <w:r>
              <w:rPr>
                <w:rFonts w:hint="eastAsia"/>
                <w:sz w:val="24"/>
              </w:rPr>
              <w:t>（2）光伏</w:t>
            </w:r>
            <w:r>
              <w:rPr>
                <w:sz w:val="24"/>
              </w:rPr>
              <w:t>板在旱季进行清洗，</w:t>
            </w:r>
            <w:r>
              <w:rPr>
                <w:rFonts w:hint="eastAsia"/>
                <w:sz w:val="24"/>
              </w:rPr>
              <w:t>由于采用擦洗的方式，产生废水量很少，</w:t>
            </w:r>
            <w:r>
              <w:rPr>
                <w:sz w:val="24"/>
              </w:rPr>
              <w:t>收集后</w:t>
            </w:r>
            <w:r>
              <w:rPr>
                <w:rFonts w:hint="eastAsia"/>
                <w:sz w:val="24"/>
              </w:rPr>
              <w:t>散排于光伏板下</w:t>
            </w:r>
            <w:r>
              <w:rPr>
                <w:sz w:val="24"/>
              </w:rPr>
              <w:t>。</w:t>
            </w:r>
            <w:r>
              <w:rPr>
                <w:rFonts w:hint="eastAsia"/>
                <w:sz w:val="24"/>
              </w:rPr>
              <w:t>定期检查光伏场区的排水沟及清掏排水沟末端的沉沙池。</w:t>
            </w:r>
          </w:p>
          <w:p w14:paraId="635BC136">
            <w:pPr>
              <w:spacing w:line="360" w:lineRule="auto"/>
              <w:ind w:firstLine="480" w:firstLineChars="200"/>
              <w:rPr>
                <w:sz w:val="24"/>
              </w:rPr>
            </w:pPr>
            <w:r>
              <w:rPr>
                <w:sz w:val="24"/>
              </w:rPr>
              <w:t>（</w:t>
            </w:r>
            <w:r>
              <w:rPr>
                <w:rFonts w:hint="eastAsia"/>
                <w:sz w:val="24"/>
              </w:rPr>
              <w:t>3</w:t>
            </w:r>
            <w:r>
              <w:rPr>
                <w:sz w:val="24"/>
              </w:rPr>
              <w:t>）定期对化粪池、隔油池进行清掏；定期检修中水处理设施，建立污水处理设施管理制度，以保障污水处理设施的处理效果</w:t>
            </w:r>
            <w:r>
              <w:rPr>
                <w:rFonts w:hint="eastAsia"/>
                <w:sz w:val="24"/>
              </w:rPr>
              <w:t>。</w:t>
            </w:r>
          </w:p>
          <w:p w14:paraId="1614E66C">
            <w:pPr>
              <w:spacing w:line="360" w:lineRule="auto"/>
              <w:rPr>
                <w:rFonts w:hint="eastAsia"/>
                <w:b/>
                <w:spacing w:val="10"/>
                <w:sz w:val="24"/>
              </w:rPr>
            </w:pPr>
            <w:r>
              <w:rPr>
                <w:b/>
                <w:spacing w:val="10"/>
                <w:sz w:val="24"/>
              </w:rPr>
              <w:t>5.2.</w:t>
            </w:r>
            <w:r>
              <w:rPr>
                <w:rFonts w:hint="eastAsia"/>
                <w:b/>
                <w:spacing w:val="10"/>
                <w:sz w:val="24"/>
              </w:rPr>
              <w:t>4 噪声防治对策措施</w:t>
            </w:r>
          </w:p>
          <w:p w14:paraId="5E9392EE">
            <w:pPr>
              <w:spacing w:line="360" w:lineRule="auto"/>
              <w:ind w:firstLine="480" w:firstLineChars="200"/>
              <w:rPr>
                <w:rFonts w:hint="eastAsia"/>
                <w:sz w:val="24"/>
              </w:rPr>
            </w:pPr>
            <w:bookmarkStart w:id="184" w:name="OLE_LINK68"/>
            <w:r>
              <w:rPr>
                <w:rFonts w:hint="eastAsia"/>
                <w:sz w:val="24"/>
              </w:rPr>
              <w:t>（1）从噪声源方面，</w:t>
            </w:r>
            <w:r>
              <w:rPr>
                <w:sz w:val="24"/>
              </w:rPr>
              <w:t>选用低噪声设备，并加强设备维护</w:t>
            </w:r>
            <w:r>
              <w:rPr>
                <w:rFonts w:hint="eastAsia"/>
                <w:sz w:val="24"/>
              </w:rPr>
              <w:t>，避免带病运营；加强巡视主变、逆变器、箱变等设备，对散热风扇等产生噪声设备进行特殊巡检，发现问题或故障，应及时对散热风扇等零部件进行维护更换，避免因设备老化或故障产生故障噪声，影响周围声环境质量。</w:t>
            </w:r>
          </w:p>
          <w:p w14:paraId="05C15416">
            <w:pPr>
              <w:spacing w:line="360" w:lineRule="auto"/>
              <w:ind w:firstLine="480" w:firstLineChars="200"/>
              <w:rPr>
                <w:sz w:val="24"/>
              </w:rPr>
            </w:pPr>
            <w:r>
              <w:rPr>
                <w:rFonts w:hint="eastAsia"/>
                <w:sz w:val="24"/>
              </w:rPr>
              <w:t>（2）从传播途径方面，</w:t>
            </w:r>
            <w:r>
              <w:rPr>
                <w:sz w:val="24"/>
              </w:rPr>
              <w:t>采取</w:t>
            </w:r>
            <w:r>
              <w:rPr>
                <w:rFonts w:hint="eastAsia"/>
                <w:bCs/>
                <w:sz w:val="24"/>
              </w:rPr>
              <w:t>箱式变压器</w:t>
            </w:r>
            <w:r>
              <w:rPr>
                <w:bCs/>
                <w:sz w:val="24"/>
              </w:rPr>
              <w:t>设置于箱变房内，逆变器设置于逆变器箱内</w:t>
            </w:r>
            <w:r>
              <w:rPr>
                <w:rFonts w:hint="eastAsia"/>
                <w:bCs/>
                <w:sz w:val="24"/>
              </w:rPr>
              <w:t>密闭</w:t>
            </w:r>
            <w:r>
              <w:rPr>
                <w:bCs/>
                <w:sz w:val="24"/>
              </w:rPr>
              <w:t>隔声</w:t>
            </w:r>
            <w:r>
              <w:rPr>
                <w:rFonts w:hint="eastAsia"/>
                <w:sz w:val="24"/>
              </w:rPr>
              <w:t>。</w:t>
            </w:r>
          </w:p>
          <w:bookmarkEnd w:id="184"/>
          <w:p w14:paraId="031950F5">
            <w:pPr>
              <w:spacing w:line="360" w:lineRule="auto"/>
              <w:rPr>
                <w:b/>
                <w:spacing w:val="10"/>
                <w:sz w:val="24"/>
              </w:rPr>
            </w:pPr>
            <w:r>
              <w:rPr>
                <w:b/>
                <w:spacing w:val="10"/>
                <w:sz w:val="24"/>
              </w:rPr>
              <w:t>5.2.</w:t>
            </w:r>
            <w:r>
              <w:rPr>
                <w:rFonts w:hint="eastAsia"/>
                <w:b/>
                <w:spacing w:val="10"/>
                <w:sz w:val="24"/>
              </w:rPr>
              <w:t xml:space="preserve">5 </w:t>
            </w:r>
            <w:r>
              <w:rPr>
                <w:b/>
                <w:spacing w:val="10"/>
                <w:sz w:val="24"/>
              </w:rPr>
              <w:t>固体废物</w:t>
            </w:r>
            <w:r>
              <w:rPr>
                <w:rFonts w:hint="eastAsia"/>
                <w:b/>
                <w:spacing w:val="10"/>
                <w:sz w:val="24"/>
              </w:rPr>
              <w:t>处置</w:t>
            </w:r>
            <w:r>
              <w:rPr>
                <w:b/>
                <w:spacing w:val="10"/>
                <w:sz w:val="24"/>
              </w:rPr>
              <w:t>措施</w:t>
            </w:r>
          </w:p>
          <w:p w14:paraId="2C5E0837">
            <w:pPr>
              <w:spacing w:line="360" w:lineRule="auto"/>
              <w:ind w:firstLine="480" w:firstLineChars="200"/>
              <w:rPr>
                <w:sz w:val="24"/>
              </w:rPr>
            </w:pPr>
            <w:r>
              <w:rPr>
                <w:rFonts w:hint="eastAsia"/>
                <w:sz w:val="24"/>
              </w:rPr>
              <w:t>（1）生活垃圾：能回用的尽量回收利用，不能回用的</w:t>
            </w:r>
            <w:r>
              <w:rPr>
                <w:bCs/>
                <w:sz w:val="24"/>
              </w:rPr>
              <w:t>定期运至</w:t>
            </w:r>
            <w:r>
              <w:rPr>
                <w:rFonts w:hint="eastAsia"/>
                <w:sz w:val="24"/>
              </w:rPr>
              <w:t>附近村庄</w:t>
            </w:r>
            <w:r>
              <w:rPr>
                <w:sz w:val="24"/>
              </w:rPr>
              <w:t>垃圾收集点，由当地环卫部门处置</w:t>
            </w:r>
            <w:r>
              <w:rPr>
                <w:rFonts w:hint="eastAsia"/>
                <w:sz w:val="24"/>
              </w:rPr>
              <w:t>。</w:t>
            </w:r>
          </w:p>
          <w:p w14:paraId="37E4AEAB">
            <w:pPr>
              <w:spacing w:line="360" w:lineRule="auto"/>
              <w:ind w:firstLine="480" w:firstLineChars="200"/>
              <w:rPr>
                <w:sz w:val="24"/>
              </w:rPr>
            </w:pPr>
            <w:r>
              <w:rPr>
                <w:rFonts w:hint="eastAsia"/>
                <w:sz w:val="24"/>
              </w:rPr>
              <w:t>（2）食堂隔油池废油脂定期清掏处理。</w:t>
            </w:r>
          </w:p>
          <w:p w14:paraId="3D7B0332">
            <w:pPr>
              <w:spacing w:line="360" w:lineRule="auto"/>
              <w:ind w:firstLine="480" w:firstLineChars="200"/>
              <w:rPr>
                <w:sz w:val="24"/>
              </w:rPr>
            </w:pPr>
            <w:r>
              <w:rPr>
                <w:sz w:val="24"/>
              </w:rPr>
              <w:t>（</w:t>
            </w:r>
            <w:r>
              <w:rPr>
                <w:rFonts w:hint="eastAsia"/>
                <w:sz w:val="24"/>
              </w:rPr>
              <w:t>3</w:t>
            </w:r>
            <w:r>
              <w:rPr>
                <w:sz w:val="24"/>
              </w:rPr>
              <w:t>）</w:t>
            </w:r>
            <w:r>
              <w:rPr>
                <w:rFonts w:hint="eastAsia"/>
                <w:sz w:val="24"/>
              </w:rPr>
              <w:t>废电池板：报废太阳能电池板统一收集后贮存于升压站的综合楼内（保持干燥通风），定期由专业的回收厂家收购处理。</w:t>
            </w:r>
          </w:p>
          <w:p w14:paraId="114D3EAF">
            <w:pPr>
              <w:spacing w:line="360" w:lineRule="auto"/>
              <w:ind w:firstLine="480" w:firstLineChars="200"/>
              <w:rPr>
                <w:sz w:val="24"/>
              </w:rPr>
            </w:pPr>
            <w:r>
              <w:rPr>
                <w:rFonts w:hint="eastAsia"/>
                <w:sz w:val="24"/>
              </w:rPr>
              <w:t>（4）废矿物油和含油抹布：属于危险废物，收集于专用容器内，贮存于升压站的危废贮存间，定期交由有相关资质的单位处置。</w:t>
            </w:r>
          </w:p>
          <w:p w14:paraId="6640BB40">
            <w:pPr>
              <w:spacing w:line="360" w:lineRule="auto"/>
              <w:ind w:firstLine="480" w:firstLineChars="200"/>
              <w:rPr>
                <w:rFonts w:hint="eastAsia"/>
                <w:sz w:val="24"/>
              </w:rPr>
            </w:pPr>
            <w:r>
              <w:rPr>
                <w:rFonts w:hint="eastAsia"/>
                <w:sz w:val="24"/>
              </w:rPr>
              <w:t>（5）废铅蓄电池：更换后暂存在危废间，交由资质单位处置。</w:t>
            </w:r>
          </w:p>
          <w:p w14:paraId="5D9D3564">
            <w:pPr>
              <w:spacing w:line="360" w:lineRule="auto"/>
              <w:ind w:firstLine="480" w:firstLineChars="200"/>
              <w:rPr>
                <w:sz w:val="24"/>
              </w:rPr>
            </w:pPr>
            <w:r>
              <w:rPr>
                <w:rFonts w:hint="eastAsia"/>
                <w:sz w:val="24"/>
              </w:rPr>
              <w:t>（</w:t>
            </w:r>
            <w:r>
              <w:rPr>
                <w:sz w:val="24"/>
              </w:rPr>
              <w:t>6</w:t>
            </w:r>
            <w:r>
              <w:rPr>
                <w:rFonts w:hint="eastAsia"/>
                <w:sz w:val="24"/>
              </w:rPr>
              <w:t>）化粪池和地埋式一体化污水处理设施污泥：</w:t>
            </w:r>
            <w:r>
              <w:rPr>
                <w:sz w:val="24"/>
              </w:rPr>
              <w:t>清掏</w:t>
            </w:r>
            <w:r>
              <w:rPr>
                <w:rFonts w:hint="eastAsia"/>
                <w:sz w:val="24"/>
              </w:rPr>
              <w:t>后用于升压站周围植物施肥</w:t>
            </w:r>
            <w:r>
              <w:rPr>
                <w:sz w:val="24"/>
              </w:rPr>
              <w:t>。</w:t>
            </w:r>
          </w:p>
          <w:p w14:paraId="44A2B23A">
            <w:pPr>
              <w:spacing w:line="360" w:lineRule="auto"/>
              <w:ind w:firstLine="480" w:firstLineChars="200"/>
              <w:rPr>
                <w:rFonts w:hint="eastAsia"/>
                <w:sz w:val="24"/>
              </w:rPr>
            </w:pPr>
            <w:r>
              <w:rPr>
                <w:rFonts w:hint="eastAsia"/>
                <w:sz w:val="24"/>
              </w:rPr>
              <w:t>（7）一体化污水处理设施废M</w:t>
            </w:r>
            <w:r>
              <w:rPr>
                <w:sz w:val="24"/>
              </w:rPr>
              <w:t>BR</w:t>
            </w:r>
            <w:r>
              <w:rPr>
                <w:rFonts w:hint="eastAsia"/>
                <w:sz w:val="24"/>
              </w:rPr>
              <w:t>膜：由厂家更换新M</w:t>
            </w:r>
            <w:r>
              <w:rPr>
                <w:sz w:val="24"/>
              </w:rPr>
              <w:t>BR</w:t>
            </w:r>
            <w:r>
              <w:rPr>
                <w:rFonts w:hint="eastAsia"/>
                <w:sz w:val="24"/>
              </w:rPr>
              <w:t>膜后将废M</w:t>
            </w:r>
            <w:r>
              <w:rPr>
                <w:sz w:val="24"/>
              </w:rPr>
              <w:t>BR</w:t>
            </w:r>
            <w:r>
              <w:rPr>
                <w:rFonts w:hint="eastAsia"/>
                <w:sz w:val="24"/>
              </w:rPr>
              <w:t>膜回收。</w:t>
            </w:r>
          </w:p>
          <w:p w14:paraId="0F26B678">
            <w:pPr>
              <w:spacing w:line="360" w:lineRule="auto"/>
              <w:ind w:firstLine="480" w:firstLineChars="200"/>
              <w:rPr>
                <w:rFonts w:cs="宋体"/>
                <w:bCs/>
                <w:sz w:val="24"/>
              </w:rPr>
            </w:pPr>
            <w:r>
              <w:rPr>
                <w:rFonts w:hint="eastAsia"/>
                <w:sz w:val="24"/>
              </w:rPr>
              <w:t>（8）危险废物环境管理要求：设置1间面积为20m</w:t>
            </w:r>
            <w:r>
              <w:rPr>
                <w:rFonts w:hint="eastAsia"/>
                <w:sz w:val="24"/>
                <w:vertAlign w:val="superscript"/>
              </w:rPr>
              <w:t>2</w:t>
            </w:r>
            <w:r>
              <w:rPr>
                <w:rFonts w:hint="eastAsia"/>
                <w:sz w:val="24"/>
              </w:rPr>
              <w:t>的危险废物贮存间，危废贮存间采用全封闭式，严格按照《危险废物贮存污染控制标准》（GB 18597-2023）有关要求进行设计，贮存的危险废物直接接触地面的，还应进行基础防渗，防渗层为至少1m厚黏土层（渗透系数不大于10</w:t>
            </w:r>
            <w:r>
              <w:rPr>
                <w:rFonts w:hint="eastAsia"/>
                <w:sz w:val="24"/>
                <w:vertAlign w:val="superscript"/>
              </w:rPr>
              <w:t>-7</w:t>
            </w:r>
            <w:r>
              <w:rPr>
                <w:rFonts w:hint="eastAsia"/>
                <w:sz w:val="24"/>
              </w:rPr>
              <w:t>cm/s），或至少2mm厚高密度聚乙烯膜等人工防渗材料（渗透系数不大于10</w:t>
            </w:r>
            <w:r>
              <w:rPr>
                <w:rFonts w:hint="eastAsia"/>
                <w:sz w:val="24"/>
                <w:vertAlign w:val="superscript"/>
              </w:rPr>
              <w:t>-10</w:t>
            </w:r>
            <w:r>
              <w:rPr>
                <w:rFonts w:hint="eastAsia"/>
                <w:sz w:val="24"/>
              </w:rPr>
              <w:t>cm/s），或其他防渗性能等效的材料。能防风、防雨、防流失，</w:t>
            </w:r>
            <w:r>
              <w:rPr>
                <w:rFonts w:hint="eastAsia" w:cs="宋体"/>
                <w:bCs/>
                <w:sz w:val="24"/>
              </w:rPr>
              <w:t>并配设醒目的警示标识。危险废物</w:t>
            </w:r>
            <w:r>
              <w:rPr>
                <w:rFonts w:hint="eastAsia"/>
                <w:bCs/>
                <w:sz w:val="24"/>
              </w:rPr>
              <w:t>定期</w:t>
            </w:r>
            <w:r>
              <w:rPr>
                <w:rFonts w:hint="eastAsia" w:cs="宋体"/>
                <w:bCs/>
                <w:sz w:val="24"/>
              </w:rPr>
              <w:t>委托具备相应危废处置资质的单位进行处置，其转移严格按照《危险废物转移联单管理办法》要求执行。配置人员对危险废物进行收集、暂存和保管。建立危险废物产生记录台账，定期检查自行贮存和处置的危险废物记录及相关证明材料，妥善保存危废转移联单及危废处置协议等相关资料。</w:t>
            </w:r>
          </w:p>
          <w:p w14:paraId="07BB69D2">
            <w:pPr>
              <w:spacing w:line="360" w:lineRule="auto"/>
              <w:ind w:firstLine="480" w:firstLineChars="200"/>
              <w:rPr>
                <w:rFonts w:hint="eastAsia" w:cs="宋体"/>
                <w:bCs/>
                <w:sz w:val="24"/>
              </w:rPr>
            </w:pPr>
            <w:r>
              <w:rPr>
                <w:rFonts w:hint="eastAsia" w:cs="宋体"/>
                <w:bCs/>
                <w:sz w:val="24"/>
              </w:rPr>
              <w:t>（9）在升压站内主变压器处设置1个集油坑和1个事故油池，事故油池设置为地埋式，容积为</w:t>
            </w:r>
            <w:r>
              <w:rPr>
                <w:rFonts w:cs="宋体"/>
                <w:bCs/>
                <w:sz w:val="24"/>
              </w:rPr>
              <w:t>5</w:t>
            </w:r>
            <w:r>
              <w:rPr>
                <w:rFonts w:hint="eastAsia" w:cs="宋体"/>
                <w:bCs/>
                <w:sz w:val="24"/>
              </w:rPr>
              <w:t>0m</w:t>
            </w:r>
            <w:r>
              <w:rPr>
                <w:rFonts w:hint="eastAsia" w:cs="宋体"/>
                <w:bCs/>
                <w:sz w:val="24"/>
                <w:vertAlign w:val="superscript"/>
              </w:rPr>
              <w:t>3</w:t>
            </w:r>
            <w:r>
              <w:rPr>
                <w:rFonts w:hint="eastAsia" w:cs="宋体"/>
                <w:bCs/>
                <w:sz w:val="24"/>
              </w:rPr>
              <w:t>；每个方阵布置35kV箱式变压器事故油池一个，共</w:t>
            </w:r>
            <w:r>
              <w:rPr>
                <w:rFonts w:cs="宋体"/>
                <w:bCs/>
                <w:sz w:val="24"/>
              </w:rPr>
              <w:t>21</w:t>
            </w:r>
            <w:r>
              <w:rPr>
                <w:rFonts w:hint="eastAsia" w:cs="宋体"/>
                <w:bCs/>
                <w:sz w:val="24"/>
              </w:rPr>
              <w:t>个箱变事故油集油池，容积按2.5m</w:t>
            </w:r>
            <w:r>
              <w:rPr>
                <w:rFonts w:hint="eastAsia" w:cs="宋体"/>
                <w:bCs/>
                <w:sz w:val="24"/>
                <w:vertAlign w:val="superscript"/>
              </w:rPr>
              <w:t>3</w:t>
            </w:r>
            <w:r>
              <w:rPr>
                <w:rFonts w:hint="eastAsia" w:cs="宋体"/>
                <w:bCs/>
                <w:sz w:val="24"/>
              </w:rPr>
              <w:t>/个考虑。事故油池底部和四周设置防渗措施，满足《危险废物贮存污染控制标准》（GB</w:t>
            </w:r>
            <w:r>
              <w:rPr>
                <w:rFonts w:cs="宋体"/>
                <w:bCs/>
                <w:sz w:val="24"/>
              </w:rPr>
              <w:t xml:space="preserve"> </w:t>
            </w:r>
            <w:r>
              <w:rPr>
                <w:rFonts w:hint="eastAsia" w:cs="宋体"/>
                <w:bCs/>
                <w:sz w:val="24"/>
              </w:rPr>
              <w:t>18597-2023）要求，防渗技术要求为：防渗层为至少1m厚黏土层（渗透系数不大于10</w:t>
            </w:r>
            <w:r>
              <w:rPr>
                <w:rFonts w:hint="eastAsia" w:cs="宋体"/>
                <w:bCs/>
                <w:sz w:val="24"/>
                <w:vertAlign w:val="superscript"/>
              </w:rPr>
              <w:t>-7</w:t>
            </w:r>
            <w:r>
              <w:rPr>
                <w:rFonts w:hint="eastAsia" w:cs="宋体"/>
                <w:bCs/>
                <w:sz w:val="24"/>
              </w:rPr>
              <w:t>cm/s），或至少2mm厚高密度聚乙烯膜等人工防渗材料（渗透系数不大于10</w:t>
            </w:r>
            <w:r>
              <w:rPr>
                <w:rFonts w:hint="eastAsia" w:cs="宋体"/>
                <w:bCs/>
                <w:sz w:val="24"/>
                <w:vertAlign w:val="superscript"/>
              </w:rPr>
              <w:t>-10</w:t>
            </w:r>
            <w:r>
              <w:rPr>
                <w:rFonts w:hint="eastAsia" w:cs="宋体"/>
                <w:bCs/>
                <w:sz w:val="24"/>
              </w:rPr>
              <w:t>cm/s），或其他防渗性能等效的材料，贮存池防渗层应覆盖整个池体。同时定期巡检，保持集油池中没有淤泥，加强管理。集油池中废油定期收集处理，用油桶收集后交由有资质的回收单位处理。</w:t>
            </w:r>
          </w:p>
          <w:p w14:paraId="70FEA7C1">
            <w:pPr>
              <w:spacing w:line="360" w:lineRule="auto"/>
              <w:ind w:firstLine="480" w:firstLineChars="200"/>
              <w:rPr>
                <w:rFonts w:hint="eastAsia" w:cs="宋体"/>
                <w:bCs/>
                <w:sz w:val="24"/>
              </w:rPr>
            </w:pPr>
            <w:r>
              <w:rPr>
                <w:rFonts w:hint="eastAsia" w:cs="宋体"/>
                <w:bCs/>
                <w:sz w:val="24"/>
              </w:rPr>
              <w:t>（</w:t>
            </w:r>
            <w:r>
              <w:rPr>
                <w:rFonts w:cs="宋体"/>
                <w:bCs/>
                <w:sz w:val="24"/>
              </w:rPr>
              <w:t>10</w:t>
            </w:r>
            <w:r>
              <w:rPr>
                <w:rFonts w:hint="eastAsia" w:cs="宋体"/>
                <w:bCs/>
                <w:sz w:val="24"/>
              </w:rPr>
              <w:t>）项目产生的固体废物的处理应严格按照《中华人民共和国固体废物污染环境防治法》《危险废物贮存污染控制标准》（GB</w:t>
            </w:r>
            <w:r>
              <w:rPr>
                <w:rFonts w:cs="宋体"/>
                <w:bCs/>
                <w:sz w:val="24"/>
              </w:rPr>
              <w:t xml:space="preserve"> </w:t>
            </w:r>
            <w:r>
              <w:rPr>
                <w:rFonts w:hint="eastAsia" w:cs="宋体"/>
                <w:bCs/>
                <w:sz w:val="24"/>
              </w:rPr>
              <w:t>18597-2023）以及《光伏组件回收再利用通用技术要求》（GB/T 39753-2021）的有关规定进行处理处置，不对周围环境造成危害。</w:t>
            </w:r>
          </w:p>
          <w:p w14:paraId="752FBDCB">
            <w:pPr>
              <w:spacing w:line="360" w:lineRule="auto"/>
              <w:rPr>
                <w:b/>
                <w:spacing w:val="10"/>
                <w:sz w:val="24"/>
              </w:rPr>
            </w:pPr>
            <w:r>
              <w:rPr>
                <w:b/>
                <w:spacing w:val="10"/>
                <w:sz w:val="24"/>
              </w:rPr>
              <w:t>5.2.</w:t>
            </w:r>
            <w:r>
              <w:rPr>
                <w:rFonts w:hint="eastAsia"/>
                <w:b/>
                <w:spacing w:val="10"/>
                <w:sz w:val="24"/>
              </w:rPr>
              <w:t>6 电磁环境保护措施</w:t>
            </w:r>
          </w:p>
          <w:p w14:paraId="51FB3332">
            <w:pPr>
              <w:spacing w:line="360" w:lineRule="auto"/>
              <w:ind w:firstLine="480" w:firstLineChars="200"/>
              <w:rPr>
                <w:rFonts w:cs="宋体"/>
                <w:bCs/>
                <w:sz w:val="24"/>
              </w:rPr>
            </w:pPr>
            <w:r>
              <w:rPr>
                <w:rFonts w:hint="eastAsia" w:cs="宋体"/>
                <w:bCs/>
                <w:sz w:val="24"/>
              </w:rPr>
              <w:t>电磁环境保护措施详见电磁环境影响专项评价章节。</w:t>
            </w:r>
          </w:p>
          <w:p w14:paraId="6E4F5AB5">
            <w:pPr>
              <w:spacing w:line="360" w:lineRule="auto"/>
              <w:rPr>
                <w:b/>
                <w:spacing w:val="10"/>
                <w:sz w:val="24"/>
              </w:rPr>
            </w:pPr>
            <w:r>
              <w:rPr>
                <w:b/>
                <w:spacing w:val="10"/>
                <w:sz w:val="24"/>
              </w:rPr>
              <w:t>5.2.7</w:t>
            </w:r>
            <w:r>
              <w:rPr>
                <w:rFonts w:hint="eastAsia"/>
                <w:b/>
                <w:spacing w:val="10"/>
                <w:sz w:val="24"/>
              </w:rPr>
              <w:t xml:space="preserve"> 景观绿化</w:t>
            </w:r>
          </w:p>
          <w:p w14:paraId="4363B37E">
            <w:pPr>
              <w:spacing w:line="360" w:lineRule="auto"/>
              <w:ind w:firstLine="480" w:firstLineChars="200"/>
              <w:rPr>
                <w:rFonts w:cs="宋体"/>
                <w:bCs/>
                <w:sz w:val="24"/>
              </w:rPr>
            </w:pPr>
            <w:r>
              <w:rPr>
                <w:rFonts w:hint="eastAsia" w:cs="宋体"/>
                <w:bCs/>
                <w:sz w:val="24"/>
              </w:rPr>
              <w:t>根据水保方案，树立人与自然和谐相处的理念，尊重自然规律，注重与周边景观相协调。对站区生活区建筑物周边及其他空地进行绿化，绿化以草坪以及种植低矮观赏类的花卉为主，绿化面积为150m</w:t>
            </w:r>
            <w:r>
              <w:rPr>
                <w:rFonts w:hint="eastAsia" w:cs="宋体"/>
                <w:bCs/>
                <w:sz w:val="24"/>
                <w:vertAlign w:val="superscript"/>
              </w:rPr>
              <w:t>2</w:t>
            </w:r>
            <w:r>
              <w:rPr>
                <w:rFonts w:hint="eastAsia" w:cs="宋体"/>
                <w:bCs/>
                <w:sz w:val="24"/>
              </w:rPr>
              <w:t>。</w:t>
            </w:r>
          </w:p>
          <w:p w14:paraId="3CE6E101">
            <w:pPr>
              <w:spacing w:line="360" w:lineRule="auto"/>
              <w:rPr>
                <w:rFonts w:hint="eastAsia"/>
                <w:b/>
                <w:spacing w:val="10"/>
                <w:sz w:val="24"/>
              </w:rPr>
            </w:pPr>
            <w:r>
              <w:rPr>
                <w:b/>
                <w:spacing w:val="10"/>
                <w:sz w:val="24"/>
              </w:rPr>
              <w:t>5.2.8</w:t>
            </w:r>
            <w:r>
              <w:rPr>
                <w:rFonts w:hint="eastAsia"/>
                <w:b/>
                <w:spacing w:val="10"/>
                <w:sz w:val="24"/>
              </w:rPr>
              <w:t xml:space="preserve"> 环境风险防范措施</w:t>
            </w:r>
          </w:p>
          <w:p w14:paraId="487185F3">
            <w:pPr>
              <w:spacing w:line="360" w:lineRule="auto"/>
              <w:ind w:firstLine="480" w:firstLineChars="200"/>
              <w:rPr>
                <w:sz w:val="24"/>
              </w:rPr>
            </w:pPr>
            <w:r>
              <w:rPr>
                <w:rFonts w:hint="eastAsia"/>
                <w:sz w:val="24"/>
              </w:rPr>
              <w:t>（1）厂区总平面设计严格按照国家相关规范、标准和规定以及相关部门的要求进行设计。</w:t>
            </w:r>
          </w:p>
          <w:p w14:paraId="082DC400">
            <w:pPr>
              <w:spacing w:line="360" w:lineRule="auto"/>
              <w:ind w:firstLine="480" w:firstLineChars="200"/>
              <w:rPr>
                <w:sz w:val="24"/>
              </w:rPr>
            </w:pPr>
            <w:r>
              <w:rPr>
                <w:rFonts w:hint="eastAsia"/>
                <w:sz w:val="24"/>
              </w:rPr>
              <w:t>（2）升压站主变压器所在区域地面硬化处理，同时四周设置集油坑和事故油池；在每台箱变靠近油箱一侧设置事故集油坑；按照《火力发电厂与变电站设计防火标准》（GB 50229-2019）的要求，主变集油坑体积为10m</w:t>
            </w:r>
            <w:r>
              <w:rPr>
                <w:rFonts w:hint="eastAsia"/>
                <w:sz w:val="24"/>
                <w:vertAlign w:val="superscript"/>
              </w:rPr>
              <w:t>3</w:t>
            </w:r>
            <w:r>
              <w:rPr>
                <w:rFonts w:hint="eastAsia"/>
                <w:sz w:val="24"/>
              </w:rPr>
              <w:t>，主变事故油池容量为50m</w:t>
            </w:r>
            <w:r>
              <w:rPr>
                <w:rFonts w:hint="eastAsia"/>
                <w:sz w:val="24"/>
                <w:vertAlign w:val="superscript"/>
              </w:rPr>
              <w:t>3</w:t>
            </w:r>
            <w:r>
              <w:rPr>
                <w:rFonts w:hint="eastAsia"/>
                <w:sz w:val="24"/>
              </w:rPr>
              <w:t>，每个箱变事故油池为2.5m</w:t>
            </w:r>
            <w:r>
              <w:rPr>
                <w:rFonts w:hint="eastAsia"/>
                <w:sz w:val="24"/>
                <w:vertAlign w:val="superscript"/>
              </w:rPr>
              <w:t>3</w:t>
            </w:r>
            <w:r>
              <w:rPr>
                <w:rFonts w:hint="eastAsia"/>
                <w:sz w:val="24"/>
              </w:rPr>
              <w:t>，保证事故发生时能够容纳全部的事故油。</w:t>
            </w:r>
          </w:p>
          <w:p w14:paraId="7AF149F6">
            <w:pPr>
              <w:spacing w:line="360" w:lineRule="auto"/>
              <w:ind w:firstLine="480" w:firstLineChars="200"/>
              <w:rPr>
                <w:sz w:val="24"/>
              </w:rPr>
            </w:pPr>
            <w:r>
              <w:rPr>
                <w:rFonts w:hint="eastAsia"/>
                <w:sz w:val="24"/>
              </w:rPr>
              <w:t>（3）建立报警系统，主变压器设置专门摄像头，与监控设施联网，一旦发生主变事故漏油，监控人员便启动报警系统，实施既定环境风险应急预案，平时需加强设备保养、巡查和维修。</w:t>
            </w:r>
          </w:p>
          <w:p w14:paraId="254BC14D">
            <w:pPr>
              <w:spacing w:line="360" w:lineRule="auto"/>
              <w:ind w:firstLine="480" w:firstLineChars="200"/>
              <w:rPr>
                <w:sz w:val="24"/>
              </w:rPr>
            </w:pPr>
            <w:r>
              <w:rPr>
                <w:rFonts w:hint="eastAsia"/>
                <w:sz w:val="24"/>
              </w:rPr>
              <w:t>（4）升压站区内设置消防水事故水池，水池容量根据消防水量要求进行布置，具体可根据场地条件进行合理布设，但必须满足一次消防用水量容量要求。事故水池污水需经处理后回用，不能直接排入附近水体。</w:t>
            </w:r>
          </w:p>
          <w:p w14:paraId="661D3CA5">
            <w:pPr>
              <w:spacing w:line="360" w:lineRule="auto"/>
              <w:ind w:firstLine="480" w:firstLineChars="200"/>
              <w:rPr>
                <w:sz w:val="24"/>
              </w:rPr>
            </w:pPr>
            <w:r>
              <w:rPr>
                <w:sz w:val="24"/>
              </w:rPr>
              <w:t>（5）对厂区采取分区防渗措施，其中危险废物</w:t>
            </w:r>
            <w:r>
              <w:rPr>
                <w:rFonts w:hint="eastAsia"/>
                <w:sz w:val="24"/>
              </w:rPr>
              <w:t>贮存</w:t>
            </w:r>
            <w:r>
              <w:rPr>
                <w:sz w:val="24"/>
              </w:rPr>
              <w:t>间严格按照《危险废物贮存污染控制标准》（GB 18597-2023）中要求进行防渗，地面用C30混凝土浇筑20cm进行硬化，同时地面和四周墙体需用防渗材料进行处理，墙体处理高度为1m左右，使渗透系数≤10</w:t>
            </w:r>
            <w:r>
              <w:rPr>
                <w:sz w:val="24"/>
                <w:vertAlign w:val="superscript"/>
              </w:rPr>
              <w:t>-10</w:t>
            </w:r>
            <w:r>
              <w:rPr>
                <w:sz w:val="24"/>
              </w:rPr>
              <w:t>cm/s；消防水池、主变</w:t>
            </w:r>
            <w:r>
              <w:rPr>
                <w:sz w:val="24"/>
                <w:szCs w:val="24"/>
                <w:lang w:bidi="ar"/>
              </w:rPr>
              <w:t>事故油池和集油坑、箱变</w:t>
            </w:r>
            <w:r>
              <w:rPr>
                <w:sz w:val="24"/>
              </w:rPr>
              <w:t>集油坑</w:t>
            </w:r>
            <w:r>
              <w:rPr>
                <w:sz w:val="24"/>
                <w:szCs w:val="24"/>
                <w:lang w:bidi="ar"/>
              </w:rPr>
              <w:t>池底及四周池壁设置防渗措施为采用钢筋混凝土结构，池底及四周池壁防渗混凝土为C30P8，防渗系数为0.261</w:t>
            </w:r>
            <w:r>
              <w:rPr>
                <w:bCs/>
                <w:sz w:val="24"/>
                <w:szCs w:val="24"/>
                <w:lang w:bidi="ar"/>
              </w:rPr>
              <w:t>×</w:t>
            </w:r>
            <w:r>
              <w:rPr>
                <w:sz w:val="24"/>
                <w:szCs w:val="24"/>
                <w:lang w:bidi="ar"/>
              </w:rPr>
              <w:t>10</w:t>
            </w:r>
            <w:r>
              <w:rPr>
                <w:sz w:val="24"/>
                <w:szCs w:val="24"/>
                <w:vertAlign w:val="superscript"/>
                <w:lang w:bidi="ar"/>
              </w:rPr>
              <w:t>-8</w:t>
            </w:r>
            <w:r>
              <w:rPr>
                <w:sz w:val="24"/>
                <w:szCs w:val="24"/>
                <w:lang w:bidi="ar"/>
              </w:rPr>
              <w:t>cm/s，</w:t>
            </w:r>
            <w:r>
              <w:rPr>
                <w:bCs/>
                <w:sz w:val="24"/>
                <w:szCs w:val="24"/>
                <w:lang w:bidi="ar"/>
              </w:rPr>
              <w:t>满足渗透系数≤1.0×10</w:t>
            </w:r>
            <w:r>
              <w:rPr>
                <w:bCs/>
                <w:sz w:val="24"/>
                <w:szCs w:val="24"/>
                <w:vertAlign w:val="superscript"/>
                <w:lang w:bidi="ar"/>
              </w:rPr>
              <w:t>-7</w:t>
            </w:r>
            <w:r>
              <w:rPr>
                <w:bCs/>
                <w:sz w:val="24"/>
                <w:szCs w:val="24"/>
                <w:lang w:bidi="ar"/>
              </w:rPr>
              <w:t>cm/s</w:t>
            </w:r>
            <w:r>
              <w:rPr>
                <w:sz w:val="24"/>
                <w:szCs w:val="24"/>
                <w:lang w:bidi="ar"/>
              </w:rPr>
              <w:t>要求；</w:t>
            </w:r>
            <w:r>
              <w:rPr>
                <w:sz w:val="24"/>
              </w:rPr>
              <w:t>办公生活区、厂区道路等无明显潜在地下水污染源的区域进行简单防渗，进行一般地面硬化即可；地埋式一体化污水处理设施、化粪池、隔油池：按照《环境影响评价技术导则</w:t>
            </w:r>
            <w:r>
              <w:rPr>
                <w:rFonts w:hint="eastAsia"/>
                <w:sz w:val="24"/>
              </w:rPr>
              <w:t xml:space="preserve"> </w:t>
            </w:r>
            <w:r>
              <w:rPr>
                <w:sz w:val="24"/>
              </w:rPr>
              <w:t>地下水环境》（HJ610-2016）提出的一般防渗区防渗技术要求落实，即渗透系数K≤1.0×10</w:t>
            </w:r>
            <w:r>
              <w:rPr>
                <w:sz w:val="24"/>
                <w:vertAlign w:val="superscript"/>
              </w:rPr>
              <w:t>-7</w:t>
            </w:r>
            <w:r>
              <w:rPr>
                <w:sz w:val="24"/>
              </w:rPr>
              <w:t>cm/s；施工期间加强工程监理和环境监理，提高防渗工程质量，做好照片、录像以及相关文字说明等存档资料。</w:t>
            </w:r>
          </w:p>
          <w:p w14:paraId="11B588A9">
            <w:pPr>
              <w:spacing w:line="360" w:lineRule="auto"/>
              <w:ind w:firstLine="480" w:firstLineChars="200"/>
              <w:rPr>
                <w:sz w:val="24"/>
              </w:rPr>
            </w:pPr>
            <w:r>
              <w:rPr>
                <w:rFonts w:hint="eastAsia"/>
                <w:sz w:val="24"/>
              </w:rPr>
              <w:t>（6）编制突发环境事件应急预案并报生态环境管理部门备案。按照应急预案储备应急物资、定期演练，加强管理，将风险降到最低。</w:t>
            </w:r>
          </w:p>
          <w:p w14:paraId="0AAB0867">
            <w:pPr>
              <w:spacing w:line="360" w:lineRule="auto"/>
              <w:ind w:firstLine="480" w:firstLineChars="200"/>
              <w:rPr>
                <w:sz w:val="24"/>
              </w:rPr>
            </w:pPr>
            <w:r>
              <w:rPr>
                <w:rFonts w:hint="eastAsia"/>
                <w:sz w:val="24"/>
              </w:rPr>
              <w:t>（</w:t>
            </w:r>
            <w:r>
              <w:rPr>
                <w:sz w:val="24"/>
              </w:rPr>
              <w:t>7</w:t>
            </w:r>
            <w:r>
              <w:rPr>
                <w:rFonts w:hint="eastAsia"/>
                <w:sz w:val="24"/>
              </w:rPr>
              <w:t>）日常维护时，对集油坑积水进行清除。</w:t>
            </w:r>
            <w:bookmarkEnd w:id="183"/>
          </w:p>
          <w:p w14:paraId="7AD5D712">
            <w:pPr>
              <w:spacing w:line="360" w:lineRule="auto"/>
              <w:ind w:firstLine="480" w:firstLineChars="200"/>
              <w:rPr>
                <w:rFonts w:hint="eastAsia"/>
                <w:sz w:val="24"/>
              </w:rPr>
            </w:pPr>
            <w:r>
              <w:rPr>
                <w:rFonts w:hint="eastAsia"/>
                <w:sz w:val="24"/>
              </w:rPr>
              <w:t>（8）建立极端天气预警响应机制，针对暴雨、大风、冰雪、高温等灾害提前做好设备巡检与加固防护，天气来临前及时调整运行工况，灾害期间加强远程与现场巡查，灾后快速开展隐患排查、设备检修，降低极端天气对电站设备及安全运行的损害。</w:t>
            </w:r>
          </w:p>
        </w:tc>
      </w:tr>
      <w:tr w14:paraId="212BCD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7" w:hRule="atLeast"/>
          <w:jc w:val="center"/>
        </w:trPr>
        <w:tc>
          <w:tcPr>
            <w:tcW w:w="220" w:type="pct"/>
            <w:noWrap/>
            <w:vAlign w:val="center"/>
          </w:tcPr>
          <w:p w14:paraId="386D665B">
            <w:pPr>
              <w:adjustRightInd w:val="0"/>
              <w:snapToGrid w:val="0"/>
              <w:jc w:val="center"/>
              <w:rPr>
                <w:rFonts w:ascii="宋体" w:hAnsi="宋体" w:cs="宋体"/>
                <w:bCs/>
                <w:spacing w:val="10"/>
                <w:sz w:val="24"/>
              </w:rPr>
            </w:pPr>
            <w:r>
              <w:rPr>
                <w:rFonts w:hint="eastAsia" w:ascii="宋体" w:hAnsi="宋体"/>
                <w:bCs/>
                <w:sz w:val="24"/>
              </w:rPr>
              <w:t>其他</w:t>
            </w:r>
          </w:p>
        </w:tc>
        <w:tc>
          <w:tcPr>
            <w:tcW w:w="4779" w:type="pct"/>
            <w:noWrap/>
            <w:vAlign w:val="center"/>
          </w:tcPr>
          <w:p w14:paraId="1E3888E7">
            <w:pPr>
              <w:pStyle w:val="192"/>
              <w:rPr>
                <w:sz w:val="24"/>
                <w:szCs w:val="24"/>
              </w:rPr>
            </w:pPr>
            <w:r>
              <w:rPr>
                <w:rFonts w:hint="eastAsia"/>
                <w:sz w:val="24"/>
                <w:szCs w:val="24"/>
              </w:rPr>
              <w:t>5.3 其他</w:t>
            </w:r>
          </w:p>
          <w:p w14:paraId="2D16FCAE">
            <w:pPr>
              <w:pStyle w:val="192"/>
              <w:rPr>
                <w:sz w:val="24"/>
                <w:szCs w:val="24"/>
              </w:rPr>
            </w:pPr>
            <w:r>
              <w:rPr>
                <w:rFonts w:hint="eastAsia"/>
                <w:sz w:val="24"/>
                <w:szCs w:val="24"/>
              </w:rPr>
              <w:t>5.3.1 环境管理计划</w:t>
            </w:r>
          </w:p>
          <w:p w14:paraId="289C5698">
            <w:pPr>
              <w:spacing w:line="360" w:lineRule="auto"/>
              <w:ind w:firstLine="420" w:firstLineChars="200"/>
              <w:rPr>
                <w:sz w:val="24"/>
              </w:rPr>
            </w:pPr>
            <w:r>
              <w:rPr>
                <w:rFonts w:hint="eastAsia"/>
              </w:rPr>
              <w:t>（</w:t>
            </w:r>
            <w:r>
              <w:rPr>
                <w:rFonts w:hint="eastAsia"/>
                <w:sz w:val="24"/>
              </w:rPr>
              <w:t>1）设计阶段：设计部门应将环境影响报告提出的环境保护措施落实在施工设计中。</w:t>
            </w:r>
          </w:p>
          <w:p w14:paraId="26EEE615">
            <w:pPr>
              <w:spacing w:line="360" w:lineRule="auto"/>
              <w:ind w:firstLine="480" w:firstLineChars="200"/>
              <w:rPr>
                <w:sz w:val="24"/>
              </w:rPr>
            </w:pPr>
            <w:r>
              <w:rPr>
                <w:rFonts w:hint="eastAsia"/>
                <w:sz w:val="24"/>
              </w:rPr>
              <w:t>（2）招投标阶段：承包商在投标中应有环境保护内容，中标后的合同中应有实施保证措施的条款。</w:t>
            </w:r>
          </w:p>
          <w:p w14:paraId="234375FD">
            <w:pPr>
              <w:spacing w:line="360" w:lineRule="auto"/>
              <w:ind w:firstLine="480" w:firstLineChars="200"/>
              <w:rPr>
                <w:sz w:val="24"/>
              </w:rPr>
            </w:pPr>
            <w:r>
              <w:rPr>
                <w:rFonts w:hint="eastAsia"/>
                <w:sz w:val="24"/>
              </w:rPr>
              <w:t>（3）施工阶段：工程监理机构应将环境保护的相关内容纳入工程监理计划中。施工单位应按照本环评报告提出的环境保护措施和招标文件中规定的环境保护措施实施，接受工程建设单位和监理单位的监督和管理。</w:t>
            </w:r>
          </w:p>
          <w:p w14:paraId="26084958">
            <w:pPr>
              <w:spacing w:line="360" w:lineRule="auto"/>
              <w:ind w:firstLine="480" w:firstLineChars="200"/>
              <w:rPr>
                <w:sz w:val="24"/>
              </w:rPr>
            </w:pPr>
            <w:r>
              <w:rPr>
                <w:rFonts w:hint="eastAsia"/>
                <w:sz w:val="24"/>
              </w:rPr>
              <w:t>（4）运行阶段：本项目的环境保护工作由建设单位负责监督，负责日常的环境管理，落实相关的环境管理制度。</w:t>
            </w:r>
          </w:p>
          <w:p w14:paraId="15AD2EE9">
            <w:pPr>
              <w:pStyle w:val="192"/>
              <w:rPr>
                <w:rFonts w:hint="eastAsia"/>
                <w:sz w:val="24"/>
                <w:szCs w:val="24"/>
              </w:rPr>
            </w:pPr>
            <w:r>
              <w:rPr>
                <w:rFonts w:hint="eastAsia"/>
                <w:sz w:val="24"/>
                <w:szCs w:val="24"/>
              </w:rPr>
              <w:t>5.3.2 环境管理机构职责</w:t>
            </w:r>
          </w:p>
          <w:p w14:paraId="2BE33E6B">
            <w:pPr>
              <w:spacing w:line="360" w:lineRule="auto"/>
              <w:ind w:firstLine="480" w:firstLineChars="200"/>
              <w:rPr>
                <w:sz w:val="24"/>
              </w:rPr>
            </w:pPr>
            <w:r>
              <w:rPr>
                <w:rFonts w:hint="eastAsia"/>
                <w:sz w:val="24"/>
              </w:rPr>
              <w:t>环境管理机构负责项目施工期与运行期的环境管理与环境监测工作，主要职责如下：</w:t>
            </w:r>
          </w:p>
          <w:p w14:paraId="2E95541C">
            <w:pPr>
              <w:spacing w:line="360" w:lineRule="auto"/>
              <w:ind w:firstLine="480" w:firstLineChars="200"/>
              <w:rPr>
                <w:sz w:val="24"/>
              </w:rPr>
            </w:pPr>
            <w:r>
              <w:rPr>
                <w:rFonts w:hint="eastAsia"/>
                <w:sz w:val="24"/>
              </w:rPr>
              <w:t>（1）编制、提出本项目施工期、运行期的短期环境保护计划，本项目的长远环境保护规划；</w:t>
            </w:r>
          </w:p>
          <w:p w14:paraId="638FAF93">
            <w:pPr>
              <w:spacing w:line="360" w:lineRule="auto"/>
              <w:ind w:firstLine="480" w:firstLineChars="200"/>
              <w:rPr>
                <w:sz w:val="24"/>
              </w:rPr>
            </w:pPr>
            <w:r>
              <w:rPr>
                <w:rFonts w:hint="eastAsia"/>
                <w:sz w:val="24"/>
              </w:rPr>
              <w:t>（2）贯彻落实国家和地方的环境保护法律法规、政策和标准，直接接受环保主管部门的监督、领导，配合环境保护主管部门做好环保工作；</w:t>
            </w:r>
          </w:p>
          <w:p w14:paraId="615067E8">
            <w:pPr>
              <w:spacing w:line="360" w:lineRule="auto"/>
              <w:ind w:firstLine="480" w:firstLineChars="200"/>
              <w:rPr>
                <w:sz w:val="24"/>
              </w:rPr>
            </w:pPr>
            <w:r>
              <w:rPr>
                <w:rFonts w:hint="eastAsia"/>
                <w:sz w:val="24"/>
              </w:rPr>
              <w:t>（3）领导并组织环境监测工作，制定和实施环境监测方案，整理和处理监测数据，建立污染源与监测档案，定期向主管部门及市环境保护主管部门上报；</w:t>
            </w:r>
          </w:p>
          <w:p w14:paraId="6BB61BEF">
            <w:pPr>
              <w:spacing w:line="360" w:lineRule="auto"/>
              <w:ind w:firstLine="480" w:firstLineChars="200"/>
              <w:rPr>
                <w:sz w:val="24"/>
              </w:rPr>
            </w:pPr>
            <w:r>
              <w:rPr>
                <w:rFonts w:hint="eastAsia"/>
                <w:sz w:val="24"/>
              </w:rPr>
              <w:t>（4）在项目施工期负责监督环保设施的施工、安装、调试等，落实项目的“三同时”制度；</w:t>
            </w:r>
          </w:p>
          <w:p w14:paraId="70F86508">
            <w:pPr>
              <w:spacing w:line="360" w:lineRule="auto"/>
              <w:ind w:firstLine="480" w:firstLineChars="200"/>
              <w:rPr>
                <w:sz w:val="24"/>
              </w:rPr>
            </w:pPr>
            <w:r>
              <w:rPr>
                <w:rFonts w:hint="eastAsia"/>
                <w:sz w:val="24"/>
              </w:rPr>
              <w:t>（5）监督确保项目污染物排放达到国家排放标准；</w:t>
            </w:r>
          </w:p>
          <w:p w14:paraId="651836E2">
            <w:pPr>
              <w:spacing w:line="360" w:lineRule="auto"/>
              <w:ind w:firstLine="480" w:firstLineChars="200"/>
              <w:rPr>
                <w:sz w:val="24"/>
              </w:rPr>
            </w:pPr>
            <w:r>
              <w:rPr>
                <w:rFonts w:hint="eastAsia"/>
                <w:sz w:val="24"/>
              </w:rPr>
              <w:t>（6）制定和实施职工的环境保护培训方案，增强职工的环境保护意识。</w:t>
            </w:r>
          </w:p>
          <w:p w14:paraId="6B1F7775">
            <w:pPr>
              <w:pStyle w:val="192"/>
              <w:rPr>
                <w:rFonts w:hint="eastAsia"/>
                <w:sz w:val="24"/>
                <w:szCs w:val="24"/>
              </w:rPr>
            </w:pPr>
            <w:r>
              <w:rPr>
                <w:rFonts w:hint="eastAsia"/>
                <w:sz w:val="24"/>
                <w:szCs w:val="24"/>
              </w:rPr>
              <w:t>5.3.3 项目运行期的环境保护管理</w:t>
            </w:r>
          </w:p>
          <w:p w14:paraId="6B4B1436">
            <w:pPr>
              <w:spacing w:line="360" w:lineRule="auto"/>
              <w:ind w:firstLine="480" w:firstLineChars="200"/>
              <w:rPr>
                <w:sz w:val="24"/>
                <w:szCs w:val="24"/>
              </w:rPr>
            </w:pPr>
            <w:r>
              <w:rPr>
                <w:rFonts w:hint="eastAsia"/>
                <w:sz w:val="24"/>
                <w:szCs w:val="24"/>
              </w:rPr>
              <w:t>（1）根据国家环保政策、标准及环境监测要求，制定本项目运行期环境管理规章制度；</w:t>
            </w:r>
          </w:p>
          <w:p w14:paraId="20691101">
            <w:pPr>
              <w:spacing w:line="360" w:lineRule="auto"/>
              <w:ind w:firstLine="480" w:firstLineChars="200"/>
              <w:rPr>
                <w:sz w:val="24"/>
                <w:szCs w:val="24"/>
              </w:rPr>
            </w:pPr>
            <w:r>
              <w:rPr>
                <w:rFonts w:hint="eastAsia"/>
                <w:sz w:val="24"/>
                <w:szCs w:val="24"/>
              </w:rPr>
              <w:t>（2）负责本项目内所有环保设施的日常运行管理，保障各环保设施的正常运行，并对环保设施的改进提出积极的建议；</w:t>
            </w:r>
          </w:p>
          <w:p w14:paraId="22FDD21B">
            <w:pPr>
              <w:spacing w:line="360" w:lineRule="auto"/>
              <w:ind w:firstLine="480" w:firstLineChars="200"/>
              <w:rPr>
                <w:sz w:val="24"/>
                <w:szCs w:val="24"/>
              </w:rPr>
            </w:pPr>
            <w:r>
              <w:rPr>
                <w:rFonts w:hint="eastAsia"/>
                <w:sz w:val="24"/>
                <w:szCs w:val="24"/>
              </w:rPr>
              <w:t>（3）负责本项目运行期环境监测工作，及时掌握本项目对生态环境的影响情况，建立观测与监测档案；</w:t>
            </w:r>
          </w:p>
          <w:p w14:paraId="5A03B2B0">
            <w:pPr>
              <w:spacing w:line="360" w:lineRule="auto"/>
              <w:ind w:firstLine="480" w:firstLineChars="200"/>
              <w:rPr>
                <w:sz w:val="24"/>
                <w:szCs w:val="24"/>
              </w:rPr>
            </w:pPr>
            <w:r>
              <w:rPr>
                <w:rFonts w:hint="eastAsia"/>
                <w:sz w:val="24"/>
                <w:szCs w:val="24"/>
              </w:rPr>
              <w:t>（4）本项目运行期的环境管理由建设单位承担，并接受环境保护主管部门的指导和监督；</w:t>
            </w:r>
          </w:p>
          <w:p w14:paraId="1334029B">
            <w:pPr>
              <w:pStyle w:val="29"/>
              <w:spacing w:after="0" w:line="360" w:lineRule="auto"/>
              <w:ind w:left="0" w:leftChars="0" w:firstLine="480"/>
              <w:rPr>
                <w:rFonts w:hint="eastAsia"/>
              </w:rPr>
            </w:pPr>
            <w:r>
              <w:rPr>
                <w:rFonts w:hint="eastAsia"/>
                <w:sz w:val="24"/>
              </w:rPr>
              <w:t>（5）负责对本企业职工进行环保宣传教育工作。</w:t>
            </w:r>
          </w:p>
          <w:p w14:paraId="23EB1166">
            <w:pPr>
              <w:pStyle w:val="192"/>
              <w:rPr>
                <w:rFonts w:hint="eastAsia"/>
                <w:sz w:val="24"/>
                <w:szCs w:val="24"/>
              </w:rPr>
            </w:pPr>
            <w:r>
              <w:rPr>
                <w:rFonts w:hint="eastAsia"/>
                <w:sz w:val="24"/>
                <w:szCs w:val="24"/>
              </w:rPr>
              <w:t>5.3.4 环境监测计划</w:t>
            </w:r>
          </w:p>
          <w:p w14:paraId="3E289C27">
            <w:pPr>
              <w:widowControl/>
              <w:autoSpaceDE w:val="0"/>
              <w:autoSpaceDN w:val="0"/>
              <w:spacing w:line="360" w:lineRule="auto"/>
              <w:ind w:firstLine="482" w:firstLineChars="200"/>
              <w:rPr>
                <w:b/>
                <w:sz w:val="24"/>
              </w:rPr>
            </w:pPr>
            <w:r>
              <w:rPr>
                <w:rFonts w:hint="eastAsia"/>
                <w:b/>
                <w:sz w:val="24"/>
              </w:rPr>
              <w:t>（1）施工期</w:t>
            </w:r>
          </w:p>
          <w:p w14:paraId="47A8835E">
            <w:pPr>
              <w:widowControl/>
              <w:autoSpaceDE w:val="0"/>
              <w:autoSpaceDN w:val="0"/>
              <w:spacing w:line="360" w:lineRule="auto"/>
              <w:ind w:firstLine="480" w:firstLineChars="200"/>
              <w:rPr>
                <w:bCs/>
                <w:sz w:val="24"/>
              </w:rPr>
            </w:pPr>
            <w:r>
              <w:rPr>
                <w:rFonts w:hint="eastAsia"/>
                <w:bCs/>
                <w:sz w:val="24"/>
              </w:rPr>
              <w:t>根据施工期生态环境影响分析，本项目施工期主要是大气污染和噪声污染。施工期</w:t>
            </w:r>
            <w:r>
              <w:rPr>
                <w:bCs/>
                <w:sz w:val="24"/>
              </w:rPr>
              <w:t>监测点位、监测因子、监测频率及时间</w:t>
            </w:r>
            <w:r>
              <w:rPr>
                <w:rFonts w:hint="eastAsia"/>
                <w:bCs/>
                <w:sz w:val="24"/>
              </w:rPr>
              <w:t>、执行标准</w:t>
            </w:r>
            <w:r>
              <w:rPr>
                <w:bCs/>
                <w:sz w:val="24"/>
              </w:rPr>
              <w:t>见</w:t>
            </w:r>
            <w:r>
              <w:rPr>
                <w:rFonts w:hint="eastAsia"/>
                <w:bCs/>
                <w:sz w:val="24"/>
              </w:rPr>
              <w:t>下表</w:t>
            </w:r>
            <w:r>
              <w:rPr>
                <w:bCs/>
                <w:sz w:val="24"/>
              </w:rPr>
              <w:t>。</w:t>
            </w:r>
          </w:p>
          <w:p w14:paraId="69666C1A">
            <w:pPr>
              <w:pStyle w:val="10"/>
              <w:spacing w:line="360" w:lineRule="auto"/>
              <w:jc w:val="center"/>
              <w:rPr>
                <w:b/>
                <w:color w:val="000000"/>
                <w:szCs w:val="24"/>
              </w:rPr>
            </w:pPr>
          </w:p>
          <w:p w14:paraId="4F2DECB5">
            <w:pPr>
              <w:pStyle w:val="10"/>
              <w:spacing w:line="360" w:lineRule="auto"/>
              <w:jc w:val="center"/>
              <w:rPr>
                <w:rFonts w:hint="eastAsia"/>
                <w:b/>
                <w:color w:val="000000"/>
                <w:szCs w:val="24"/>
              </w:rPr>
            </w:pPr>
            <w:r>
              <w:rPr>
                <w:rFonts w:hint="eastAsia"/>
                <w:b/>
                <w:color w:val="000000"/>
                <w:szCs w:val="24"/>
              </w:rPr>
              <w:t>表5.3.4-1  施工期环境监测计划表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69"/>
              <w:gridCol w:w="1853"/>
              <w:gridCol w:w="1417"/>
              <w:gridCol w:w="2125"/>
              <w:gridCol w:w="2212"/>
            </w:tblGrid>
            <w:tr w14:paraId="63B6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564" w:type="pct"/>
                  <w:vAlign w:val="center"/>
                </w:tcPr>
                <w:p w14:paraId="0F3F9C98">
                  <w:pPr>
                    <w:jc w:val="center"/>
                    <w:rPr>
                      <w:b/>
                      <w:bCs/>
                    </w:rPr>
                  </w:pPr>
                  <w:r>
                    <w:rPr>
                      <w:b/>
                      <w:bCs/>
                    </w:rPr>
                    <w:t>监测要素</w:t>
                  </w:r>
                </w:p>
              </w:tc>
              <w:tc>
                <w:tcPr>
                  <w:tcW w:w="1080" w:type="pct"/>
                  <w:vAlign w:val="center"/>
                </w:tcPr>
                <w:p w14:paraId="11159C6B">
                  <w:pPr>
                    <w:jc w:val="center"/>
                    <w:rPr>
                      <w:rFonts w:hint="eastAsia"/>
                      <w:b/>
                      <w:bCs/>
                    </w:rPr>
                  </w:pPr>
                  <w:r>
                    <w:rPr>
                      <w:b/>
                      <w:bCs/>
                    </w:rPr>
                    <w:t>监测</w:t>
                  </w:r>
                  <w:r>
                    <w:rPr>
                      <w:rFonts w:hint="eastAsia"/>
                      <w:b/>
                      <w:bCs/>
                    </w:rPr>
                    <w:t>点位</w:t>
                  </w:r>
                </w:p>
              </w:tc>
              <w:tc>
                <w:tcPr>
                  <w:tcW w:w="826" w:type="pct"/>
                  <w:vAlign w:val="center"/>
                </w:tcPr>
                <w:p w14:paraId="74700E2A">
                  <w:pPr>
                    <w:jc w:val="center"/>
                    <w:rPr>
                      <w:b/>
                      <w:bCs/>
                    </w:rPr>
                  </w:pPr>
                  <w:r>
                    <w:rPr>
                      <w:b/>
                      <w:bCs/>
                    </w:rPr>
                    <w:t>监测</w:t>
                  </w:r>
                  <w:r>
                    <w:rPr>
                      <w:rFonts w:hint="eastAsia"/>
                      <w:b/>
                      <w:bCs/>
                    </w:rPr>
                    <w:t>因子</w:t>
                  </w:r>
                </w:p>
              </w:tc>
              <w:tc>
                <w:tcPr>
                  <w:tcW w:w="1239" w:type="pct"/>
                  <w:vAlign w:val="center"/>
                </w:tcPr>
                <w:p w14:paraId="2853F420">
                  <w:pPr>
                    <w:jc w:val="center"/>
                    <w:rPr>
                      <w:b/>
                      <w:bCs/>
                    </w:rPr>
                  </w:pPr>
                  <w:r>
                    <w:rPr>
                      <w:b/>
                      <w:bCs/>
                    </w:rPr>
                    <w:t>监测频率</w:t>
                  </w:r>
                </w:p>
              </w:tc>
              <w:tc>
                <w:tcPr>
                  <w:tcW w:w="1290" w:type="pct"/>
                  <w:vAlign w:val="center"/>
                </w:tcPr>
                <w:p w14:paraId="6948F3EE">
                  <w:pPr>
                    <w:jc w:val="center"/>
                    <w:rPr>
                      <w:b/>
                      <w:bCs/>
                    </w:rPr>
                  </w:pPr>
                  <w:r>
                    <w:rPr>
                      <w:rFonts w:hint="eastAsia"/>
                      <w:b/>
                      <w:bCs/>
                    </w:rPr>
                    <w:t>执行标准</w:t>
                  </w:r>
                </w:p>
              </w:tc>
            </w:tr>
            <w:tr w14:paraId="20C6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564" w:type="pct"/>
                  <w:vAlign w:val="center"/>
                </w:tcPr>
                <w:p w14:paraId="204F7EDF">
                  <w:pPr>
                    <w:jc w:val="center"/>
                    <w:rPr>
                      <w:rFonts w:hint="eastAsia"/>
                    </w:rPr>
                  </w:pPr>
                  <w:r>
                    <w:rPr>
                      <w:rFonts w:hint="eastAsia"/>
                    </w:rPr>
                    <w:t>环境空气</w:t>
                  </w:r>
                </w:p>
              </w:tc>
              <w:tc>
                <w:tcPr>
                  <w:tcW w:w="1080" w:type="pct"/>
                  <w:vMerge w:val="restart"/>
                  <w:vAlign w:val="center"/>
                </w:tcPr>
                <w:p w14:paraId="22CEC958">
                  <w:pPr>
                    <w:autoSpaceDE w:val="0"/>
                    <w:autoSpaceDN w:val="0"/>
                    <w:adjustRightInd w:val="0"/>
                    <w:jc w:val="center"/>
                  </w:pPr>
                  <w:r>
                    <w:rPr>
                      <w:rFonts w:hint="eastAsia"/>
                    </w:rPr>
                    <w:t>菠萝塘、黑泥塘、酸多梨树、大龙潭、田尾坝、梁子上、炭山坡、杨家村、散户1、散户2、盐水沟居民点</w:t>
                  </w:r>
                </w:p>
              </w:tc>
              <w:tc>
                <w:tcPr>
                  <w:tcW w:w="826" w:type="pct"/>
                  <w:vAlign w:val="center"/>
                </w:tcPr>
                <w:p w14:paraId="36147BC9">
                  <w:pPr>
                    <w:jc w:val="center"/>
                  </w:pPr>
                  <w:r>
                    <w:t>TSP</w:t>
                  </w:r>
                </w:p>
              </w:tc>
              <w:tc>
                <w:tcPr>
                  <w:tcW w:w="1239" w:type="pct"/>
                  <w:vAlign w:val="center"/>
                </w:tcPr>
                <w:p w14:paraId="024504BD">
                  <w:pPr>
                    <w:jc w:val="center"/>
                  </w:pPr>
                  <w:r>
                    <w:rPr>
                      <w:rFonts w:hint="eastAsia"/>
                    </w:rPr>
                    <w:t>施工高峰期监测1次，每次连续监测3天</w:t>
                  </w:r>
                </w:p>
              </w:tc>
              <w:tc>
                <w:tcPr>
                  <w:tcW w:w="1290" w:type="pct"/>
                  <w:vAlign w:val="center"/>
                </w:tcPr>
                <w:p w14:paraId="1CD77A54">
                  <w:pPr>
                    <w:jc w:val="center"/>
                  </w:pPr>
                  <w:r>
                    <w:t>《环境空气质量标准》（GB 3095-2026）</w:t>
                  </w:r>
                  <w:r>
                    <w:rPr>
                      <w:rFonts w:hint="eastAsia"/>
                    </w:rPr>
                    <w:t>过渡阶段</w:t>
                  </w:r>
                  <w:r>
                    <w:t>二级标准</w:t>
                  </w:r>
                </w:p>
              </w:tc>
            </w:tr>
            <w:tr w14:paraId="68AD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564" w:type="pct"/>
                  <w:vAlign w:val="center"/>
                </w:tcPr>
                <w:p w14:paraId="42EAF0AF">
                  <w:pPr>
                    <w:jc w:val="center"/>
                    <w:rPr>
                      <w:rFonts w:hint="eastAsia"/>
                    </w:rPr>
                  </w:pPr>
                  <w:r>
                    <w:rPr>
                      <w:rFonts w:hint="eastAsia"/>
                    </w:rPr>
                    <w:t>声环境</w:t>
                  </w:r>
                </w:p>
              </w:tc>
              <w:tc>
                <w:tcPr>
                  <w:tcW w:w="1080" w:type="pct"/>
                  <w:vMerge w:val="continue"/>
                  <w:vAlign w:val="center"/>
                </w:tcPr>
                <w:p w14:paraId="5661C5A3">
                  <w:pPr>
                    <w:autoSpaceDE w:val="0"/>
                    <w:autoSpaceDN w:val="0"/>
                    <w:adjustRightInd w:val="0"/>
                    <w:jc w:val="center"/>
                  </w:pPr>
                </w:p>
              </w:tc>
              <w:tc>
                <w:tcPr>
                  <w:tcW w:w="826" w:type="pct"/>
                  <w:vAlign w:val="center"/>
                </w:tcPr>
                <w:p w14:paraId="13F322E4">
                  <w:pPr>
                    <w:jc w:val="center"/>
                  </w:pPr>
                  <w:r>
                    <w:t>等效连续A声级</w:t>
                  </w:r>
                </w:p>
              </w:tc>
              <w:tc>
                <w:tcPr>
                  <w:tcW w:w="1239" w:type="pct"/>
                  <w:vAlign w:val="center"/>
                </w:tcPr>
                <w:p w14:paraId="26F433F5">
                  <w:pPr>
                    <w:jc w:val="center"/>
                  </w:pPr>
                  <w:r>
                    <w:rPr>
                      <w:rFonts w:hint="eastAsia"/>
                    </w:rPr>
                    <w:t>施工高峰期监测1次，连续监测2天，每天昼夜各1次</w:t>
                  </w:r>
                </w:p>
              </w:tc>
              <w:tc>
                <w:tcPr>
                  <w:tcW w:w="1290" w:type="pct"/>
                  <w:vAlign w:val="center"/>
                </w:tcPr>
                <w:p w14:paraId="7E9DAE56">
                  <w:pPr>
                    <w:topLinePunct/>
                    <w:jc w:val="center"/>
                    <w:rPr>
                      <w:rFonts w:hint="eastAsia"/>
                    </w:rPr>
                  </w:pPr>
                  <w:r>
                    <w:t>《</w:t>
                  </w:r>
                  <w:r>
                    <w:rPr>
                      <w:rFonts w:hint="eastAsia"/>
                    </w:rPr>
                    <w:t>声环境质量标准》（GB 3096-2008）</w:t>
                  </w:r>
                  <w:r>
                    <w:t>2</w:t>
                  </w:r>
                  <w:r>
                    <w:rPr>
                      <w:rFonts w:hint="eastAsia"/>
                    </w:rPr>
                    <w:t>类标准</w:t>
                  </w:r>
                </w:p>
              </w:tc>
            </w:tr>
          </w:tbl>
          <w:p w14:paraId="1FDFB10F">
            <w:pPr>
              <w:widowControl/>
              <w:autoSpaceDE w:val="0"/>
              <w:autoSpaceDN w:val="0"/>
              <w:spacing w:line="360" w:lineRule="auto"/>
              <w:ind w:firstLine="482" w:firstLineChars="200"/>
              <w:rPr>
                <w:b/>
                <w:sz w:val="24"/>
              </w:rPr>
            </w:pPr>
            <w:r>
              <w:rPr>
                <w:rFonts w:hint="eastAsia"/>
                <w:b/>
                <w:sz w:val="24"/>
              </w:rPr>
              <w:t>（2）运营期</w:t>
            </w:r>
          </w:p>
          <w:p w14:paraId="51A13CAD">
            <w:pPr>
              <w:widowControl/>
              <w:autoSpaceDE w:val="0"/>
              <w:autoSpaceDN w:val="0"/>
              <w:spacing w:line="360" w:lineRule="auto"/>
              <w:ind w:firstLine="480" w:firstLineChars="200"/>
              <w:rPr>
                <w:bCs/>
                <w:sz w:val="24"/>
              </w:rPr>
            </w:pPr>
            <w:r>
              <w:rPr>
                <w:rFonts w:hint="eastAsia"/>
                <w:bCs/>
                <w:sz w:val="24"/>
              </w:rPr>
              <w:t>根据运营期生态环境影响分析，本项目运营期主要涉及噪声污染、以礼河三级电站生活污水、升压站电磁辐射。运营期</w:t>
            </w:r>
            <w:r>
              <w:rPr>
                <w:bCs/>
                <w:sz w:val="24"/>
              </w:rPr>
              <w:t>监测点位、监测因子、监测频率及时间</w:t>
            </w:r>
            <w:r>
              <w:rPr>
                <w:rFonts w:hint="eastAsia"/>
                <w:bCs/>
                <w:sz w:val="24"/>
              </w:rPr>
              <w:t>、执行标准</w:t>
            </w:r>
            <w:r>
              <w:rPr>
                <w:bCs/>
                <w:sz w:val="24"/>
              </w:rPr>
              <w:t>见</w:t>
            </w:r>
            <w:r>
              <w:rPr>
                <w:rFonts w:hint="eastAsia"/>
                <w:bCs/>
                <w:sz w:val="24"/>
              </w:rPr>
              <w:t>下表</w:t>
            </w:r>
            <w:r>
              <w:rPr>
                <w:bCs/>
                <w:sz w:val="24"/>
              </w:rPr>
              <w:t>。</w:t>
            </w:r>
          </w:p>
          <w:p w14:paraId="541BF731">
            <w:pPr>
              <w:pStyle w:val="10"/>
              <w:spacing w:line="360" w:lineRule="auto"/>
              <w:jc w:val="center"/>
              <w:rPr>
                <w:rFonts w:hint="eastAsia"/>
                <w:b/>
                <w:color w:val="000000"/>
                <w:szCs w:val="24"/>
              </w:rPr>
            </w:pPr>
            <w:r>
              <w:rPr>
                <w:rFonts w:hint="eastAsia"/>
                <w:b/>
                <w:color w:val="000000"/>
                <w:szCs w:val="24"/>
              </w:rPr>
              <w:t>表5.3.1-2  运营期环境监测计划表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63"/>
              <w:gridCol w:w="2811"/>
              <w:gridCol w:w="1316"/>
              <w:gridCol w:w="1274"/>
              <w:gridCol w:w="2212"/>
            </w:tblGrid>
            <w:tr w14:paraId="02B1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561" w:type="pct"/>
                  <w:vAlign w:val="center"/>
                </w:tcPr>
                <w:p w14:paraId="03A1EA22">
                  <w:pPr>
                    <w:jc w:val="center"/>
                    <w:rPr>
                      <w:b/>
                      <w:bCs/>
                    </w:rPr>
                  </w:pPr>
                  <w:r>
                    <w:rPr>
                      <w:b/>
                      <w:bCs/>
                    </w:rPr>
                    <w:t>监测要素</w:t>
                  </w:r>
                </w:p>
              </w:tc>
              <w:tc>
                <w:tcPr>
                  <w:tcW w:w="1639" w:type="pct"/>
                  <w:vAlign w:val="center"/>
                </w:tcPr>
                <w:p w14:paraId="587D48B4">
                  <w:pPr>
                    <w:jc w:val="center"/>
                    <w:rPr>
                      <w:rFonts w:hint="eastAsia"/>
                      <w:b/>
                      <w:bCs/>
                    </w:rPr>
                  </w:pPr>
                  <w:r>
                    <w:rPr>
                      <w:b/>
                      <w:bCs/>
                    </w:rPr>
                    <w:t>监测</w:t>
                  </w:r>
                  <w:r>
                    <w:rPr>
                      <w:rFonts w:hint="eastAsia"/>
                      <w:b/>
                      <w:bCs/>
                    </w:rPr>
                    <w:t>点位</w:t>
                  </w:r>
                </w:p>
              </w:tc>
              <w:tc>
                <w:tcPr>
                  <w:tcW w:w="767" w:type="pct"/>
                  <w:vAlign w:val="center"/>
                </w:tcPr>
                <w:p w14:paraId="5AEA40D9">
                  <w:pPr>
                    <w:jc w:val="center"/>
                    <w:rPr>
                      <w:b/>
                      <w:bCs/>
                    </w:rPr>
                  </w:pPr>
                  <w:r>
                    <w:rPr>
                      <w:b/>
                      <w:bCs/>
                    </w:rPr>
                    <w:t>监测</w:t>
                  </w:r>
                  <w:r>
                    <w:rPr>
                      <w:rFonts w:hint="eastAsia"/>
                      <w:b/>
                      <w:bCs/>
                    </w:rPr>
                    <w:t>因子</w:t>
                  </w:r>
                </w:p>
              </w:tc>
              <w:tc>
                <w:tcPr>
                  <w:tcW w:w="743" w:type="pct"/>
                  <w:vAlign w:val="center"/>
                </w:tcPr>
                <w:p w14:paraId="2483BA0A">
                  <w:pPr>
                    <w:jc w:val="center"/>
                    <w:rPr>
                      <w:b/>
                      <w:bCs/>
                    </w:rPr>
                  </w:pPr>
                  <w:r>
                    <w:rPr>
                      <w:b/>
                      <w:bCs/>
                    </w:rPr>
                    <w:t>监测频率</w:t>
                  </w:r>
                </w:p>
              </w:tc>
              <w:tc>
                <w:tcPr>
                  <w:tcW w:w="1290" w:type="pct"/>
                  <w:vAlign w:val="center"/>
                </w:tcPr>
                <w:p w14:paraId="793595AC">
                  <w:pPr>
                    <w:jc w:val="center"/>
                    <w:rPr>
                      <w:b/>
                      <w:bCs/>
                    </w:rPr>
                  </w:pPr>
                  <w:r>
                    <w:rPr>
                      <w:rFonts w:hint="eastAsia"/>
                      <w:b/>
                      <w:bCs/>
                    </w:rPr>
                    <w:t>执行标准</w:t>
                  </w:r>
                </w:p>
              </w:tc>
            </w:tr>
            <w:tr w14:paraId="0228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561" w:type="pct"/>
                  <w:vMerge w:val="restart"/>
                  <w:vAlign w:val="center"/>
                </w:tcPr>
                <w:p w14:paraId="0AD0F74A">
                  <w:pPr>
                    <w:jc w:val="center"/>
                    <w:rPr>
                      <w:rFonts w:hint="eastAsia"/>
                    </w:rPr>
                  </w:pPr>
                  <w:r>
                    <w:rPr>
                      <w:rFonts w:hint="eastAsia"/>
                    </w:rPr>
                    <w:t>噪声</w:t>
                  </w:r>
                </w:p>
              </w:tc>
              <w:tc>
                <w:tcPr>
                  <w:tcW w:w="1639" w:type="pct"/>
                  <w:vAlign w:val="center"/>
                </w:tcPr>
                <w:p w14:paraId="4C5CA9F2">
                  <w:pPr>
                    <w:autoSpaceDE w:val="0"/>
                    <w:autoSpaceDN w:val="0"/>
                    <w:jc w:val="center"/>
                  </w:pPr>
                  <w:r>
                    <w:rPr>
                      <w:rFonts w:hint="eastAsia"/>
                    </w:rPr>
                    <w:t>厂界噪声监测：</w:t>
                  </w:r>
                  <w:bookmarkStart w:id="185" w:name="OLE_LINK66"/>
                  <w:r>
                    <w:rPr>
                      <w:rFonts w:hint="eastAsia"/>
                    </w:rPr>
                    <w:t>以礼河三级电站升压站厂界（东、南、西、北）外1m</w:t>
                  </w:r>
                  <w:bookmarkEnd w:id="185"/>
                </w:p>
              </w:tc>
              <w:tc>
                <w:tcPr>
                  <w:tcW w:w="767" w:type="pct"/>
                  <w:vAlign w:val="center"/>
                </w:tcPr>
                <w:p w14:paraId="1E8CD168">
                  <w:pPr>
                    <w:jc w:val="center"/>
                  </w:pPr>
                  <w:r>
                    <w:t>等效连续</w:t>
                  </w:r>
                </w:p>
                <w:p w14:paraId="30C390B1">
                  <w:pPr>
                    <w:jc w:val="center"/>
                  </w:pPr>
                  <w:r>
                    <w:t>A声级</w:t>
                  </w:r>
                </w:p>
              </w:tc>
              <w:tc>
                <w:tcPr>
                  <w:tcW w:w="743" w:type="pct"/>
                  <w:vMerge w:val="restart"/>
                  <w:vAlign w:val="center"/>
                </w:tcPr>
                <w:p w14:paraId="0EFD63A9">
                  <w:pPr>
                    <w:jc w:val="center"/>
                  </w:pPr>
                  <w:r>
                    <w:rPr>
                      <w:rFonts w:hint="eastAsia"/>
                    </w:rPr>
                    <w:t>运行期监测1次，连续监测2天，每天昼夜各1次</w:t>
                  </w:r>
                </w:p>
              </w:tc>
              <w:tc>
                <w:tcPr>
                  <w:tcW w:w="1290" w:type="pct"/>
                  <w:vAlign w:val="center"/>
                </w:tcPr>
                <w:p w14:paraId="67E8222B">
                  <w:pPr>
                    <w:topLinePunct/>
                    <w:jc w:val="center"/>
                    <w:rPr>
                      <w:rFonts w:hint="eastAsia"/>
                    </w:rPr>
                  </w:pPr>
                  <w:r>
                    <w:rPr>
                      <w:rFonts w:hint="eastAsia"/>
                    </w:rPr>
                    <w:t>《工业企业厂界环境噪声排放标准》（GB 12348-2008）2类标准</w:t>
                  </w:r>
                </w:p>
              </w:tc>
            </w:tr>
            <w:tr w14:paraId="0EEB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561" w:type="pct"/>
                  <w:vMerge w:val="continue"/>
                  <w:vAlign w:val="center"/>
                </w:tcPr>
                <w:p w14:paraId="2CDDB607">
                  <w:pPr>
                    <w:jc w:val="center"/>
                    <w:rPr>
                      <w:rFonts w:hint="eastAsia"/>
                    </w:rPr>
                  </w:pPr>
                </w:p>
              </w:tc>
              <w:tc>
                <w:tcPr>
                  <w:tcW w:w="1639" w:type="pct"/>
                  <w:vAlign w:val="center"/>
                </w:tcPr>
                <w:p w14:paraId="625988A9">
                  <w:pPr>
                    <w:autoSpaceDE w:val="0"/>
                    <w:autoSpaceDN w:val="0"/>
                    <w:jc w:val="center"/>
                  </w:pPr>
                  <w:r>
                    <w:rPr>
                      <w:rFonts w:hint="eastAsia"/>
                    </w:rPr>
                    <w:t>环境敏感点声环境质量监测：以礼河三级电站升压站厂界（东、南、西、北）外1m</w:t>
                  </w:r>
                </w:p>
              </w:tc>
              <w:tc>
                <w:tcPr>
                  <w:tcW w:w="767" w:type="pct"/>
                  <w:vAlign w:val="center"/>
                </w:tcPr>
                <w:p w14:paraId="4EDEC23B">
                  <w:pPr>
                    <w:jc w:val="center"/>
                  </w:pPr>
                  <w:r>
                    <w:t>等效连续</w:t>
                  </w:r>
                </w:p>
                <w:p w14:paraId="2CE628A1">
                  <w:pPr>
                    <w:jc w:val="center"/>
                  </w:pPr>
                  <w:r>
                    <w:t>A声级</w:t>
                  </w:r>
                </w:p>
              </w:tc>
              <w:tc>
                <w:tcPr>
                  <w:tcW w:w="743" w:type="pct"/>
                  <w:vMerge w:val="continue"/>
                  <w:vAlign w:val="center"/>
                </w:tcPr>
                <w:p w14:paraId="2D6519EC">
                  <w:pPr>
                    <w:jc w:val="center"/>
                    <w:rPr>
                      <w:rFonts w:hint="eastAsia"/>
                    </w:rPr>
                  </w:pPr>
                </w:p>
              </w:tc>
              <w:tc>
                <w:tcPr>
                  <w:tcW w:w="1290" w:type="pct"/>
                  <w:vAlign w:val="center"/>
                </w:tcPr>
                <w:p w14:paraId="658AD580">
                  <w:pPr>
                    <w:topLinePunct/>
                    <w:jc w:val="center"/>
                  </w:pPr>
                  <w:r>
                    <w:t>《</w:t>
                  </w:r>
                  <w:r>
                    <w:rPr>
                      <w:rFonts w:hint="eastAsia"/>
                    </w:rPr>
                    <w:t>声环境质量标准》（GB 3096-2008）2类标准</w:t>
                  </w:r>
                </w:p>
              </w:tc>
            </w:tr>
            <w:tr w14:paraId="03E6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561" w:type="pct"/>
                  <w:vAlign w:val="center"/>
                </w:tcPr>
                <w:p w14:paraId="3E86D628">
                  <w:pPr>
                    <w:jc w:val="center"/>
                  </w:pPr>
                  <w:r>
                    <w:rPr>
                      <w:rFonts w:hint="eastAsia"/>
                    </w:rPr>
                    <w:t>生活污水</w:t>
                  </w:r>
                </w:p>
              </w:tc>
              <w:tc>
                <w:tcPr>
                  <w:tcW w:w="1639" w:type="pct"/>
                  <w:vAlign w:val="center"/>
                </w:tcPr>
                <w:p w14:paraId="2A30CED7">
                  <w:pPr>
                    <w:jc w:val="center"/>
                    <w:rPr>
                      <w:rFonts w:hint="eastAsia"/>
                    </w:rPr>
                  </w:pPr>
                  <w:r>
                    <w:rPr>
                      <w:rFonts w:hint="eastAsia"/>
                    </w:rPr>
                    <w:t>以礼河三级电站地埋式一体化污水处理设施出口</w:t>
                  </w:r>
                </w:p>
              </w:tc>
              <w:tc>
                <w:tcPr>
                  <w:tcW w:w="767" w:type="pct"/>
                  <w:vAlign w:val="center"/>
                </w:tcPr>
                <w:p w14:paraId="741348AA">
                  <w:pPr>
                    <w:jc w:val="center"/>
                    <w:rPr>
                      <w:rFonts w:hint="eastAsia"/>
                    </w:rPr>
                  </w:pPr>
                  <w:r>
                    <w:rPr>
                      <w:kern w:val="0"/>
                    </w:rPr>
                    <w:t>pH</w:t>
                  </w:r>
                  <w:r>
                    <w:rPr>
                      <w:rFonts w:hint="eastAsia"/>
                      <w:kern w:val="0"/>
                    </w:rPr>
                    <w:t>、</w:t>
                  </w:r>
                  <w:r>
                    <w:t>色度</w:t>
                  </w:r>
                  <w:r>
                    <w:rPr>
                      <w:rFonts w:hint="eastAsia"/>
                    </w:rPr>
                    <w:t>、</w:t>
                  </w:r>
                  <w:r>
                    <w:rPr>
                      <w:kern w:val="0"/>
                    </w:rPr>
                    <w:t>嗅</w:t>
                  </w:r>
                  <w:r>
                    <w:rPr>
                      <w:rFonts w:hint="eastAsia"/>
                      <w:kern w:val="0"/>
                    </w:rPr>
                    <w:t>、</w:t>
                  </w:r>
                  <w:r>
                    <w:rPr>
                      <w:kern w:val="0"/>
                    </w:rPr>
                    <w:t>浊度</w:t>
                  </w:r>
                  <w:r>
                    <w:rPr>
                      <w:rFonts w:hint="eastAsia"/>
                      <w:kern w:val="0"/>
                    </w:rPr>
                    <w:t>、</w:t>
                  </w:r>
                  <w:r>
                    <w:rPr>
                      <w:kern w:val="0"/>
                    </w:rPr>
                    <w:t>溶解性总固体</w:t>
                  </w:r>
                  <w:r>
                    <w:rPr>
                      <w:rFonts w:hint="eastAsia"/>
                      <w:kern w:val="0"/>
                    </w:rPr>
                    <w:t>、COD、</w:t>
                  </w:r>
                  <w:r>
                    <w:rPr>
                      <w:kern w:val="0"/>
                    </w:rPr>
                    <w:t>BOD</w:t>
                  </w:r>
                  <w:r>
                    <w:rPr>
                      <w:kern w:val="0"/>
                      <w:vertAlign w:val="subscript"/>
                    </w:rPr>
                    <w:t>5</w:t>
                  </w:r>
                  <w:r>
                    <w:rPr>
                      <w:rFonts w:hint="eastAsia"/>
                      <w:kern w:val="0"/>
                    </w:rPr>
                    <w:t>、</w:t>
                  </w:r>
                  <w:r>
                    <w:rPr>
                      <w:kern w:val="0"/>
                    </w:rPr>
                    <w:t>氨氮</w:t>
                  </w:r>
                  <w:r>
                    <w:rPr>
                      <w:rFonts w:hint="eastAsia"/>
                      <w:kern w:val="0"/>
                    </w:rPr>
                    <w:t>、</w:t>
                  </w:r>
                  <w:r>
                    <w:rPr>
                      <w:kern w:val="0"/>
                    </w:rPr>
                    <w:t>阴离子表面活性</w:t>
                  </w:r>
                  <w:r>
                    <w:rPr>
                      <w:rFonts w:hint="eastAsia"/>
                      <w:kern w:val="0"/>
                    </w:rPr>
                    <w:t>、</w:t>
                  </w:r>
                  <w:r>
                    <w:rPr>
                      <w:kern w:val="0"/>
                    </w:rPr>
                    <w:t>铁</w:t>
                  </w:r>
                  <w:r>
                    <w:rPr>
                      <w:rFonts w:hint="eastAsia"/>
                      <w:kern w:val="0"/>
                    </w:rPr>
                    <w:t>、</w:t>
                  </w:r>
                  <w:r>
                    <w:rPr>
                      <w:kern w:val="0"/>
                    </w:rPr>
                    <w:t>锰</w:t>
                  </w:r>
                  <w:r>
                    <w:rPr>
                      <w:rFonts w:hint="eastAsia"/>
                      <w:kern w:val="0"/>
                    </w:rPr>
                    <w:t>、</w:t>
                  </w:r>
                  <w:r>
                    <w:rPr>
                      <w:kern w:val="0"/>
                    </w:rPr>
                    <w:t>溶解氧</w:t>
                  </w:r>
                  <w:r>
                    <w:rPr>
                      <w:rFonts w:hint="eastAsia"/>
                      <w:kern w:val="0"/>
                    </w:rPr>
                    <w:t>、</w:t>
                  </w:r>
                  <w:r>
                    <w:rPr>
                      <w:kern w:val="0"/>
                    </w:rPr>
                    <w:t>总氯</w:t>
                  </w:r>
                  <w:r>
                    <w:rPr>
                      <w:rFonts w:hint="eastAsia"/>
                      <w:kern w:val="0"/>
                    </w:rPr>
                    <w:t>、</w:t>
                  </w:r>
                  <w:r>
                    <w:rPr>
                      <w:kern w:val="0"/>
                    </w:rPr>
                    <w:t>大肠</w:t>
                  </w:r>
                  <w:r>
                    <w:rPr>
                      <w:rFonts w:hint="eastAsia"/>
                      <w:kern w:val="0"/>
                    </w:rPr>
                    <w:t>埃希</w:t>
                  </w:r>
                  <w:r>
                    <w:rPr>
                      <w:kern w:val="0"/>
                    </w:rPr>
                    <w:t>氏菌</w:t>
                  </w:r>
                </w:p>
              </w:tc>
              <w:tc>
                <w:tcPr>
                  <w:tcW w:w="743" w:type="pct"/>
                  <w:vAlign w:val="center"/>
                </w:tcPr>
                <w:p w14:paraId="312A2701">
                  <w:pPr>
                    <w:jc w:val="center"/>
                    <w:rPr>
                      <w:rFonts w:hint="eastAsia"/>
                    </w:rPr>
                  </w:pPr>
                  <w:r>
                    <w:rPr>
                      <w:rFonts w:hint="eastAsia"/>
                    </w:rPr>
                    <w:t>运行期监测1次</w:t>
                  </w:r>
                </w:p>
              </w:tc>
              <w:tc>
                <w:tcPr>
                  <w:tcW w:w="1290" w:type="pct"/>
                  <w:vAlign w:val="center"/>
                </w:tcPr>
                <w:p w14:paraId="499D4F03">
                  <w:pPr>
                    <w:topLinePunct/>
                    <w:jc w:val="center"/>
                  </w:pPr>
                  <w:r>
                    <w:rPr>
                      <w:rFonts w:hint="eastAsia"/>
                    </w:rPr>
                    <w:t>废水处理达《污水综合排放标准》（GB 8978-1996）后进入中水池，不外排；回用于绿化、降尘时，应满足《城市污水再生利用 城市杂用水水质》（GB/T18920-2020）绿化标准</w:t>
                  </w:r>
                </w:p>
              </w:tc>
            </w:tr>
            <w:tr w14:paraId="4ED3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6" w:hRule="atLeast"/>
                <w:jc w:val="center"/>
              </w:trPr>
              <w:tc>
                <w:tcPr>
                  <w:tcW w:w="561" w:type="pct"/>
                  <w:vAlign w:val="center"/>
                </w:tcPr>
                <w:p w14:paraId="4AD5F021">
                  <w:pPr>
                    <w:jc w:val="center"/>
                  </w:pPr>
                  <w:r>
                    <w:rPr>
                      <w:rFonts w:hint="eastAsia"/>
                    </w:rPr>
                    <w:t>电磁环境</w:t>
                  </w:r>
                </w:p>
              </w:tc>
              <w:tc>
                <w:tcPr>
                  <w:tcW w:w="1639" w:type="pct"/>
                  <w:vAlign w:val="center"/>
                </w:tcPr>
                <w:p w14:paraId="670913A4">
                  <w:pPr>
                    <w:autoSpaceDE w:val="0"/>
                    <w:autoSpaceDN w:val="0"/>
                    <w:jc w:val="left"/>
                    <w:rPr>
                      <w:rFonts w:hint="eastAsia"/>
                    </w:rPr>
                  </w:pPr>
                  <w:r>
                    <w:t>厂界周边东南西北4个点位</w:t>
                  </w:r>
                  <w:r>
                    <w:rPr>
                      <w:rFonts w:hint="eastAsia"/>
                    </w:rPr>
                    <w:t>及</w:t>
                  </w:r>
                  <w:r>
                    <w:t>衰减</w:t>
                  </w:r>
                  <w:r>
                    <w:rPr>
                      <w:rFonts w:hint="eastAsia"/>
                    </w:rPr>
                    <w:t>断面（厂界外0m、5m、10m、15m、20m、25m、30m、35m、40m、45m、50m处），环境敏感点</w:t>
                  </w:r>
                </w:p>
              </w:tc>
              <w:tc>
                <w:tcPr>
                  <w:tcW w:w="767" w:type="pct"/>
                  <w:vAlign w:val="center"/>
                </w:tcPr>
                <w:p w14:paraId="460935F7">
                  <w:pPr>
                    <w:jc w:val="center"/>
                  </w:pPr>
                  <w:r>
                    <w:t>工频电场强度、工频磁感应强度</w:t>
                  </w:r>
                </w:p>
              </w:tc>
              <w:tc>
                <w:tcPr>
                  <w:tcW w:w="743" w:type="pct"/>
                  <w:vAlign w:val="center"/>
                </w:tcPr>
                <w:p w14:paraId="53BDC79B">
                  <w:pPr>
                    <w:jc w:val="center"/>
                    <w:rPr>
                      <w:rFonts w:hint="eastAsia"/>
                    </w:rPr>
                  </w:pPr>
                  <w:r>
                    <w:rPr>
                      <w:rFonts w:hint="eastAsia"/>
                    </w:rPr>
                    <w:t>运行期监测1次</w:t>
                  </w:r>
                </w:p>
              </w:tc>
              <w:tc>
                <w:tcPr>
                  <w:tcW w:w="1290" w:type="pct"/>
                  <w:vAlign w:val="center"/>
                </w:tcPr>
                <w:p w14:paraId="39009EC3">
                  <w:pPr>
                    <w:topLinePunct/>
                    <w:jc w:val="center"/>
                  </w:pPr>
                  <w:r>
                    <w:t>《电磁环境控制限值》</w:t>
                  </w:r>
                </w:p>
                <w:p w14:paraId="7B24C26E">
                  <w:pPr>
                    <w:topLinePunct/>
                    <w:jc w:val="center"/>
                  </w:pPr>
                  <w:r>
                    <w:t>（GB</w:t>
                  </w:r>
                  <w:r>
                    <w:rPr>
                      <w:rFonts w:hint="eastAsia"/>
                    </w:rPr>
                    <w:t xml:space="preserve"> </w:t>
                  </w:r>
                  <w:r>
                    <w:t>8702-2014）</w:t>
                  </w:r>
                </w:p>
              </w:tc>
            </w:tr>
          </w:tbl>
          <w:p w14:paraId="7BB3DAC0">
            <w:pPr>
              <w:adjustRightInd w:val="0"/>
              <w:snapToGrid w:val="0"/>
              <w:rPr>
                <w:rFonts w:ascii="宋体" w:hAnsi="宋体" w:cs="宋体"/>
                <w:bCs/>
                <w:spacing w:val="10"/>
                <w:sz w:val="24"/>
              </w:rPr>
            </w:pPr>
          </w:p>
        </w:tc>
      </w:tr>
      <w:tr w14:paraId="79E2AE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220" w:type="pct"/>
            <w:noWrap/>
            <w:vAlign w:val="center"/>
          </w:tcPr>
          <w:p w14:paraId="67B9B4ED">
            <w:pPr>
              <w:adjustRightInd w:val="0"/>
              <w:snapToGrid w:val="0"/>
              <w:jc w:val="center"/>
              <w:rPr>
                <w:rFonts w:hint="eastAsia" w:ascii="宋体" w:hAnsi="宋体"/>
                <w:bCs/>
                <w:sz w:val="24"/>
              </w:rPr>
            </w:pPr>
            <w:r>
              <w:rPr>
                <w:rFonts w:hint="eastAsia" w:ascii="宋体" w:hAnsi="宋体"/>
                <w:bCs/>
                <w:sz w:val="24"/>
              </w:rPr>
              <w:t>环保投资</w:t>
            </w:r>
          </w:p>
        </w:tc>
        <w:tc>
          <w:tcPr>
            <w:tcW w:w="4779" w:type="pct"/>
            <w:noWrap/>
            <w:vAlign w:val="center"/>
          </w:tcPr>
          <w:p w14:paraId="214D982F">
            <w:pPr>
              <w:spacing w:line="360" w:lineRule="auto"/>
              <w:rPr>
                <w:b/>
                <w:bCs/>
                <w:sz w:val="24"/>
                <w:szCs w:val="22"/>
              </w:rPr>
            </w:pPr>
            <w:bookmarkStart w:id="186" w:name="OLE_LINK57"/>
            <w:r>
              <w:rPr>
                <w:b/>
                <w:bCs/>
                <w:sz w:val="24"/>
                <w:szCs w:val="22"/>
              </w:rPr>
              <w:t>5.4</w:t>
            </w:r>
            <w:r>
              <w:rPr>
                <w:rFonts w:hint="eastAsia"/>
                <w:b/>
                <w:bCs/>
                <w:sz w:val="24"/>
                <w:szCs w:val="22"/>
              </w:rPr>
              <w:t xml:space="preserve"> </w:t>
            </w:r>
            <w:r>
              <w:rPr>
                <w:b/>
                <w:bCs/>
                <w:sz w:val="24"/>
                <w:szCs w:val="22"/>
              </w:rPr>
              <w:t>环保投资</w:t>
            </w:r>
          </w:p>
          <w:p w14:paraId="453BC67C">
            <w:pPr>
              <w:spacing w:line="360" w:lineRule="auto"/>
              <w:ind w:firstLine="480" w:firstLineChars="200"/>
              <w:rPr>
                <w:sz w:val="24"/>
                <w:szCs w:val="22"/>
              </w:rPr>
            </w:pPr>
            <w:bookmarkStart w:id="187" w:name="OLE_LINK71"/>
            <w:r>
              <w:rPr>
                <w:sz w:val="24"/>
                <w:szCs w:val="22"/>
              </w:rPr>
              <w:t>项目总投资为</w:t>
            </w:r>
            <w:r>
              <w:rPr>
                <w:rFonts w:eastAsia="Times New Roman"/>
                <w:spacing w:val="-4"/>
                <w:sz w:val="24"/>
                <w:szCs w:val="24"/>
              </w:rPr>
              <w:t>22948.18</w:t>
            </w:r>
            <w:r>
              <w:rPr>
                <w:rFonts w:hint="eastAsia"/>
                <w:sz w:val="24"/>
                <w:szCs w:val="22"/>
              </w:rPr>
              <w:t>万</w:t>
            </w:r>
            <w:r>
              <w:rPr>
                <w:sz w:val="24"/>
                <w:szCs w:val="22"/>
              </w:rPr>
              <w:t>元，</w:t>
            </w:r>
            <w:r>
              <w:rPr>
                <w:rFonts w:hint="eastAsia"/>
                <w:sz w:val="24"/>
                <w:szCs w:val="22"/>
              </w:rPr>
              <w:t>项目环保设施投资主要用于废气治理、废水治理、噪声防治、固废治理、生态恢复等，环保投资</w:t>
            </w:r>
            <w:r>
              <w:rPr>
                <w:sz w:val="24"/>
                <w:szCs w:val="22"/>
              </w:rPr>
              <w:t>166.98</w:t>
            </w:r>
            <w:r>
              <w:rPr>
                <w:rFonts w:hint="eastAsia"/>
                <w:sz w:val="24"/>
                <w:szCs w:val="22"/>
              </w:rPr>
              <w:t>万元，占总投资的0.</w:t>
            </w:r>
            <w:r>
              <w:rPr>
                <w:sz w:val="24"/>
                <w:szCs w:val="22"/>
              </w:rPr>
              <w:t>73</w:t>
            </w:r>
            <w:r>
              <w:rPr>
                <w:rFonts w:hint="eastAsia"/>
                <w:sz w:val="24"/>
                <w:szCs w:val="22"/>
              </w:rPr>
              <w:t>%。</w:t>
            </w:r>
            <w:bookmarkEnd w:id="187"/>
            <w:r>
              <w:rPr>
                <w:rFonts w:hint="eastAsia"/>
                <w:sz w:val="24"/>
                <w:szCs w:val="22"/>
              </w:rPr>
              <w:t>环保投资估算表见下表。</w:t>
            </w:r>
          </w:p>
          <w:p w14:paraId="7D031442">
            <w:pPr>
              <w:spacing w:line="360" w:lineRule="auto"/>
              <w:jc w:val="center"/>
              <w:rPr>
                <w:b/>
                <w:sz w:val="24"/>
                <w:szCs w:val="24"/>
              </w:rPr>
            </w:pPr>
            <w:r>
              <w:rPr>
                <w:rFonts w:hint="eastAsia"/>
                <w:b/>
                <w:sz w:val="24"/>
                <w:szCs w:val="24"/>
              </w:rPr>
              <w:t>表5.4-1  项目</w:t>
            </w:r>
            <w:r>
              <w:rPr>
                <w:b/>
                <w:sz w:val="24"/>
                <w:szCs w:val="24"/>
              </w:rPr>
              <w:t>环保投资一览表</w:t>
            </w:r>
          </w:p>
          <w:bookmarkEnd w:id="186"/>
          <w:tbl>
            <w:tblPr>
              <w:tblStyle w:val="30"/>
              <w:tblW w:w="8573" w:type="dxa"/>
              <w:jc w:val="center"/>
              <w:tblLayout w:type="fixed"/>
              <w:tblCellMar>
                <w:top w:w="0" w:type="dxa"/>
                <w:left w:w="108" w:type="dxa"/>
                <w:bottom w:w="0" w:type="dxa"/>
                <w:right w:w="108" w:type="dxa"/>
              </w:tblCellMar>
            </w:tblPr>
            <w:tblGrid>
              <w:gridCol w:w="688"/>
              <w:gridCol w:w="3121"/>
              <w:gridCol w:w="709"/>
              <w:gridCol w:w="708"/>
              <w:gridCol w:w="851"/>
              <w:gridCol w:w="992"/>
              <w:gridCol w:w="1504"/>
            </w:tblGrid>
            <w:tr w14:paraId="044F0CDC">
              <w:tblPrEx>
                <w:tblCellMar>
                  <w:top w:w="0" w:type="dxa"/>
                  <w:left w:w="108" w:type="dxa"/>
                  <w:bottom w:w="0" w:type="dxa"/>
                  <w:right w:w="108" w:type="dxa"/>
                </w:tblCellMar>
              </w:tblPrEx>
              <w:trPr>
                <w:trHeight w:val="283"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3ECF04ED">
                  <w:pPr>
                    <w:widowControl/>
                    <w:jc w:val="center"/>
                    <w:rPr>
                      <w:rFonts w:eastAsia="等线"/>
                      <w:color w:val="000000"/>
                      <w:kern w:val="0"/>
                    </w:rPr>
                  </w:pPr>
                  <w:r>
                    <w:rPr>
                      <w:rFonts w:hint="eastAsia" w:ascii="宋体" w:hAnsi="宋体"/>
                      <w:color w:val="000000"/>
                      <w:kern w:val="0"/>
                    </w:rPr>
                    <w:t>序号</w:t>
                  </w:r>
                </w:p>
              </w:tc>
              <w:tc>
                <w:tcPr>
                  <w:tcW w:w="3121" w:type="dxa"/>
                  <w:tcBorders>
                    <w:top w:val="single" w:color="auto" w:sz="4" w:space="0"/>
                    <w:left w:val="single" w:color="auto" w:sz="4" w:space="0"/>
                    <w:bottom w:val="single" w:color="auto" w:sz="4" w:space="0"/>
                    <w:right w:val="single" w:color="auto" w:sz="4" w:space="0"/>
                  </w:tcBorders>
                  <w:vAlign w:val="center"/>
                </w:tcPr>
                <w:p w14:paraId="7590096E">
                  <w:pPr>
                    <w:widowControl/>
                    <w:jc w:val="center"/>
                    <w:rPr>
                      <w:rFonts w:eastAsia="等线"/>
                      <w:color w:val="000000"/>
                      <w:kern w:val="0"/>
                    </w:rPr>
                  </w:pPr>
                  <w:r>
                    <w:rPr>
                      <w:rFonts w:hint="eastAsia" w:ascii="宋体" w:hAnsi="宋体"/>
                      <w:color w:val="000000"/>
                      <w:kern w:val="0"/>
                    </w:rPr>
                    <w:t>项目</w:t>
                  </w:r>
                </w:p>
              </w:tc>
              <w:tc>
                <w:tcPr>
                  <w:tcW w:w="709" w:type="dxa"/>
                  <w:tcBorders>
                    <w:top w:val="single" w:color="auto" w:sz="4" w:space="0"/>
                    <w:left w:val="single" w:color="auto" w:sz="4" w:space="0"/>
                    <w:bottom w:val="single" w:color="auto" w:sz="4" w:space="0"/>
                    <w:right w:val="single" w:color="auto" w:sz="4" w:space="0"/>
                  </w:tcBorders>
                  <w:vAlign w:val="center"/>
                </w:tcPr>
                <w:p w14:paraId="4D04F0A8">
                  <w:pPr>
                    <w:widowControl/>
                    <w:jc w:val="center"/>
                    <w:rPr>
                      <w:rFonts w:eastAsia="等线"/>
                      <w:color w:val="000000"/>
                      <w:kern w:val="0"/>
                    </w:rPr>
                  </w:pPr>
                  <w:r>
                    <w:rPr>
                      <w:rFonts w:hint="eastAsia" w:ascii="宋体" w:hAnsi="宋体"/>
                      <w:color w:val="000000"/>
                      <w:kern w:val="0"/>
                    </w:rPr>
                    <w:t>单位</w:t>
                  </w:r>
                </w:p>
              </w:tc>
              <w:tc>
                <w:tcPr>
                  <w:tcW w:w="708" w:type="dxa"/>
                  <w:tcBorders>
                    <w:top w:val="single" w:color="auto" w:sz="4" w:space="0"/>
                    <w:left w:val="single" w:color="auto" w:sz="4" w:space="0"/>
                    <w:bottom w:val="single" w:color="auto" w:sz="4" w:space="0"/>
                    <w:right w:val="single" w:color="auto" w:sz="4" w:space="0"/>
                  </w:tcBorders>
                  <w:vAlign w:val="center"/>
                </w:tcPr>
                <w:p w14:paraId="422BC87A">
                  <w:pPr>
                    <w:widowControl/>
                    <w:jc w:val="center"/>
                    <w:rPr>
                      <w:rFonts w:eastAsia="等线"/>
                      <w:color w:val="000000"/>
                      <w:kern w:val="0"/>
                    </w:rPr>
                  </w:pPr>
                  <w:r>
                    <w:rPr>
                      <w:rFonts w:hint="eastAsia" w:ascii="宋体" w:hAnsi="宋体"/>
                      <w:color w:val="000000"/>
                      <w:kern w:val="0"/>
                    </w:rPr>
                    <w:t>数量</w:t>
                  </w:r>
                </w:p>
              </w:tc>
              <w:tc>
                <w:tcPr>
                  <w:tcW w:w="851" w:type="dxa"/>
                  <w:tcBorders>
                    <w:top w:val="single" w:color="auto" w:sz="4" w:space="0"/>
                    <w:left w:val="single" w:color="auto" w:sz="4" w:space="0"/>
                    <w:bottom w:val="single" w:color="auto" w:sz="4" w:space="0"/>
                    <w:right w:val="single" w:color="auto" w:sz="4" w:space="0"/>
                  </w:tcBorders>
                  <w:vAlign w:val="center"/>
                </w:tcPr>
                <w:p w14:paraId="0EB66359">
                  <w:pPr>
                    <w:widowControl/>
                    <w:jc w:val="center"/>
                    <w:rPr>
                      <w:rFonts w:eastAsia="等线"/>
                      <w:color w:val="000000"/>
                      <w:kern w:val="0"/>
                    </w:rPr>
                  </w:pPr>
                  <w:r>
                    <w:rPr>
                      <w:rFonts w:hint="eastAsia" w:ascii="宋体" w:hAnsi="宋体"/>
                      <w:color w:val="000000"/>
                      <w:kern w:val="0"/>
                    </w:rPr>
                    <w:t>单价（元）</w:t>
                  </w:r>
                </w:p>
              </w:tc>
              <w:tc>
                <w:tcPr>
                  <w:tcW w:w="992" w:type="dxa"/>
                  <w:tcBorders>
                    <w:top w:val="single" w:color="auto" w:sz="4" w:space="0"/>
                    <w:left w:val="nil"/>
                    <w:right w:val="single" w:color="auto" w:sz="4" w:space="0"/>
                  </w:tcBorders>
                  <w:vAlign w:val="center"/>
                </w:tcPr>
                <w:p w14:paraId="3DE67839">
                  <w:pPr>
                    <w:widowControl/>
                    <w:jc w:val="center"/>
                    <w:rPr>
                      <w:rFonts w:eastAsia="等线"/>
                      <w:color w:val="000000"/>
                      <w:kern w:val="0"/>
                    </w:rPr>
                  </w:pPr>
                  <w:r>
                    <w:rPr>
                      <w:rFonts w:hint="eastAsia" w:ascii="宋体" w:hAnsi="宋体"/>
                      <w:color w:val="000000"/>
                      <w:kern w:val="0"/>
                    </w:rPr>
                    <w:t>合计（万元）</w:t>
                  </w:r>
                </w:p>
              </w:tc>
              <w:tc>
                <w:tcPr>
                  <w:tcW w:w="1504" w:type="dxa"/>
                  <w:tcBorders>
                    <w:top w:val="single" w:color="auto" w:sz="4" w:space="0"/>
                    <w:left w:val="single" w:color="auto" w:sz="4" w:space="0"/>
                    <w:bottom w:val="single" w:color="auto" w:sz="4" w:space="0"/>
                    <w:right w:val="single" w:color="auto" w:sz="4" w:space="0"/>
                  </w:tcBorders>
                  <w:vAlign w:val="center"/>
                </w:tcPr>
                <w:p w14:paraId="6B7C98E4">
                  <w:pPr>
                    <w:widowControl/>
                    <w:jc w:val="center"/>
                    <w:rPr>
                      <w:rFonts w:eastAsia="等线"/>
                      <w:color w:val="000000"/>
                      <w:kern w:val="0"/>
                    </w:rPr>
                  </w:pPr>
                  <w:r>
                    <w:rPr>
                      <w:rFonts w:hint="eastAsia" w:ascii="宋体" w:hAnsi="宋体"/>
                      <w:color w:val="000000"/>
                      <w:kern w:val="0"/>
                    </w:rPr>
                    <w:t>备注</w:t>
                  </w:r>
                </w:p>
              </w:tc>
            </w:tr>
            <w:tr w14:paraId="11483EC5">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305CBE6F">
                  <w:pPr>
                    <w:widowControl/>
                    <w:jc w:val="center"/>
                    <w:rPr>
                      <w:rFonts w:eastAsia="等线"/>
                      <w:color w:val="000000"/>
                      <w:kern w:val="0"/>
                    </w:rPr>
                  </w:pPr>
                  <w:r>
                    <w:rPr>
                      <w:rFonts w:hint="eastAsia" w:ascii="宋体" w:hAnsi="宋体"/>
                      <w:color w:val="000000"/>
                      <w:kern w:val="0"/>
                    </w:rPr>
                    <w:t>一</w:t>
                  </w:r>
                </w:p>
              </w:tc>
              <w:tc>
                <w:tcPr>
                  <w:tcW w:w="3121" w:type="dxa"/>
                  <w:tcBorders>
                    <w:top w:val="nil"/>
                    <w:left w:val="nil"/>
                    <w:bottom w:val="single" w:color="auto" w:sz="4" w:space="0"/>
                    <w:right w:val="single" w:color="auto" w:sz="4" w:space="0"/>
                  </w:tcBorders>
                  <w:vAlign w:val="center"/>
                </w:tcPr>
                <w:p w14:paraId="3CE5D17A">
                  <w:pPr>
                    <w:widowControl/>
                    <w:jc w:val="center"/>
                    <w:rPr>
                      <w:rFonts w:eastAsia="等线"/>
                      <w:color w:val="000000"/>
                      <w:kern w:val="0"/>
                    </w:rPr>
                  </w:pPr>
                  <w:r>
                    <w:rPr>
                      <w:rFonts w:hint="eastAsia" w:ascii="宋体" w:hAnsi="宋体"/>
                      <w:color w:val="000000"/>
                      <w:kern w:val="0"/>
                    </w:rPr>
                    <w:t>生态保护费</w:t>
                  </w:r>
                </w:p>
              </w:tc>
              <w:tc>
                <w:tcPr>
                  <w:tcW w:w="709" w:type="dxa"/>
                  <w:tcBorders>
                    <w:top w:val="nil"/>
                    <w:left w:val="nil"/>
                    <w:bottom w:val="single" w:color="auto" w:sz="4" w:space="0"/>
                    <w:right w:val="single" w:color="auto" w:sz="4" w:space="0"/>
                  </w:tcBorders>
                  <w:vAlign w:val="center"/>
                </w:tcPr>
                <w:p w14:paraId="52741730">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22593E5E">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3BA89792">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4807E5F3">
                  <w:pPr>
                    <w:widowControl/>
                    <w:jc w:val="center"/>
                    <w:rPr>
                      <w:rFonts w:eastAsia="等线"/>
                      <w:color w:val="000000"/>
                      <w:kern w:val="0"/>
                    </w:rPr>
                  </w:pPr>
                  <w:r>
                    <w:rPr>
                      <w:rFonts w:eastAsia="等线"/>
                      <w:color w:val="000000"/>
                      <w:kern w:val="0"/>
                    </w:rPr>
                    <w:t>6.00</w:t>
                  </w:r>
                </w:p>
              </w:tc>
              <w:tc>
                <w:tcPr>
                  <w:tcW w:w="1504" w:type="dxa"/>
                  <w:tcBorders>
                    <w:top w:val="nil"/>
                    <w:left w:val="nil"/>
                    <w:bottom w:val="single" w:color="auto" w:sz="4" w:space="0"/>
                    <w:right w:val="single" w:color="auto" w:sz="4" w:space="0"/>
                  </w:tcBorders>
                  <w:vAlign w:val="center"/>
                </w:tcPr>
                <w:p w14:paraId="4513DDB4">
                  <w:pPr>
                    <w:widowControl/>
                    <w:jc w:val="center"/>
                    <w:rPr>
                      <w:rFonts w:eastAsia="等线"/>
                      <w:color w:val="000000"/>
                      <w:kern w:val="0"/>
                    </w:rPr>
                  </w:pPr>
                </w:p>
              </w:tc>
            </w:tr>
            <w:tr w14:paraId="3AD3B65A">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381D55DB">
                  <w:pPr>
                    <w:widowControl/>
                    <w:jc w:val="center"/>
                    <w:rPr>
                      <w:rFonts w:eastAsia="等线"/>
                      <w:color w:val="000000"/>
                      <w:kern w:val="0"/>
                    </w:rPr>
                  </w:pPr>
                  <w:r>
                    <w:rPr>
                      <w:rFonts w:eastAsia="等线"/>
                      <w:color w:val="000000"/>
                      <w:kern w:val="0"/>
                    </w:rPr>
                    <w:t>1</w:t>
                  </w:r>
                </w:p>
              </w:tc>
              <w:tc>
                <w:tcPr>
                  <w:tcW w:w="3121" w:type="dxa"/>
                  <w:tcBorders>
                    <w:top w:val="nil"/>
                    <w:left w:val="nil"/>
                    <w:bottom w:val="single" w:color="auto" w:sz="4" w:space="0"/>
                    <w:right w:val="single" w:color="auto" w:sz="4" w:space="0"/>
                  </w:tcBorders>
                  <w:vAlign w:val="center"/>
                </w:tcPr>
                <w:p w14:paraId="6842B146">
                  <w:pPr>
                    <w:widowControl/>
                    <w:jc w:val="center"/>
                    <w:rPr>
                      <w:rFonts w:eastAsia="等线"/>
                      <w:color w:val="000000"/>
                      <w:kern w:val="0"/>
                    </w:rPr>
                  </w:pPr>
                  <w:r>
                    <w:rPr>
                      <w:rFonts w:hint="eastAsia" w:ascii="宋体" w:hAnsi="宋体"/>
                      <w:color w:val="000000"/>
                      <w:kern w:val="0"/>
                    </w:rPr>
                    <w:t>环保宣传牌</w:t>
                  </w:r>
                </w:p>
              </w:tc>
              <w:tc>
                <w:tcPr>
                  <w:tcW w:w="709" w:type="dxa"/>
                  <w:tcBorders>
                    <w:top w:val="nil"/>
                    <w:left w:val="nil"/>
                    <w:bottom w:val="single" w:color="auto" w:sz="4" w:space="0"/>
                    <w:right w:val="single" w:color="auto" w:sz="4" w:space="0"/>
                  </w:tcBorders>
                  <w:vAlign w:val="center"/>
                </w:tcPr>
                <w:p w14:paraId="644D67C0">
                  <w:pPr>
                    <w:widowControl/>
                    <w:jc w:val="center"/>
                    <w:rPr>
                      <w:rFonts w:eastAsia="等线"/>
                      <w:color w:val="000000"/>
                      <w:kern w:val="0"/>
                    </w:rPr>
                  </w:pPr>
                  <w:r>
                    <w:rPr>
                      <w:rFonts w:hint="eastAsia" w:ascii="宋体" w:hAnsi="宋体"/>
                      <w:color w:val="000000"/>
                      <w:kern w:val="0"/>
                    </w:rPr>
                    <w:t>个</w:t>
                  </w:r>
                </w:p>
              </w:tc>
              <w:tc>
                <w:tcPr>
                  <w:tcW w:w="708" w:type="dxa"/>
                  <w:tcBorders>
                    <w:top w:val="nil"/>
                    <w:left w:val="nil"/>
                    <w:bottom w:val="single" w:color="auto" w:sz="4" w:space="0"/>
                    <w:right w:val="single" w:color="auto" w:sz="4" w:space="0"/>
                  </w:tcBorders>
                  <w:vAlign w:val="center"/>
                </w:tcPr>
                <w:p w14:paraId="20C6EEB1">
                  <w:pPr>
                    <w:widowControl/>
                    <w:jc w:val="center"/>
                    <w:rPr>
                      <w:rFonts w:eastAsia="等线"/>
                      <w:color w:val="000000"/>
                      <w:kern w:val="0"/>
                    </w:rPr>
                  </w:pPr>
                  <w:r>
                    <w:rPr>
                      <w:rFonts w:eastAsia="等线"/>
                      <w:color w:val="000000"/>
                      <w:kern w:val="0"/>
                    </w:rPr>
                    <w:t>10</w:t>
                  </w:r>
                </w:p>
              </w:tc>
              <w:tc>
                <w:tcPr>
                  <w:tcW w:w="851" w:type="dxa"/>
                  <w:tcBorders>
                    <w:top w:val="nil"/>
                    <w:left w:val="nil"/>
                    <w:bottom w:val="single" w:color="auto" w:sz="4" w:space="0"/>
                    <w:right w:val="single" w:color="auto" w:sz="4" w:space="0"/>
                  </w:tcBorders>
                  <w:vAlign w:val="center"/>
                </w:tcPr>
                <w:p w14:paraId="45A9A486">
                  <w:pPr>
                    <w:widowControl/>
                    <w:jc w:val="center"/>
                    <w:rPr>
                      <w:rFonts w:eastAsia="等线"/>
                      <w:color w:val="000000"/>
                      <w:kern w:val="0"/>
                    </w:rPr>
                  </w:pPr>
                  <w:r>
                    <w:rPr>
                      <w:rFonts w:eastAsia="等线"/>
                      <w:color w:val="000000"/>
                      <w:kern w:val="0"/>
                    </w:rPr>
                    <w:t>3000</w:t>
                  </w:r>
                </w:p>
              </w:tc>
              <w:tc>
                <w:tcPr>
                  <w:tcW w:w="992" w:type="dxa"/>
                  <w:tcBorders>
                    <w:top w:val="nil"/>
                    <w:left w:val="nil"/>
                    <w:bottom w:val="single" w:color="auto" w:sz="4" w:space="0"/>
                    <w:right w:val="single" w:color="auto" w:sz="4" w:space="0"/>
                  </w:tcBorders>
                  <w:vAlign w:val="center"/>
                </w:tcPr>
                <w:p w14:paraId="3F6EE2C2">
                  <w:pPr>
                    <w:widowControl/>
                    <w:jc w:val="center"/>
                    <w:rPr>
                      <w:rFonts w:eastAsia="等线"/>
                      <w:color w:val="000000"/>
                      <w:kern w:val="0"/>
                    </w:rPr>
                  </w:pPr>
                  <w:r>
                    <w:rPr>
                      <w:rFonts w:eastAsia="等线"/>
                      <w:color w:val="000000"/>
                      <w:kern w:val="0"/>
                    </w:rPr>
                    <w:t>3.00</w:t>
                  </w:r>
                </w:p>
              </w:tc>
              <w:tc>
                <w:tcPr>
                  <w:tcW w:w="1504" w:type="dxa"/>
                  <w:tcBorders>
                    <w:top w:val="nil"/>
                    <w:left w:val="nil"/>
                    <w:bottom w:val="single" w:color="auto" w:sz="4" w:space="0"/>
                    <w:right w:val="single" w:color="auto" w:sz="4" w:space="0"/>
                  </w:tcBorders>
                  <w:vAlign w:val="center"/>
                </w:tcPr>
                <w:p w14:paraId="0F9063C6">
                  <w:pPr>
                    <w:widowControl/>
                    <w:jc w:val="center"/>
                    <w:rPr>
                      <w:rFonts w:eastAsia="等线"/>
                      <w:color w:val="000000"/>
                      <w:kern w:val="0"/>
                    </w:rPr>
                  </w:pPr>
                </w:p>
              </w:tc>
            </w:tr>
            <w:tr w14:paraId="101857C4">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5458C11B">
                  <w:pPr>
                    <w:widowControl/>
                    <w:jc w:val="center"/>
                    <w:rPr>
                      <w:rFonts w:eastAsia="等线"/>
                      <w:color w:val="000000"/>
                      <w:kern w:val="0"/>
                    </w:rPr>
                  </w:pPr>
                  <w:r>
                    <w:rPr>
                      <w:rFonts w:eastAsia="等线"/>
                      <w:color w:val="000000"/>
                      <w:kern w:val="0"/>
                    </w:rPr>
                    <w:t>2</w:t>
                  </w:r>
                </w:p>
              </w:tc>
              <w:tc>
                <w:tcPr>
                  <w:tcW w:w="3121" w:type="dxa"/>
                  <w:tcBorders>
                    <w:top w:val="nil"/>
                    <w:left w:val="nil"/>
                    <w:bottom w:val="single" w:color="auto" w:sz="4" w:space="0"/>
                    <w:right w:val="single" w:color="auto" w:sz="4" w:space="0"/>
                  </w:tcBorders>
                  <w:vAlign w:val="center"/>
                </w:tcPr>
                <w:p w14:paraId="7FF4044F">
                  <w:pPr>
                    <w:widowControl/>
                    <w:jc w:val="center"/>
                    <w:rPr>
                      <w:rFonts w:eastAsia="等线"/>
                      <w:color w:val="000000"/>
                      <w:kern w:val="0"/>
                    </w:rPr>
                  </w:pPr>
                  <w:r>
                    <w:rPr>
                      <w:rFonts w:hint="eastAsia" w:ascii="宋体" w:hAnsi="宋体"/>
                      <w:color w:val="000000"/>
                      <w:kern w:val="0"/>
                    </w:rPr>
                    <w:t>保护动物警示牌</w:t>
                  </w:r>
                </w:p>
              </w:tc>
              <w:tc>
                <w:tcPr>
                  <w:tcW w:w="709" w:type="dxa"/>
                  <w:tcBorders>
                    <w:top w:val="nil"/>
                    <w:left w:val="nil"/>
                    <w:bottom w:val="single" w:color="auto" w:sz="4" w:space="0"/>
                    <w:right w:val="single" w:color="auto" w:sz="4" w:space="0"/>
                  </w:tcBorders>
                  <w:vAlign w:val="center"/>
                </w:tcPr>
                <w:p w14:paraId="4ACC6DAB">
                  <w:pPr>
                    <w:widowControl/>
                    <w:jc w:val="center"/>
                    <w:rPr>
                      <w:rFonts w:eastAsia="等线"/>
                      <w:color w:val="000000"/>
                      <w:kern w:val="0"/>
                    </w:rPr>
                  </w:pPr>
                  <w:r>
                    <w:rPr>
                      <w:rFonts w:hint="eastAsia" w:ascii="宋体" w:hAnsi="宋体"/>
                      <w:color w:val="000000"/>
                      <w:kern w:val="0"/>
                    </w:rPr>
                    <w:t>个</w:t>
                  </w:r>
                </w:p>
              </w:tc>
              <w:tc>
                <w:tcPr>
                  <w:tcW w:w="708" w:type="dxa"/>
                  <w:tcBorders>
                    <w:top w:val="nil"/>
                    <w:left w:val="nil"/>
                    <w:bottom w:val="single" w:color="auto" w:sz="4" w:space="0"/>
                    <w:right w:val="single" w:color="auto" w:sz="4" w:space="0"/>
                  </w:tcBorders>
                  <w:vAlign w:val="center"/>
                </w:tcPr>
                <w:p w14:paraId="0A682E63">
                  <w:pPr>
                    <w:widowControl/>
                    <w:jc w:val="center"/>
                    <w:rPr>
                      <w:rFonts w:eastAsia="等线"/>
                      <w:color w:val="000000"/>
                      <w:kern w:val="0"/>
                    </w:rPr>
                  </w:pPr>
                  <w:r>
                    <w:rPr>
                      <w:rFonts w:eastAsia="等线"/>
                      <w:color w:val="000000"/>
                      <w:kern w:val="0"/>
                    </w:rPr>
                    <w:t>10</w:t>
                  </w:r>
                </w:p>
              </w:tc>
              <w:tc>
                <w:tcPr>
                  <w:tcW w:w="851" w:type="dxa"/>
                  <w:tcBorders>
                    <w:top w:val="nil"/>
                    <w:left w:val="nil"/>
                    <w:bottom w:val="single" w:color="auto" w:sz="4" w:space="0"/>
                    <w:right w:val="single" w:color="auto" w:sz="4" w:space="0"/>
                  </w:tcBorders>
                  <w:vAlign w:val="center"/>
                </w:tcPr>
                <w:p w14:paraId="195ED3F5">
                  <w:pPr>
                    <w:widowControl/>
                    <w:jc w:val="center"/>
                    <w:rPr>
                      <w:rFonts w:eastAsia="等线"/>
                      <w:color w:val="000000"/>
                      <w:kern w:val="0"/>
                    </w:rPr>
                  </w:pPr>
                  <w:r>
                    <w:rPr>
                      <w:rFonts w:eastAsia="等线"/>
                      <w:color w:val="000000"/>
                      <w:kern w:val="0"/>
                    </w:rPr>
                    <w:t>3000</w:t>
                  </w:r>
                </w:p>
              </w:tc>
              <w:tc>
                <w:tcPr>
                  <w:tcW w:w="992" w:type="dxa"/>
                  <w:tcBorders>
                    <w:top w:val="nil"/>
                    <w:left w:val="nil"/>
                    <w:bottom w:val="single" w:color="auto" w:sz="4" w:space="0"/>
                    <w:right w:val="single" w:color="auto" w:sz="4" w:space="0"/>
                  </w:tcBorders>
                  <w:vAlign w:val="center"/>
                </w:tcPr>
                <w:p w14:paraId="233DEEFC">
                  <w:pPr>
                    <w:widowControl/>
                    <w:jc w:val="center"/>
                    <w:rPr>
                      <w:rFonts w:eastAsia="等线"/>
                      <w:color w:val="000000"/>
                      <w:kern w:val="0"/>
                    </w:rPr>
                  </w:pPr>
                  <w:r>
                    <w:rPr>
                      <w:rFonts w:eastAsia="等线"/>
                      <w:color w:val="000000"/>
                      <w:kern w:val="0"/>
                    </w:rPr>
                    <w:t>3.00</w:t>
                  </w:r>
                </w:p>
              </w:tc>
              <w:tc>
                <w:tcPr>
                  <w:tcW w:w="1504" w:type="dxa"/>
                  <w:tcBorders>
                    <w:top w:val="nil"/>
                    <w:left w:val="nil"/>
                    <w:bottom w:val="single" w:color="auto" w:sz="4" w:space="0"/>
                    <w:right w:val="single" w:color="auto" w:sz="4" w:space="0"/>
                  </w:tcBorders>
                  <w:vAlign w:val="center"/>
                </w:tcPr>
                <w:p w14:paraId="6E74F748">
                  <w:pPr>
                    <w:widowControl/>
                    <w:jc w:val="center"/>
                    <w:rPr>
                      <w:rFonts w:eastAsia="等线"/>
                      <w:color w:val="000000"/>
                      <w:kern w:val="0"/>
                    </w:rPr>
                  </w:pPr>
                </w:p>
              </w:tc>
            </w:tr>
            <w:tr w14:paraId="18A0ED4B">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0E1B9C53">
                  <w:pPr>
                    <w:widowControl/>
                    <w:jc w:val="center"/>
                    <w:rPr>
                      <w:rFonts w:eastAsia="等线"/>
                      <w:color w:val="000000"/>
                      <w:kern w:val="0"/>
                    </w:rPr>
                  </w:pPr>
                  <w:r>
                    <w:rPr>
                      <w:rFonts w:hint="eastAsia" w:ascii="宋体" w:hAnsi="宋体"/>
                      <w:color w:val="000000"/>
                      <w:kern w:val="0"/>
                    </w:rPr>
                    <w:t>二</w:t>
                  </w:r>
                </w:p>
              </w:tc>
              <w:tc>
                <w:tcPr>
                  <w:tcW w:w="3121" w:type="dxa"/>
                  <w:tcBorders>
                    <w:top w:val="nil"/>
                    <w:left w:val="nil"/>
                    <w:bottom w:val="single" w:color="auto" w:sz="4" w:space="0"/>
                    <w:right w:val="single" w:color="auto" w:sz="4" w:space="0"/>
                  </w:tcBorders>
                  <w:vAlign w:val="center"/>
                </w:tcPr>
                <w:p w14:paraId="0472A8A9">
                  <w:pPr>
                    <w:widowControl/>
                    <w:jc w:val="center"/>
                    <w:rPr>
                      <w:rFonts w:eastAsia="等线"/>
                      <w:color w:val="000000"/>
                      <w:kern w:val="0"/>
                    </w:rPr>
                  </w:pPr>
                  <w:r>
                    <w:rPr>
                      <w:rFonts w:hint="eastAsia" w:ascii="宋体" w:hAnsi="宋体"/>
                      <w:color w:val="000000"/>
                      <w:kern w:val="0"/>
                    </w:rPr>
                    <w:t>水环境保护费</w:t>
                  </w:r>
                </w:p>
              </w:tc>
              <w:tc>
                <w:tcPr>
                  <w:tcW w:w="709" w:type="dxa"/>
                  <w:tcBorders>
                    <w:top w:val="nil"/>
                    <w:left w:val="nil"/>
                    <w:bottom w:val="single" w:color="auto" w:sz="4" w:space="0"/>
                    <w:right w:val="single" w:color="auto" w:sz="4" w:space="0"/>
                  </w:tcBorders>
                  <w:vAlign w:val="center"/>
                </w:tcPr>
                <w:p w14:paraId="0AABCEE4">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67719E3A">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4D1F9EA2">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74DD1CBE">
                  <w:pPr>
                    <w:widowControl/>
                    <w:jc w:val="center"/>
                    <w:rPr>
                      <w:rFonts w:eastAsia="等线"/>
                      <w:color w:val="000000"/>
                      <w:kern w:val="0"/>
                    </w:rPr>
                  </w:pPr>
                  <w:r>
                    <w:rPr>
                      <w:rFonts w:eastAsia="等线"/>
                      <w:color w:val="000000"/>
                      <w:kern w:val="0"/>
                    </w:rPr>
                    <w:t>37.20</w:t>
                  </w:r>
                </w:p>
              </w:tc>
              <w:tc>
                <w:tcPr>
                  <w:tcW w:w="1504" w:type="dxa"/>
                  <w:tcBorders>
                    <w:top w:val="nil"/>
                    <w:left w:val="nil"/>
                    <w:bottom w:val="single" w:color="auto" w:sz="4" w:space="0"/>
                    <w:right w:val="single" w:color="auto" w:sz="4" w:space="0"/>
                  </w:tcBorders>
                  <w:vAlign w:val="center"/>
                </w:tcPr>
                <w:p w14:paraId="6B2192E2">
                  <w:pPr>
                    <w:widowControl/>
                    <w:jc w:val="center"/>
                    <w:rPr>
                      <w:rFonts w:eastAsia="等线"/>
                      <w:color w:val="000000"/>
                      <w:kern w:val="0"/>
                    </w:rPr>
                  </w:pPr>
                </w:p>
              </w:tc>
            </w:tr>
            <w:tr w14:paraId="52CDDB27">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41D13902">
                  <w:pPr>
                    <w:widowControl/>
                    <w:jc w:val="center"/>
                    <w:rPr>
                      <w:rFonts w:eastAsia="等线"/>
                      <w:color w:val="000000"/>
                      <w:kern w:val="0"/>
                    </w:rPr>
                  </w:pPr>
                  <w:r>
                    <w:rPr>
                      <w:rFonts w:eastAsia="等线"/>
                      <w:color w:val="000000"/>
                      <w:kern w:val="0"/>
                    </w:rPr>
                    <w:t>1</w:t>
                  </w:r>
                </w:p>
              </w:tc>
              <w:tc>
                <w:tcPr>
                  <w:tcW w:w="3121" w:type="dxa"/>
                  <w:tcBorders>
                    <w:top w:val="nil"/>
                    <w:left w:val="nil"/>
                    <w:bottom w:val="single" w:color="auto" w:sz="4" w:space="0"/>
                    <w:right w:val="single" w:color="auto" w:sz="4" w:space="0"/>
                  </w:tcBorders>
                  <w:vAlign w:val="center"/>
                </w:tcPr>
                <w:p w14:paraId="756211B6">
                  <w:pPr>
                    <w:widowControl/>
                    <w:jc w:val="center"/>
                    <w:rPr>
                      <w:rFonts w:eastAsia="等线"/>
                      <w:color w:val="000000"/>
                      <w:kern w:val="0"/>
                    </w:rPr>
                  </w:pPr>
                  <w:r>
                    <w:rPr>
                      <w:rFonts w:hint="eastAsia" w:ascii="宋体" w:hAnsi="宋体"/>
                      <w:color w:val="000000"/>
                      <w:kern w:val="0"/>
                    </w:rPr>
                    <w:t>施工期水环境保护措施</w:t>
                  </w:r>
                </w:p>
              </w:tc>
              <w:tc>
                <w:tcPr>
                  <w:tcW w:w="709" w:type="dxa"/>
                  <w:tcBorders>
                    <w:top w:val="nil"/>
                    <w:left w:val="nil"/>
                    <w:bottom w:val="single" w:color="auto" w:sz="4" w:space="0"/>
                    <w:right w:val="single" w:color="auto" w:sz="4" w:space="0"/>
                  </w:tcBorders>
                  <w:vAlign w:val="center"/>
                </w:tcPr>
                <w:p w14:paraId="3F5CF226">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31B59F24">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22AE2B46">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6879DDB1">
                  <w:pPr>
                    <w:widowControl/>
                    <w:jc w:val="center"/>
                    <w:rPr>
                      <w:rFonts w:eastAsia="等线"/>
                      <w:color w:val="000000"/>
                      <w:kern w:val="0"/>
                    </w:rPr>
                  </w:pPr>
                  <w:r>
                    <w:rPr>
                      <w:rFonts w:eastAsia="等线"/>
                      <w:color w:val="000000"/>
                      <w:kern w:val="0"/>
                    </w:rPr>
                    <w:t>3.20</w:t>
                  </w:r>
                </w:p>
              </w:tc>
              <w:tc>
                <w:tcPr>
                  <w:tcW w:w="1504" w:type="dxa"/>
                  <w:tcBorders>
                    <w:top w:val="nil"/>
                    <w:left w:val="nil"/>
                    <w:bottom w:val="single" w:color="auto" w:sz="4" w:space="0"/>
                    <w:right w:val="single" w:color="auto" w:sz="4" w:space="0"/>
                  </w:tcBorders>
                  <w:vAlign w:val="center"/>
                </w:tcPr>
                <w:p w14:paraId="2F1A0676">
                  <w:pPr>
                    <w:widowControl/>
                    <w:jc w:val="center"/>
                    <w:rPr>
                      <w:rFonts w:eastAsia="等线"/>
                      <w:color w:val="000000"/>
                      <w:kern w:val="0"/>
                    </w:rPr>
                  </w:pPr>
                </w:p>
              </w:tc>
            </w:tr>
            <w:tr w14:paraId="05D432D3">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325F1E2C">
                  <w:pPr>
                    <w:widowControl/>
                    <w:jc w:val="center"/>
                    <w:rPr>
                      <w:rFonts w:eastAsia="等线"/>
                      <w:color w:val="000000"/>
                      <w:kern w:val="0"/>
                    </w:rPr>
                  </w:pPr>
                  <w:r>
                    <w:rPr>
                      <w:rFonts w:eastAsia="等线"/>
                      <w:color w:val="000000"/>
                      <w:kern w:val="0"/>
                    </w:rPr>
                    <w:t>1.1</w:t>
                  </w:r>
                </w:p>
              </w:tc>
              <w:tc>
                <w:tcPr>
                  <w:tcW w:w="3121" w:type="dxa"/>
                  <w:tcBorders>
                    <w:top w:val="nil"/>
                    <w:left w:val="nil"/>
                    <w:bottom w:val="single" w:color="auto" w:sz="4" w:space="0"/>
                    <w:right w:val="single" w:color="auto" w:sz="4" w:space="0"/>
                  </w:tcBorders>
                  <w:vAlign w:val="center"/>
                </w:tcPr>
                <w:p w14:paraId="24427622">
                  <w:pPr>
                    <w:widowControl/>
                    <w:jc w:val="center"/>
                    <w:rPr>
                      <w:rFonts w:eastAsia="等线"/>
                      <w:color w:val="000000"/>
                      <w:kern w:val="0"/>
                    </w:rPr>
                  </w:pPr>
                  <w:r>
                    <w:rPr>
                      <w:rFonts w:hint="eastAsia" w:ascii="宋体" w:hAnsi="宋体"/>
                      <w:color w:val="000000"/>
                      <w:kern w:val="0"/>
                    </w:rPr>
                    <w:t>排水沟</w:t>
                  </w:r>
                </w:p>
              </w:tc>
              <w:tc>
                <w:tcPr>
                  <w:tcW w:w="709" w:type="dxa"/>
                  <w:tcBorders>
                    <w:top w:val="nil"/>
                    <w:left w:val="nil"/>
                    <w:bottom w:val="single" w:color="auto" w:sz="4" w:space="0"/>
                    <w:right w:val="single" w:color="auto" w:sz="4" w:space="0"/>
                  </w:tcBorders>
                  <w:vAlign w:val="center"/>
                </w:tcPr>
                <w:p w14:paraId="6A8528F3">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72566E20">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75803188">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61C9CAE8">
                  <w:pPr>
                    <w:widowControl/>
                    <w:jc w:val="center"/>
                    <w:rPr>
                      <w:rFonts w:eastAsia="等线"/>
                      <w:color w:val="000000"/>
                      <w:kern w:val="0"/>
                    </w:rPr>
                  </w:pPr>
                  <w:r>
                    <w:rPr>
                      <w:rFonts w:eastAsia="等线"/>
                      <w:color w:val="000000"/>
                      <w:kern w:val="0"/>
                    </w:rPr>
                    <w:t>/</w:t>
                  </w:r>
                </w:p>
              </w:tc>
              <w:tc>
                <w:tcPr>
                  <w:tcW w:w="1504" w:type="dxa"/>
                  <w:tcBorders>
                    <w:top w:val="nil"/>
                    <w:left w:val="nil"/>
                    <w:bottom w:val="single" w:color="auto" w:sz="4" w:space="0"/>
                    <w:right w:val="single" w:color="auto" w:sz="4" w:space="0"/>
                  </w:tcBorders>
                  <w:vAlign w:val="center"/>
                </w:tcPr>
                <w:p w14:paraId="31BB6A76">
                  <w:pPr>
                    <w:widowControl/>
                    <w:jc w:val="center"/>
                    <w:rPr>
                      <w:rFonts w:eastAsia="等线"/>
                      <w:color w:val="000000"/>
                      <w:kern w:val="0"/>
                    </w:rPr>
                  </w:pPr>
                  <w:r>
                    <w:rPr>
                      <w:rFonts w:hint="eastAsia" w:ascii="宋体" w:hAnsi="宋体"/>
                      <w:color w:val="000000"/>
                      <w:kern w:val="0"/>
                    </w:rPr>
                    <w:t>计入主体投资</w:t>
                  </w:r>
                </w:p>
              </w:tc>
            </w:tr>
            <w:tr w14:paraId="71FDFF26">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3CEBA208">
                  <w:pPr>
                    <w:widowControl/>
                    <w:jc w:val="center"/>
                    <w:rPr>
                      <w:rFonts w:eastAsia="等线"/>
                      <w:color w:val="000000"/>
                      <w:kern w:val="0"/>
                    </w:rPr>
                  </w:pPr>
                  <w:r>
                    <w:rPr>
                      <w:rFonts w:eastAsia="等线"/>
                      <w:color w:val="000000"/>
                      <w:kern w:val="0"/>
                    </w:rPr>
                    <w:t>1.2</w:t>
                  </w:r>
                </w:p>
              </w:tc>
              <w:tc>
                <w:tcPr>
                  <w:tcW w:w="3121" w:type="dxa"/>
                  <w:tcBorders>
                    <w:top w:val="nil"/>
                    <w:left w:val="nil"/>
                    <w:bottom w:val="single" w:color="auto" w:sz="4" w:space="0"/>
                    <w:right w:val="single" w:color="auto" w:sz="4" w:space="0"/>
                  </w:tcBorders>
                  <w:vAlign w:val="center"/>
                </w:tcPr>
                <w:p w14:paraId="3525841A">
                  <w:pPr>
                    <w:widowControl/>
                    <w:jc w:val="center"/>
                    <w:rPr>
                      <w:rFonts w:eastAsia="等线"/>
                      <w:color w:val="000000"/>
                      <w:kern w:val="0"/>
                    </w:rPr>
                  </w:pPr>
                  <w:r>
                    <w:rPr>
                      <w:rFonts w:hint="eastAsia" w:ascii="宋体" w:hAnsi="宋体"/>
                      <w:color w:val="000000"/>
                      <w:kern w:val="0"/>
                    </w:rPr>
                    <w:t>沉砂池</w:t>
                  </w:r>
                </w:p>
              </w:tc>
              <w:tc>
                <w:tcPr>
                  <w:tcW w:w="709" w:type="dxa"/>
                  <w:tcBorders>
                    <w:top w:val="nil"/>
                    <w:left w:val="nil"/>
                    <w:bottom w:val="single" w:color="auto" w:sz="4" w:space="0"/>
                    <w:right w:val="single" w:color="auto" w:sz="4" w:space="0"/>
                  </w:tcBorders>
                  <w:vAlign w:val="center"/>
                </w:tcPr>
                <w:p w14:paraId="51BBBC30">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3AF046F7">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5609024A">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0CC4669C">
                  <w:pPr>
                    <w:widowControl/>
                    <w:jc w:val="center"/>
                    <w:rPr>
                      <w:rFonts w:eastAsia="等线"/>
                      <w:color w:val="000000"/>
                      <w:kern w:val="0"/>
                    </w:rPr>
                  </w:pPr>
                  <w:r>
                    <w:rPr>
                      <w:rFonts w:eastAsia="等线"/>
                      <w:color w:val="000000"/>
                      <w:kern w:val="0"/>
                    </w:rPr>
                    <w:t>/</w:t>
                  </w:r>
                </w:p>
              </w:tc>
              <w:tc>
                <w:tcPr>
                  <w:tcW w:w="1504" w:type="dxa"/>
                  <w:tcBorders>
                    <w:top w:val="nil"/>
                    <w:left w:val="nil"/>
                    <w:bottom w:val="single" w:color="auto" w:sz="4" w:space="0"/>
                    <w:right w:val="single" w:color="auto" w:sz="4" w:space="0"/>
                  </w:tcBorders>
                  <w:vAlign w:val="center"/>
                </w:tcPr>
                <w:p w14:paraId="69DCF518">
                  <w:pPr>
                    <w:widowControl/>
                    <w:jc w:val="center"/>
                    <w:rPr>
                      <w:rFonts w:eastAsia="等线"/>
                      <w:color w:val="000000"/>
                      <w:kern w:val="0"/>
                    </w:rPr>
                  </w:pPr>
                  <w:r>
                    <w:rPr>
                      <w:rFonts w:hint="eastAsia" w:ascii="宋体" w:hAnsi="宋体"/>
                      <w:color w:val="000000"/>
                      <w:kern w:val="0"/>
                    </w:rPr>
                    <w:t>计入主体投资</w:t>
                  </w:r>
                </w:p>
              </w:tc>
            </w:tr>
            <w:tr w14:paraId="7D2B837D">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697C7609">
                  <w:pPr>
                    <w:widowControl/>
                    <w:jc w:val="center"/>
                    <w:rPr>
                      <w:rFonts w:eastAsia="等线"/>
                      <w:color w:val="000000"/>
                      <w:kern w:val="0"/>
                    </w:rPr>
                  </w:pPr>
                  <w:r>
                    <w:rPr>
                      <w:rFonts w:eastAsia="等线"/>
                      <w:color w:val="000000"/>
                      <w:kern w:val="0"/>
                    </w:rPr>
                    <w:t>1.3</w:t>
                  </w:r>
                </w:p>
              </w:tc>
              <w:tc>
                <w:tcPr>
                  <w:tcW w:w="3121" w:type="dxa"/>
                  <w:tcBorders>
                    <w:top w:val="nil"/>
                    <w:left w:val="nil"/>
                    <w:bottom w:val="single" w:color="auto" w:sz="4" w:space="0"/>
                    <w:right w:val="single" w:color="auto" w:sz="4" w:space="0"/>
                  </w:tcBorders>
                  <w:vAlign w:val="center"/>
                </w:tcPr>
                <w:p w14:paraId="5D5E8400">
                  <w:pPr>
                    <w:widowControl/>
                    <w:jc w:val="center"/>
                    <w:rPr>
                      <w:rFonts w:eastAsia="等线"/>
                      <w:color w:val="000000"/>
                      <w:kern w:val="0"/>
                    </w:rPr>
                  </w:pPr>
                  <w:r>
                    <w:rPr>
                      <w:rFonts w:hint="eastAsia" w:ascii="宋体" w:hAnsi="宋体"/>
                      <w:color w:val="000000"/>
                      <w:kern w:val="0"/>
                    </w:rPr>
                    <w:t>旱厕</w:t>
                  </w:r>
                </w:p>
              </w:tc>
              <w:tc>
                <w:tcPr>
                  <w:tcW w:w="709" w:type="dxa"/>
                  <w:tcBorders>
                    <w:top w:val="nil"/>
                    <w:left w:val="nil"/>
                    <w:bottom w:val="single" w:color="auto" w:sz="4" w:space="0"/>
                    <w:right w:val="single" w:color="auto" w:sz="4" w:space="0"/>
                  </w:tcBorders>
                  <w:vAlign w:val="center"/>
                </w:tcPr>
                <w:p w14:paraId="57362DA9">
                  <w:pPr>
                    <w:widowControl/>
                    <w:jc w:val="center"/>
                    <w:rPr>
                      <w:rFonts w:eastAsia="等线"/>
                      <w:color w:val="000000"/>
                      <w:kern w:val="0"/>
                    </w:rPr>
                  </w:pPr>
                  <w:r>
                    <w:rPr>
                      <w:rFonts w:hint="eastAsia" w:ascii="宋体" w:hAnsi="宋体"/>
                      <w:color w:val="000000"/>
                      <w:kern w:val="0"/>
                    </w:rPr>
                    <w:t>个</w:t>
                  </w:r>
                </w:p>
              </w:tc>
              <w:tc>
                <w:tcPr>
                  <w:tcW w:w="708" w:type="dxa"/>
                  <w:tcBorders>
                    <w:top w:val="nil"/>
                    <w:left w:val="nil"/>
                    <w:bottom w:val="single" w:color="auto" w:sz="4" w:space="0"/>
                    <w:right w:val="single" w:color="auto" w:sz="4" w:space="0"/>
                  </w:tcBorders>
                  <w:vAlign w:val="center"/>
                </w:tcPr>
                <w:p w14:paraId="710868D6">
                  <w:pPr>
                    <w:widowControl/>
                    <w:jc w:val="center"/>
                    <w:rPr>
                      <w:rFonts w:eastAsia="等线"/>
                      <w:color w:val="000000"/>
                      <w:kern w:val="0"/>
                    </w:rPr>
                  </w:pPr>
                  <w:r>
                    <w:rPr>
                      <w:rFonts w:eastAsia="等线"/>
                      <w:color w:val="000000"/>
                      <w:kern w:val="0"/>
                    </w:rPr>
                    <w:t>1</w:t>
                  </w:r>
                </w:p>
              </w:tc>
              <w:tc>
                <w:tcPr>
                  <w:tcW w:w="851" w:type="dxa"/>
                  <w:tcBorders>
                    <w:top w:val="nil"/>
                    <w:left w:val="nil"/>
                    <w:bottom w:val="single" w:color="auto" w:sz="4" w:space="0"/>
                    <w:right w:val="single" w:color="auto" w:sz="4" w:space="0"/>
                  </w:tcBorders>
                  <w:vAlign w:val="center"/>
                </w:tcPr>
                <w:p w14:paraId="3A9E73B1">
                  <w:pPr>
                    <w:widowControl/>
                    <w:jc w:val="center"/>
                    <w:rPr>
                      <w:rFonts w:eastAsia="等线"/>
                      <w:color w:val="000000"/>
                      <w:kern w:val="0"/>
                    </w:rPr>
                  </w:pPr>
                  <w:r>
                    <w:rPr>
                      <w:rFonts w:eastAsia="等线"/>
                      <w:color w:val="000000"/>
                      <w:kern w:val="0"/>
                    </w:rPr>
                    <w:t>20000</w:t>
                  </w:r>
                </w:p>
              </w:tc>
              <w:tc>
                <w:tcPr>
                  <w:tcW w:w="992" w:type="dxa"/>
                  <w:tcBorders>
                    <w:top w:val="nil"/>
                    <w:left w:val="nil"/>
                    <w:bottom w:val="single" w:color="auto" w:sz="4" w:space="0"/>
                    <w:right w:val="single" w:color="auto" w:sz="4" w:space="0"/>
                  </w:tcBorders>
                  <w:vAlign w:val="center"/>
                </w:tcPr>
                <w:p w14:paraId="59D01319">
                  <w:pPr>
                    <w:widowControl/>
                    <w:jc w:val="center"/>
                    <w:rPr>
                      <w:rFonts w:eastAsia="等线"/>
                      <w:color w:val="000000"/>
                      <w:kern w:val="0"/>
                    </w:rPr>
                  </w:pPr>
                  <w:r>
                    <w:rPr>
                      <w:rFonts w:eastAsia="等线"/>
                      <w:color w:val="000000"/>
                      <w:kern w:val="0"/>
                    </w:rPr>
                    <w:t>2.00</w:t>
                  </w:r>
                </w:p>
              </w:tc>
              <w:tc>
                <w:tcPr>
                  <w:tcW w:w="1504" w:type="dxa"/>
                  <w:tcBorders>
                    <w:top w:val="nil"/>
                    <w:left w:val="nil"/>
                    <w:bottom w:val="single" w:color="auto" w:sz="4" w:space="0"/>
                    <w:right w:val="single" w:color="auto" w:sz="4" w:space="0"/>
                  </w:tcBorders>
                  <w:vAlign w:val="center"/>
                </w:tcPr>
                <w:p w14:paraId="14D58C67">
                  <w:pPr>
                    <w:widowControl/>
                    <w:jc w:val="center"/>
                    <w:rPr>
                      <w:rFonts w:eastAsia="等线"/>
                      <w:color w:val="000000"/>
                      <w:kern w:val="0"/>
                    </w:rPr>
                  </w:pPr>
                </w:p>
              </w:tc>
            </w:tr>
            <w:tr w14:paraId="3D012BF6">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2A789EE6">
                  <w:pPr>
                    <w:widowControl/>
                    <w:jc w:val="center"/>
                    <w:rPr>
                      <w:rFonts w:eastAsia="等线"/>
                      <w:color w:val="000000"/>
                      <w:kern w:val="0"/>
                    </w:rPr>
                  </w:pPr>
                  <w:r>
                    <w:rPr>
                      <w:rFonts w:eastAsia="等线"/>
                      <w:color w:val="000000"/>
                      <w:kern w:val="0"/>
                    </w:rPr>
                    <w:t>1.4</w:t>
                  </w:r>
                </w:p>
              </w:tc>
              <w:tc>
                <w:tcPr>
                  <w:tcW w:w="3121" w:type="dxa"/>
                  <w:tcBorders>
                    <w:top w:val="nil"/>
                    <w:left w:val="nil"/>
                    <w:bottom w:val="single" w:color="auto" w:sz="4" w:space="0"/>
                    <w:right w:val="single" w:color="auto" w:sz="4" w:space="0"/>
                  </w:tcBorders>
                  <w:vAlign w:val="center"/>
                </w:tcPr>
                <w:p w14:paraId="7A1A85E5">
                  <w:pPr>
                    <w:widowControl/>
                    <w:jc w:val="center"/>
                    <w:rPr>
                      <w:rFonts w:eastAsia="等线"/>
                      <w:color w:val="000000"/>
                      <w:kern w:val="0"/>
                    </w:rPr>
                  </w:pPr>
                  <w:r>
                    <w:rPr>
                      <w:rFonts w:hint="eastAsia" w:ascii="宋体" w:hAnsi="宋体"/>
                      <w:color w:val="000000"/>
                      <w:kern w:val="0"/>
                    </w:rPr>
                    <w:t>旱厕清运费用</w:t>
                  </w:r>
                </w:p>
              </w:tc>
              <w:tc>
                <w:tcPr>
                  <w:tcW w:w="709" w:type="dxa"/>
                  <w:tcBorders>
                    <w:top w:val="nil"/>
                    <w:left w:val="nil"/>
                    <w:bottom w:val="single" w:color="auto" w:sz="4" w:space="0"/>
                    <w:right w:val="single" w:color="auto" w:sz="4" w:space="0"/>
                  </w:tcBorders>
                  <w:vAlign w:val="center"/>
                </w:tcPr>
                <w:p w14:paraId="7B827B9B">
                  <w:pPr>
                    <w:widowControl/>
                    <w:jc w:val="center"/>
                    <w:rPr>
                      <w:rFonts w:eastAsia="等线"/>
                      <w:color w:val="000000"/>
                      <w:kern w:val="0"/>
                    </w:rPr>
                  </w:pPr>
                  <w:r>
                    <w:rPr>
                      <w:rFonts w:hint="eastAsia" w:ascii="宋体" w:hAnsi="宋体"/>
                      <w:color w:val="000000"/>
                      <w:kern w:val="0"/>
                    </w:rPr>
                    <w:t>月</w:t>
                  </w:r>
                </w:p>
              </w:tc>
              <w:tc>
                <w:tcPr>
                  <w:tcW w:w="708" w:type="dxa"/>
                  <w:tcBorders>
                    <w:top w:val="nil"/>
                    <w:left w:val="nil"/>
                    <w:bottom w:val="single" w:color="auto" w:sz="4" w:space="0"/>
                    <w:right w:val="single" w:color="auto" w:sz="4" w:space="0"/>
                  </w:tcBorders>
                  <w:vAlign w:val="center"/>
                </w:tcPr>
                <w:p w14:paraId="31D5D2E1">
                  <w:pPr>
                    <w:widowControl/>
                    <w:jc w:val="center"/>
                    <w:rPr>
                      <w:rFonts w:eastAsia="等线"/>
                      <w:color w:val="000000"/>
                      <w:kern w:val="0"/>
                    </w:rPr>
                  </w:pPr>
                  <w:r>
                    <w:rPr>
                      <w:rFonts w:eastAsia="等线"/>
                      <w:color w:val="000000"/>
                      <w:kern w:val="0"/>
                    </w:rPr>
                    <w:t>6</w:t>
                  </w:r>
                </w:p>
              </w:tc>
              <w:tc>
                <w:tcPr>
                  <w:tcW w:w="851" w:type="dxa"/>
                  <w:tcBorders>
                    <w:top w:val="nil"/>
                    <w:left w:val="nil"/>
                    <w:bottom w:val="single" w:color="auto" w:sz="4" w:space="0"/>
                    <w:right w:val="single" w:color="auto" w:sz="4" w:space="0"/>
                  </w:tcBorders>
                  <w:vAlign w:val="center"/>
                </w:tcPr>
                <w:p w14:paraId="09CABBF8">
                  <w:pPr>
                    <w:widowControl/>
                    <w:jc w:val="center"/>
                    <w:rPr>
                      <w:rFonts w:eastAsia="等线"/>
                      <w:color w:val="000000"/>
                      <w:kern w:val="0"/>
                    </w:rPr>
                  </w:pPr>
                  <w:r>
                    <w:rPr>
                      <w:rFonts w:eastAsia="等线"/>
                      <w:color w:val="000000"/>
                      <w:kern w:val="0"/>
                    </w:rPr>
                    <w:t>2000</w:t>
                  </w:r>
                </w:p>
              </w:tc>
              <w:tc>
                <w:tcPr>
                  <w:tcW w:w="992" w:type="dxa"/>
                  <w:tcBorders>
                    <w:top w:val="nil"/>
                    <w:left w:val="nil"/>
                    <w:bottom w:val="single" w:color="auto" w:sz="4" w:space="0"/>
                    <w:right w:val="single" w:color="auto" w:sz="4" w:space="0"/>
                  </w:tcBorders>
                  <w:vAlign w:val="center"/>
                </w:tcPr>
                <w:p w14:paraId="12FB76B9">
                  <w:pPr>
                    <w:widowControl/>
                    <w:jc w:val="center"/>
                    <w:rPr>
                      <w:rFonts w:eastAsia="等线"/>
                      <w:color w:val="000000"/>
                      <w:kern w:val="0"/>
                    </w:rPr>
                  </w:pPr>
                  <w:r>
                    <w:rPr>
                      <w:rFonts w:eastAsia="等线"/>
                      <w:color w:val="000000"/>
                      <w:kern w:val="0"/>
                    </w:rPr>
                    <w:t>1.20</w:t>
                  </w:r>
                </w:p>
              </w:tc>
              <w:tc>
                <w:tcPr>
                  <w:tcW w:w="1504" w:type="dxa"/>
                  <w:tcBorders>
                    <w:top w:val="nil"/>
                    <w:left w:val="nil"/>
                    <w:bottom w:val="single" w:color="auto" w:sz="4" w:space="0"/>
                    <w:right w:val="single" w:color="auto" w:sz="4" w:space="0"/>
                  </w:tcBorders>
                  <w:vAlign w:val="center"/>
                </w:tcPr>
                <w:p w14:paraId="537EE172">
                  <w:pPr>
                    <w:widowControl/>
                    <w:jc w:val="center"/>
                    <w:rPr>
                      <w:rFonts w:eastAsia="等线"/>
                      <w:color w:val="000000"/>
                      <w:kern w:val="0"/>
                    </w:rPr>
                  </w:pPr>
                </w:p>
              </w:tc>
            </w:tr>
            <w:tr w14:paraId="42376C10">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6DA25D68">
                  <w:pPr>
                    <w:widowControl/>
                    <w:jc w:val="center"/>
                    <w:rPr>
                      <w:rFonts w:eastAsia="等线"/>
                      <w:color w:val="000000"/>
                      <w:kern w:val="0"/>
                    </w:rPr>
                  </w:pPr>
                  <w:r>
                    <w:rPr>
                      <w:rFonts w:eastAsia="等线"/>
                      <w:color w:val="000000"/>
                      <w:kern w:val="0"/>
                    </w:rPr>
                    <w:t>2</w:t>
                  </w:r>
                </w:p>
              </w:tc>
              <w:tc>
                <w:tcPr>
                  <w:tcW w:w="3121" w:type="dxa"/>
                  <w:tcBorders>
                    <w:top w:val="nil"/>
                    <w:left w:val="nil"/>
                    <w:bottom w:val="single" w:color="auto" w:sz="4" w:space="0"/>
                    <w:right w:val="single" w:color="auto" w:sz="4" w:space="0"/>
                  </w:tcBorders>
                  <w:vAlign w:val="center"/>
                </w:tcPr>
                <w:p w14:paraId="392A3651">
                  <w:pPr>
                    <w:widowControl/>
                    <w:jc w:val="center"/>
                    <w:rPr>
                      <w:rFonts w:eastAsia="等线"/>
                      <w:color w:val="000000"/>
                      <w:kern w:val="0"/>
                    </w:rPr>
                  </w:pPr>
                  <w:r>
                    <w:rPr>
                      <w:rFonts w:hint="eastAsia" w:ascii="宋体" w:hAnsi="宋体"/>
                      <w:color w:val="000000"/>
                      <w:kern w:val="0"/>
                    </w:rPr>
                    <w:t>运行期水环境保护措施</w:t>
                  </w:r>
                </w:p>
              </w:tc>
              <w:tc>
                <w:tcPr>
                  <w:tcW w:w="709" w:type="dxa"/>
                  <w:tcBorders>
                    <w:top w:val="nil"/>
                    <w:left w:val="nil"/>
                    <w:bottom w:val="single" w:color="auto" w:sz="4" w:space="0"/>
                    <w:right w:val="single" w:color="auto" w:sz="4" w:space="0"/>
                  </w:tcBorders>
                  <w:vAlign w:val="center"/>
                </w:tcPr>
                <w:p w14:paraId="0C90401B">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0BBD17DA">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3985A5E1">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6A90B3C0">
                  <w:pPr>
                    <w:widowControl/>
                    <w:jc w:val="center"/>
                    <w:rPr>
                      <w:rFonts w:eastAsia="等线"/>
                      <w:color w:val="000000"/>
                      <w:kern w:val="0"/>
                    </w:rPr>
                  </w:pPr>
                  <w:r>
                    <w:rPr>
                      <w:rFonts w:eastAsia="等线"/>
                      <w:color w:val="000000"/>
                      <w:kern w:val="0"/>
                    </w:rPr>
                    <w:t>34.00</w:t>
                  </w:r>
                </w:p>
              </w:tc>
              <w:tc>
                <w:tcPr>
                  <w:tcW w:w="1504" w:type="dxa"/>
                  <w:tcBorders>
                    <w:top w:val="nil"/>
                    <w:left w:val="nil"/>
                    <w:bottom w:val="single" w:color="auto" w:sz="4" w:space="0"/>
                    <w:right w:val="single" w:color="auto" w:sz="4" w:space="0"/>
                  </w:tcBorders>
                  <w:vAlign w:val="center"/>
                </w:tcPr>
                <w:p w14:paraId="3DCDE985">
                  <w:pPr>
                    <w:widowControl/>
                    <w:jc w:val="center"/>
                    <w:rPr>
                      <w:rFonts w:eastAsia="等线"/>
                      <w:color w:val="000000"/>
                      <w:kern w:val="0"/>
                    </w:rPr>
                  </w:pPr>
                </w:p>
              </w:tc>
            </w:tr>
            <w:tr w14:paraId="6A926E50">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16856849">
                  <w:pPr>
                    <w:widowControl/>
                    <w:jc w:val="center"/>
                    <w:rPr>
                      <w:rFonts w:eastAsia="等线"/>
                      <w:color w:val="000000"/>
                      <w:kern w:val="0"/>
                    </w:rPr>
                  </w:pPr>
                  <w:r>
                    <w:rPr>
                      <w:rFonts w:eastAsia="等线"/>
                      <w:color w:val="000000"/>
                      <w:kern w:val="0"/>
                    </w:rPr>
                    <w:t>2.1</w:t>
                  </w:r>
                </w:p>
              </w:tc>
              <w:tc>
                <w:tcPr>
                  <w:tcW w:w="3121" w:type="dxa"/>
                  <w:tcBorders>
                    <w:top w:val="nil"/>
                    <w:left w:val="nil"/>
                    <w:bottom w:val="single" w:color="auto" w:sz="4" w:space="0"/>
                    <w:right w:val="single" w:color="auto" w:sz="4" w:space="0"/>
                  </w:tcBorders>
                  <w:vAlign w:val="center"/>
                </w:tcPr>
                <w:p w14:paraId="155E9D2B">
                  <w:pPr>
                    <w:widowControl/>
                    <w:jc w:val="center"/>
                    <w:rPr>
                      <w:rFonts w:eastAsia="等线"/>
                      <w:color w:val="000000"/>
                      <w:kern w:val="0"/>
                    </w:rPr>
                  </w:pPr>
                  <w:r>
                    <w:rPr>
                      <w:rFonts w:hint="eastAsia" w:ascii="宋体" w:hAnsi="宋体"/>
                      <w:color w:val="000000"/>
                      <w:kern w:val="0"/>
                    </w:rPr>
                    <w:t>升压站化粪池</w:t>
                  </w:r>
                </w:p>
              </w:tc>
              <w:tc>
                <w:tcPr>
                  <w:tcW w:w="709" w:type="dxa"/>
                  <w:tcBorders>
                    <w:top w:val="nil"/>
                    <w:left w:val="nil"/>
                    <w:bottom w:val="single" w:color="auto" w:sz="4" w:space="0"/>
                    <w:right w:val="single" w:color="auto" w:sz="4" w:space="0"/>
                  </w:tcBorders>
                  <w:vAlign w:val="center"/>
                </w:tcPr>
                <w:p w14:paraId="05394D9C">
                  <w:pPr>
                    <w:widowControl/>
                    <w:jc w:val="center"/>
                    <w:rPr>
                      <w:rFonts w:eastAsia="等线"/>
                      <w:color w:val="000000"/>
                      <w:kern w:val="0"/>
                    </w:rPr>
                  </w:pPr>
                  <w:r>
                    <w:rPr>
                      <w:rFonts w:hint="eastAsia" w:ascii="宋体" w:hAnsi="宋体"/>
                      <w:color w:val="000000"/>
                      <w:kern w:val="0"/>
                    </w:rPr>
                    <w:t>个</w:t>
                  </w:r>
                </w:p>
              </w:tc>
              <w:tc>
                <w:tcPr>
                  <w:tcW w:w="708" w:type="dxa"/>
                  <w:tcBorders>
                    <w:top w:val="nil"/>
                    <w:left w:val="nil"/>
                    <w:bottom w:val="single" w:color="auto" w:sz="4" w:space="0"/>
                    <w:right w:val="single" w:color="auto" w:sz="4" w:space="0"/>
                  </w:tcBorders>
                  <w:vAlign w:val="center"/>
                </w:tcPr>
                <w:p w14:paraId="5199E48D">
                  <w:pPr>
                    <w:widowControl/>
                    <w:jc w:val="center"/>
                    <w:rPr>
                      <w:rFonts w:eastAsia="等线"/>
                      <w:color w:val="000000"/>
                      <w:kern w:val="0"/>
                    </w:rPr>
                  </w:pPr>
                  <w:r>
                    <w:rPr>
                      <w:rFonts w:eastAsia="等线"/>
                      <w:color w:val="000000"/>
                      <w:kern w:val="0"/>
                    </w:rPr>
                    <w:t>1</w:t>
                  </w:r>
                </w:p>
              </w:tc>
              <w:tc>
                <w:tcPr>
                  <w:tcW w:w="851" w:type="dxa"/>
                  <w:tcBorders>
                    <w:top w:val="nil"/>
                    <w:left w:val="nil"/>
                    <w:bottom w:val="single" w:color="auto" w:sz="4" w:space="0"/>
                    <w:right w:val="single" w:color="auto" w:sz="4" w:space="0"/>
                  </w:tcBorders>
                  <w:vAlign w:val="center"/>
                </w:tcPr>
                <w:p w14:paraId="73D2EB46">
                  <w:pPr>
                    <w:widowControl/>
                    <w:jc w:val="center"/>
                    <w:rPr>
                      <w:rFonts w:eastAsia="等线"/>
                      <w:color w:val="000000"/>
                      <w:kern w:val="0"/>
                    </w:rPr>
                  </w:pPr>
                  <w:r>
                    <w:rPr>
                      <w:rFonts w:eastAsia="等线"/>
                      <w:color w:val="000000"/>
                      <w:kern w:val="0"/>
                    </w:rPr>
                    <w:t>20000</w:t>
                  </w:r>
                </w:p>
              </w:tc>
              <w:tc>
                <w:tcPr>
                  <w:tcW w:w="992" w:type="dxa"/>
                  <w:tcBorders>
                    <w:top w:val="nil"/>
                    <w:left w:val="nil"/>
                    <w:bottom w:val="single" w:color="auto" w:sz="4" w:space="0"/>
                    <w:right w:val="single" w:color="auto" w:sz="4" w:space="0"/>
                  </w:tcBorders>
                  <w:vAlign w:val="center"/>
                </w:tcPr>
                <w:p w14:paraId="0287A559">
                  <w:pPr>
                    <w:widowControl/>
                    <w:jc w:val="center"/>
                    <w:rPr>
                      <w:rFonts w:eastAsia="等线"/>
                      <w:color w:val="000000"/>
                      <w:kern w:val="0"/>
                    </w:rPr>
                  </w:pPr>
                  <w:r>
                    <w:rPr>
                      <w:rFonts w:eastAsia="等线"/>
                      <w:color w:val="000000"/>
                      <w:kern w:val="0"/>
                    </w:rPr>
                    <w:t>2.00</w:t>
                  </w:r>
                </w:p>
              </w:tc>
              <w:tc>
                <w:tcPr>
                  <w:tcW w:w="1504" w:type="dxa"/>
                  <w:tcBorders>
                    <w:top w:val="nil"/>
                    <w:left w:val="nil"/>
                    <w:bottom w:val="single" w:color="auto" w:sz="4" w:space="0"/>
                    <w:right w:val="single" w:color="auto" w:sz="4" w:space="0"/>
                  </w:tcBorders>
                  <w:vAlign w:val="center"/>
                </w:tcPr>
                <w:p w14:paraId="0C8BDFF0">
                  <w:pPr>
                    <w:widowControl/>
                    <w:jc w:val="center"/>
                    <w:rPr>
                      <w:rFonts w:eastAsia="等线"/>
                      <w:color w:val="000000"/>
                      <w:kern w:val="0"/>
                    </w:rPr>
                  </w:pPr>
                </w:p>
              </w:tc>
            </w:tr>
            <w:tr w14:paraId="43864208">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7F2AF5F2">
                  <w:pPr>
                    <w:widowControl/>
                    <w:jc w:val="center"/>
                    <w:rPr>
                      <w:rFonts w:eastAsia="等线"/>
                      <w:color w:val="000000"/>
                      <w:kern w:val="0"/>
                    </w:rPr>
                  </w:pPr>
                  <w:r>
                    <w:rPr>
                      <w:rFonts w:eastAsia="等线"/>
                      <w:color w:val="000000"/>
                      <w:kern w:val="0"/>
                    </w:rPr>
                    <w:t>2.2</w:t>
                  </w:r>
                </w:p>
              </w:tc>
              <w:tc>
                <w:tcPr>
                  <w:tcW w:w="3121" w:type="dxa"/>
                  <w:tcBorders>
                    <w:top w:val="nil"/>
                    <w:left w:val="nil"/>
                    <w:bottom w:val="single" w:color="auto" w:sz="4" w:space="0"/>
                    <w:right w:val="single" w:color="auto" w:sz="4" w:space="0"/>
                  </w:tcBorders>
                  <w:vAlign w:val="center"/>
                </w:tcPr>
                <w:p w14:paraId="4D981C16">
                  <w:pPr>
                    <w:widowControl/>
                    <w:jc w:val="center"/>
                    <w:rPr>
                      <w:rFonts w:eastAsia="等线"/>
                      <w:color w:val="000000"/>
                      <w:kern w:val="0"/>
                    </w:rPr>
                  </w:pPr>
                  <w:r>
                    <w:rPr>
                      <w:rFonts w:hint="eastAsia" w:ascii="宋体" w:hAnsi="宋体"/>
                      <w:color w:val="000000"/>
                      <w:kern w:val="0"/>
                    </w:rPr>
                    <w:t>升压站隔油池</w:t>
                  </w:r>
                </w:p>
              </w:tc>
              <w:tc>
                <w:tcPr>
                  <w:tcW w:w="709" w:type="dxa"/>
                  <w:tcBorders>
                    <w:top w:val="nil"/>
                    <w:left w:val="nil"/>
                    <w:bottom w:val="single" w:color="auto" w:sz="4" w:space="0"/>
                    <w:right w:val="single" w:color="auto" w:sz="4" w:space="0"/>
                  </w:tcBorders>
                  <w:vAlign w:val="center"/>
                </w:tcPr>
                <w:p w14:paraId="367B48CA">
                  <w:pPr>
                    <w:widowControl/>
                    <w:jc w:val="center"/>
                    <w:rPr>
                      <w:rFonts w:eastAsia="等线"/>
                      <w:color w:val="000000"/>
                      <w:kern w:val="0"/>
                    </w:rPr>
                  </w:pPr>
                  <w:r>
                    <w:rPr>
                      <w:rFonts w:hint="eastAsia" w:ascii="宋体" w:hAnsi="宋体"/>
                      <w:color w:val="000000"/>
                      <w:kern w:val="0"/>
                    </w:rPr>
                    <w:t>个</w:t>
                  </w:r>
                </w:p>
              </w:tc>
              <w:tc>
                <w:tcPr>
                  <w:tcW w:w="708" w:type="dxa"/>
                  <w:tcBorders>
                    <w:top w:val="nil"/>
                    <w:left w:val="nil"/>
                    <w:bottom w:val="single" w:color="auto" w:sz="4" w:space="0"/>
                    <w:right w:val="single" w:color="auto" w:sz="4" w:space="0"/>
                  </w:tcBorders>
                  <w:vAlign w:val="center"/>
                </w:tcPr>
                <w:p w14:paraId="4F16E5DB">
                  <w:pPr>
                    <w:widowControl/>
                    <w:jc w:val="center"/>
                    <w:rPr>
                      <w:rFonts w:eastAsia="等线"/>
                      <w:color w:val="000000"/>
                      <w:kern w:val="0"/>
                    </w:rPr>
                  </w:pPr>
                  <w:r>
                    <w:rPr>
                      <w:rFonts w:eastAsia="等线"/>
                      <w:color w:val="000000"/>
                      <w:kern w:val="0"/>
                    </w:rPr>
                    <w:t>1</w:t>
                  </w:r>
                </w:p>
              </w:tc>
              <w:tc>
                <w:tcPr>
                  <w:tcW w:w="851" w:type="dxa"/>
                  <w:tcBorders>
                    <w:top w:val="nil"/>
                    <w:left w:val="nil"/>
                    <w:bottom w:val="single" w:color="auto" w:sz="4" w:space="0"/>
                    <w:right w:val="single" w:color="auto" w:sz="4" w:space="0"/>
                  </w:tcBorders>
                  <w:vAlign w:val="center"/>
                </w:tcPr>
                <w:p w14:paraId="1E054883">
                  <w:pPr>
                    <w:widowControl/>
                    <w:jc w:val="center"/>
                    <w:rPr>
                      <w:rFonts w:eastAsia="等线"/>
                      <w:color w:val="000000"/>
                      <w:kern w:val="0"/>
                    </w:rPr>
                  </w:pPr>
                  <w:r>
                    <w:rPr>
                      <w:rFonts w:eastAsia="等线"/>
                      <w:color w:val="000000"/>
                      <w:kern w:val="0"/>
                    </w:rPr>
                    <w:t>10000</w:t>
                  </w:r>
                </w:p>
              </w:tc>
              <w:tc>
                <w:tcPr>
                  <w:tcW w:w="992" w:type="dxa"/>
                  <w:tcBorders>
                    <w:top w:val="nil"/>
                    <w:left w:val="nil"/>
                    <w:bottom w:val="single" w:color="auto" w:sz="4" w:space="0"/>
                    <w:right w:val="single" w:color="auto" w:sz="4" w:space="0"/>
                  </w:tcBorders>
                  <w:vAlign w:val="center"/>
                </w:tcPr>
                <w:p w14:paraId="1624E3D7">
                  <w:pPr>
                    <w:widowControl/>
                    <w:jc w:val="center"/>
                    <w:rPr>
                      <w:rFonts w:eastAsia="等线"/>
                      <w:color w:val="000000"/>
                      <w:kern w:val="0"/>
                    </w:rPr>
                  </w:pPr>
                  <w:r>
                    <w:rPr>
                      <w:rFonts w:eastAsia="等线"/>
                      <w:color w:val="000000"/>
                      <w:kern w:val="0"/>
                    </w:rPr>
                    <w:t>1.00</w:t>
                  </w:r>
                </w:p>
              </w:tc>
              <w:tc>
                <w:tcPr>
                  <w:tcW w:w="1504" w:type="dxa"/>
                  <w:tcBorders>
                    <w:top w:val="nil"/>
                    <w:left w:val="nil"/>
                    <w:bottom w:val="single" w:color="auto" w:sz="4" w:space="0"/>
                    <w:right w:val="single" w:color="auto" w:sz="4" w:space="0"/>
                  </w:tcBorders>
                  <w:vAlign w:val="center"/>
                </w:tcPr>
                <w:p w14:paraId="59B2196F">
                  <w:pPr>
                    <w:widowControl/>
                    <w:jc w:val="center"/>
                    <w:rPr>
                      <w:rFonts w:eastAsia="等线"/>
                      <w:color w:val="000000"/>
                      <w:kern w:val="0"/>
                    </w:rPr>
                  </w:pPr>
                </w:p>
              </w:tc>
            </w:tr>
            <w:tr w14:paraId="43E4780B">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6BBE7421">
                  <w:pPr>
                    <w:widowControl/>
                    <w:jc w:val="center"/>
                    <w:rPr>
                      <w:rFonts w:eastAsia="等线"/>
                      <w:color w:val="000000"/>
                      <w:kern w:val="0"/>
                    </w:rPr>
                  </w:pPr>
                  <w:r>
                    <w:rPr>
                      <w:rFonts w:eastAsia="等线"/>
                      <w:color w:val="000000"/>
                      <w:kern w:val="0"/>
                    </w:rPr>
                    <w:t>2.3</w:t>
                  </w:r>
                </w:p>
              </w:tc>
              <w:tc>
                <w:tcPr>
                  <w:tcW w:w="3121" w:type="dxa"/>
                  <w:tcBorders>
                    <w:top w:val="nil"/>
                    <w:left w:val="nil"/>
                    <w:bottom w:val="single" w:color="auto" w:sz="4" w:space="0"/>
                    <w:right w:val="single" w:color="auto" w:sz="4" w:space="0"/>
                  </w:tcBorders>
                  <w:vAlign w:val="center"/>
                </w:tcPr>
                <w:p w14:paraId="19C1ED87">
                  <w:pPr>
                    <w:widowControl/>
                    <w:jc w:val="center"/>
                    <w:rPr>
                      <w:rFonts w:eastAsia="等线"/>
                      <w:color w:val="000000"/>
                      <w:kern w:val="0"/>
                    </w:rPr>
                  </w:pPr>
                  <w:r>
                    <w:rPr>
                      <w:rFonts w:hint="eastAsia" w:ascii="宋体" w:hAnsi="宋体"/>
                      <w:color w:val="000000"/>
                      <w:kern w:val="0"/>
                    </w:rPr>
                    <w:t>升压站一体化成套设备</w:t>
                  </w:r>
                </w:p>
              </w:tc>
              <w:tc>
                <w:tcPr>
                  <w:tcW w:w="709" w:type="dxa"/>
                  <w:tcBorders>
                    <w:top w:val="nil"/>
                    <w:left w:val="nil"/>
                    <w:bottom w:val="single" w:color="auto" w:sz="4" w:space="0"/>
                    <w:right w:val="single" w:color="auto" w:sz="4" w:space="0"/>
                  </w:tcBorders>
                  <w:vAlign w:val="center"/>
                </w:tcPr>
                <w:p w14:paraId="7CAF3A08">
                  <w:pPr>
                    <w:widowControl/>
                    <w:jc w:val="center"/>
                    <w:rPr>
                      <w:rFonts w:eastAsia="等线"/>
                      <w:color w:val="000000"/>
                      <w:kern w:val="0"/>
                    </w:rPr>
                  </w:pPr>
                  <w:r>
                    <w:rPr>
                      <w:rFonts w:hint="eastAsia" w:ascii="宋体" w:hAnsi="宋体"/>
                      <w:color w:val="000000"/>
                      <w:kern w:val="0"/>
                    </w:rPr>
                    <w:t>套</w:t>
                  </w:r>
                </w:p>
              </w:tc>
              <w:tc>
                <w:tcPr>
                  <w:tcW w:w="708" w:type="dxa"/>
                  <w:tcBorders>
                    <w:top w:val="nil"/>
                    <w:left w:val="nil"/>
                    <w:bottom w:val="single" w:color="auto" w:sz="4" w:space="0"/>
                    <w:right w:val="single" w:color="auto" w:sz="4" w:space="0"/>
                  </w:tcBorders>
                  <w:vAlign w:val="center"/>
                </w:tcPr>
                <w:p w14:paraId="762B70AC">
                  <w:pPr>
                    <w:widowControl/>
                    <w:jc w:val="center"/>
                    <w:rPr>
                      <w:rFonts w:eastAsia="等线"/>
                      <w:color w:val="000000"/>
                      <w:kern w:val="0"/>
                    </w:rPr>
                  </w:pPr>
                  <w:r>
                    <w:rPr>
                      <w:rFonts w:eastAsia="等线"/>
                      <w:color w:val="000000"/>
                      <w:kern w:val="0"/>
                    </w:rPr>
                    <w:t>1</w:t>
                  </w:r>
                </w:p>
              </w:tc>
              <w:tc>
                <w:tcPr>
                  <w:tcW w:w="851" w:type="dxa"/>
                  <w:tcBorders>
                    <w:top w:val="nil"/>
                    <w:left w:val="nil"/>
                    <w:bottom w:val="single" w:color="auto" w:sz="4" w:space="0"/>
                    <w:right w:val="single" w:color="auto" w:sz="4" w:space="0"/>
                  </w:tcBorders>
                  <w:vAlign w:val="center"/>
                </w:tcPr>
                <w:p w14:paraId="1D887C30">
                  <w:pPr>
                    <w:widowControl/>
                    <w:jc w:val="center"/>
                    <w:rPr>
                      <w:rFonts w:eastAsia="等线"/>
                      <w:color w:val="000000"/>
                      <w:kern w:val="0"/>
                    </w:rPr>
                  </w:pPr>
                  <w:r>
                    <w:rPr>
                      <w:rFonts w:eastAsia="等线"/>
                      <w:color w:val="000000"/>
                      <w:kern w:val="0"/>
                    </w:rPr>
                    <w:t>300000</w:t>
                  </w:r>
                </w:p>
              </w:tc>
              <w:tc>
                <w:tcPr>
                  <w:tcW w:w="992" w:type="dxa"/>
                  <w:tcBorders>
                    <w:top w:val="nil"/>
                    <w:left w:val="nil"/>
                    <w:bottom w:val="single" w:color="auto" w:sz="4" w:space="0"/>
                    <w:right w:val="single" w:color="auto" w:sz="4" w:space="0"/>
                  </w:tcBorders>
                  <w:vAlign w:val="center"/>
                </w:tcPr>
                <w:p w14:paraId="0DD14FA2">
                  <w:pPr>
                    <w:widowControl/>
                    <w:jc w:val="center"/>
                    <w:rPr>
                      <w:rFonts w:eastAsia="等线"/>
                      <w:color w:val="000000"/>
                      <w:kern w:val="0"/>
                    </w:rPr>
                  </w:pPr>
                  <w:r>
                    <w:rPr>
                      <w:rFonts w:eastAsia="等线"/>
                      <w:color w:val="000000"/>
                      <w:kern w:val="0"/>
                    </w:rPr>
                    <w:t>30.00</w:t>
                  </w:r>
                </w:p>
              </w:tc>
              <w:tc>
                <w:tcPr>
                  <w:tcW w:w="1504" w:type="dxa"/>
                  <w:tcBorders>
                    <w:top w:val="nil"/>
                    <w:left w:val="nil"/>
                    <w:bottom w:val="single" w:color="auto" w:sz="4" w:space="0"/>
                    <w:right w:val="single" w:color="auto" w:sz="4" w:space="0"/>
                  </w:tcBorders>
                  <w:vAlign w:val="center"/>
                </w:tcPr>
                <w:p w14:paraId="6F2033C8">
                  <w:pPr>
                    <w:widowControl/>
                    <w:jc w:val="center"/>
                    <w:rPr>
                      <w:rFonts w:eastAsia="等线"/>
                      <w:color w:val="000000"/>
                      <w:kern w:val="0"/>
                    </w:rPr>
                  </w:pPr>
                </w:p>
              </w:tc>
            </w:tr>
            <w:tr w14:paraId="549A3DB5">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34DFA630">
                  <w:pPr>
                    <w:widowControl/>
                    <w:jc w:val="center"/>
                    <w:rPr>
                      <w:rFonts w:eastAsia="等线"/>
                      <w:color w:val="000000"/>
                      <w:kern w:val="0"/>
                    </w:rPr>
                  </w:pPr>
                  <w:r>
                    <w:rPr>
                      <w:rFonts w:eastAsia="等线"/>
                      <w:color w:val="000000"/>
                      <w:kern w:val="0"/>
                    </w:rPr>
                    <w:t>2.4</w:t>
                  </w:r>
                </w:p>
              </w:tc>
              <w:tc>
                <w:tcPr>
                  <w:tcW w:w="3121" w:type="dxa"/>
                  <w:tcBorders>
                    <w:top w:val="nil"/>
                    <w:left w:val="nil"/>
                    <w:bottom w:val="single" w:color="auto" w:sz="4" w:space="0"/>
                    <w:right w:val="single" w:color="auto" w:sz="4" w:space="0"/>
                  </w:tcBorders>
                  <w:vAlign w:val="center"/>
                </w:tcPr>
                <w:p w14:paraId="6064DD6C">
                  <w:pPr>
                    <w:widowControl/>
                    <w:jc w:val="center"/>
                    <w:rPr>
                      <w:rFonts w:eastAsia="等线"/>
                      <w:color w:val="000000"/>
                      <w:kern w:val="0"/>
                    </w:rPr>
                  </w:pPr>
                  <w:r>
                    <w:rPr>
                      <w:rFonts w:hint="eastAsia" w:ascii="宋体" w:hAnsi="宋体"/>
                      <w:color w:val="000000"/>
                      <w:kern w:val="0"/>
                    </w:rPr>
                    <w:t>升压站中水池</w:t>
                  </w:r>
                </w:p>
              </w:tc>
              <w:tc>
                <w:tcPr>
                  <w:tcW w:w="709" w:type="dxa"/>
                  <w:tcBorders>
                    <w:top w:val="nil"/>
                    <w:left w:val="nil"/>
                    <w:bottom w:val="single" w:color="auto" w:sz="4" w:space="0"/>
                    <w:right w:val="single" w:color="auto" w:sz="4" w:space="0"/>
                  </w:tcBorders>
                  <w:vAlign w:val="center"/>
                </w:tcPr>
                <w:p w14:paraId="1DB14CC7">
                  <w:pPr>
                    <w:widowControl/>
                    <w:jc w:val="center"/>
                    <w:rPr>
                      <w:rFonts w:eastAsia="等线"/>
                      <w:color w:val="000000"/>
                      <w:kern w:val="0"/>
                    </w:rPr>
                  </w:pPr>
                  <w:r>
                    <w:rPr>
                      <w:rFonts w:hint="eastAsia" w:ascii="宋体" w:hAnsi="宋体"/>
                      <w:color w:val="000000"/>
                      <w:kern w:val="0"/>
                    </w:rPr>
                    <w:t>个</w:t>
                  </w:r>
                </w:p>
              </w:tc>
              <w:tc>
                <w:tcPr>
                  <w:tcW w:w="708" w:type="dxa"/>
                  <w:tcBorders>
                    <w:top w:val="nil"/>
                    <w:left w:val="nil"/>
                    <w:bottom w:val="single" w:color="auto" w:sz="4" w:space="0"/>
                    <w:right w:val="single" w:color="auto" w:sz="4" w:space="0"/>
                  </w:tcBorders>
                  <w:vAlign w:val="center"/>
                </w:tcPr>
                <w:p w14:paraId="7BC6A2C1">
                  <w:pPr>
                    <w:widowControl/>
                    <w:jc w:val="center"/>
                    <w:rPr>
                      <w:rFonts w:eastAsia="等线"/>
                      <w:color w:val="000000"/>
                      <w:kern w:val="0"/>
                    </w:rPr>
                  </w:pPr>
                  <w:r>
                    <w:rPr>
                      <w:rFonts w:eastAsia="等线"/>
                      <w:color w:val="000000"/>
                      <w:kern w:val="0"/>
                    </w:rPr>
                    <w:t>1</w:t>
                  </w:r>
                </w:p>
              </w:tc>
              <w:tc>
                <w:tcPr>
                  <w:tcW w:w="851" w:type="dxa"/>
                  <w:tcBorders>
                    <w:top w:val="nil"/>
                    <w:left w:val="nil"/>
                    <w:bottom w:val="single" w:color="auto" w:sz="4" w:space="0"/>
                    <w:right w:val="single" w:color="auto" w:sz="4" w:space="0"/>
                  </w:tcBorders>
                  <w:vAlign w:val="center"/>
                </w:tcPr>
                <w:p w14:paraId="34F65160">
                  <w:pPr>
                    <w:widowControl/>
                    <w:jc w:val="center"/>
                    <w:rPr>
                      <w:rFonts w:eastAsia="等线"/>
                      <w:color w:val="000000"/>
                      <w:kern w:val="0"/>
                    </w:rPr>
                  </w:pPr>
                  <w:r>
                    <w:rPr>
                      <w:rFonts w:eastAsia="等线"/>
                      <w:color w:val="000000"/>
                      <w:kern w:val="0"/>
                    </w:rPr>
                    <w:t>10000</w:t>
                  </w:r>
                </w:p>
              </w:tc>
              <w:tc>
                <w:tcPr>
                  <w:tcW w:w="992" w:type="dxa"/>
                  <w:tcBorders>
                    <w:top w:val="nil"/>
                    <w:left w:val="nil"/>
                    <w:bottom w:val="single" w:color="auto" w:sz="4" w:space="0"/>
                    <w:right w:val="single" w:color="auto" w:sz="4" w:space="0"/>
                  </w:tcBorders>
                  <w:vAlign w:val="center"/>
                </w:tcPr>
                <w:p w14:paraId="0CB25FED">
                  <w:pPr>
                    <w:widowControl/>
                    <w:jc w:val="center"/>
                    <w:rPr>
                      <w:rFonts w:eastAsia="等线"/>
                      <w:color w:val="000000"/>
                      <w:kern w:val="0"/>
                    </w:rPr>
                  </w:pPr>
                  <w:r>
                    <w:rPr>
                      <w:rFonts w:eastAsia="等线"/>
                      <w:color w:val="000000"/>
                      <w:kern w:val="0"/>
                    </w:rPr>
                    <w:t>1.00</w:t>
                  </w:r>
                </w:p>
              </w:tc>
              <w:tc>
                <w:tcPr>
                  <w:tcW w:w="1504" w:type="dxa"/>
                  <w:tcBorders>
                    <w:top w:val="nil"/>
                    <w:left w:val="nil"/>
                    <w:bottom w:val="single" w:color="auto" w:sz="4" w:space="0"/>
                    <w:right w:val="single" w:color="auto" w:sz="4" w:space="0"/>
                  </w:tcBorders>
                  <w:vAlign w:val="center"/>
                </w:tcPr>
                <w:p w14:paraId="004E6946">
                  <w:pPr>
                    <w:widowControl/>
                    <w:jc w:val="center"/>
                    <w:rPr>
                      <w:rFonts w:eastAsia="等线"/>
                      <w:color w:val="000000"/>
                      <w:kern w:val="0"/>
                    </w:rPr>
                  </w:pPr>
                </w:p>
              </w:tc>
            </w:tr>
            <w:tr w14:paraId="1DD3B5E3">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0ED5AAB6">
                  <w:pPr>
                    <w:widowControl/>
                    <w:jc w:val="center"/>
                    <w:rPr>
                      <w:rFonts w:eastAsia="等线"/>
                      <w:color w:val="000000"/>
                      <w:kern w:val="0"/>
                    </w:rPr>
                  </w:pPr>
                  <w:r>
                    <w:rPr>
                      <w:rFonts w:hint="eastAsia" w:ascii="宋体" w:hAnsi="宋体"/>
                      <w:color w:val="000000"/>
                      <w:kern w:val="0"/>
                    </w:rPr>
                    <w:t>三</w:t>
                  </w:r>
                </w:p>
              </w:tc>
              <w:tc>
                <w:tcPr>
                  <w:tcW w:w="3121" w:type="dxa"/>
                  <w:tcBorders>
                    <w:top w:val="nil"/>
                    <w:left w:val="nil"/>
                    <w:bottom w:val="single" w:color="auto" w:sz="4" w:space="0"/>
                    <w:right w:val="single" w:color="auto" w:sz="4" w:space="0"/>
                  </w:tcBorders>
                  <w:vAlign w:val="center"/>
                </w:tcPr>
                <w:p w14:paraId="4C9E89C3">
                  <w:pPr>
                    <w:widowControl/>
                    <w:jc w:val="center"/>
                    <w:rPr>
                      <w:rFonts w:eastAsia="等线"/>
                      <w:color w:val="000000"/>
                      <w:kern w:val="0"/>
                    </w:rPr>
                  </w:pPr>
                  <w:r>
                    <w:rPr>
                      <w:rFonts w:hint="eastAsia" w:ascii="宋体" w:hAnsi="宋体"/>
                      <w:color w:val="000000"/>
                      <w:kern w:val="0"/>
                    </w:rPr>
                    <w:t>固体废弃物</w:t>
                  </w:r>
                </w:p>
              </w:tc>
              <w:tc>
                <w:tcPr>
                  <w:tcW w:w="709" w:type="dxa"/>
                  <w:tcBorders>
                    <w:top w:val="nil"/>
                    <w:left w:val="nil"/>
                    <w:bottom w:val="single" w:color="auto" w:sz="4" w:space="0"/>
                    <w:right w:val="single" w:color="auto" w:sz="4" w:space="0"/>
                  </w:tcBorders>
                  <w:vAlign w:val="center"/>
                </w:tcPr>
                <w:p w14:paraId="22B812D8">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5B5550A4">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5898B010">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419B3F16">
                  <w:pPr>
                    <w:widowControl/>
                    <w:jc w:val="center"/>
                    <w:rPr>
                      <w:rFonts w:eastAsia="等线"/>
                      <w:color w:val="000000"/>
                      <w:kern w:val="0"/>
                    </w:rPr>
                  </w:pPr>
                  <w:r>
                    <w:rPr>
                      <w:rFonts w:eastAsia="等线"/>
                      <w:color w:val="000000"/>
                      <w:kern w:val="0"/>
                    </w:rPr>
                    <w:t>12.30</w:t>
                  </w:r>
                </w:p>
              </w:tc>
              <w:tc>
                <w:tcPr>
                  <w:tcW w:w="1504" w:type="dxa"/>
                  <w:tcBorders>
                    <w:top w:val="nil"/>
                    <w:left w:val="nil"/>
                    <w:bottom w:val="single" w:color="auto" w:sz="4" w:space="0"/>
                    <w:right w:val="single" w:color="auto" w:sz="4" w:space="0"/>
                  </w:tcBorders>
                  <w:vAlign w:val="center"/>
                </w:tcPr>
                <w:p w14:paraId="0EE4BA26">
                  <w:pPr>
                    <w:widowControl/>
                    <w:jc w:val="center"/>
                    <w:rPr>
                      <w:rFonts w:eastAsia="等线"/>
                      <w:color w:val="000000"/>
                      <w:kern w:val="0"/>
                    </w:rPr>
                  </w:pPr>
                </w:p>
              </w:tc>
            </w:tr>
            <w:tr w14:paraId="1736959B">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4E702A41">
                  <w:pPr>
                    <w:widowControl/>
                    <w:jc w:val="center"/>
                    <w:rPr>
                      <w:rFonts w:eastAsia="等线"/>
                      <w:color w:val="000000"/>
                      <w:kern w:val="0"/>
                    </w:rPr>
                  </w:pPr>
                  <w:r>
                    <w:rPr>
                      <w:rFonts w:eastAsia="等线"/>
                      <w:color w:val="000000"/>
                      <w:kern w:val="0"/>
                    </w:rPr>
                    <w:t>1</w:t>
                  </w:r>
                </w:p>
              </w:tc>
              <w:tc>
                <w:tcPr>
                  <w:tcW w:w="3121" w:type="dxa"/>
                  <w:tcBorders>
                    <w:top w:val="nil"/>
                    <w:left w:val="nil"/>
                    <w:bottom w:val="single" w:color="auto" w:sz="4" w:space="0"/>
                    <w:right w:val="single" w:color="auto" w:sz="4" w:space="0"/>
                  </w:tcBorders>
                  <w:vAlign w:val="center"/>
                </w:tcPr>
                <w:p w14:paraId="6A7ABDC8">
                  <w:pPr>
                    <w:widowControl/>
                    <w:jc w:val="center"/>
                    <w:rPr>
                      <w:rFonts w:eastAsia="等线"/>
                      <w:color w:val="000000"/>
                      <w:kern w:val="0"/>
                    </w:rPr>
                  </w:pPr>
                  <w:r>
                    <w:rPr>
                      <w:rFonts w:hint="eastAsia" w:ascii="宋体" w:hAnsi="宋体"/>
                      <w:color w:val="000000"/>
                      <w:kern w:val="0"/>
                    </w:rPr>
                    <w:t>施工期</w:t>
                  </w:r>
                </w:p>
              </w:tc>
              <w:tc>
                <w:tcPr>
                  <w:tcW w:w="709" w:type="dxa"/>
                  <w:tcBorders>
                    <w:top w:val="nil"/>
                    <w:left w:val="nil"/>
                    <w:bottom w:val="single" w:color="auto" w:sz="4" w:space="0"/>
                    <w:right w:val="single" w:color="auto" w:sz="4" w:space="0"/>
                  </w:tcBorders>
                  <w:vAlign w:val="center"/>
                </w:tcPr>
                <w:p w14:paraId="20C7B787">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782C5122">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5F0F296D">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4D182805">
                  <w:pPr>
                    <w:widowControl/>
                    <w:jc w:val="center"/>
                    <w:rPr>
                      <w:rFonts w:eastAsia="等线"/>
                      <w:color w:val="000000"/>
                      <w:kern w:val="0"/>
                    </w:rPr>
                  </w:pPr>
                  <w:r>
                    <w:rPr>
                      <w:rFonts w:eastAsia="等线"/>
                      <w:color w:val="000000"/>
                      <w:kern w:val="0"/>
                    </w:rPr>
                    <w:t>2.30</w:t>
                  </w:r>
                </w:p>
              </w:tc>
              <w:tc>
                <w:tcPr>
                  <w:tcW w:w="1504" w:type="dxa"/>
                  <w:tcBorders>
                    <w:top w:val="nil"/>
                    <w:left w:val="nil"/>
                    <w:bottom w:val="single" w:color="auto" w:sz="4" w:space="0"/>
                    <w:right w:val="single" w:color="auto" w:sz="4" w:space="0"/>
                  </w:tcBorders>
                  <w:vAlign w:val="center"/>
                </w:tcPr>
                <w:p w14:paraId="5D214B32">
                  <w:pPr>
                    <w:widowControl/>
                    <w:jc w:val="center"/>
                    <w:rPr>
                      <w:rFonts w:eastAsia="等线"/>
                      <w:color w:val="000000"/>
                      <w:kern w:val="0"/>
                    </w:rPr>
                  </w:pPr>
                </w:p>
              </w:tc>
            </w:tr>
            <w:tr w14:paraId="76C2618D">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628A2E89">
                  <w:pPr>
                    <w:widowControl/>
                    <w:jc w:val="center"/>
                    <w:rPr>
                      <w:rFonts w:eastAsia="等线"/>
                      <w:color w:val="000000"/>
                      <w:kern w:val="0"/>
                    </w:rPr>
                  </w:pPr>
                  <w:r>
                    <w:rPr>
                      <w:rFonts w:eastAsia="等线"/>
                      <w:color w:val="000000"/>
                      <w:kern w:val="0"/>
                    </w:rPr>
                    <w:t>1.1</w:t>
                  </w:r>
                </w:p>
              </w:tc>
              <w:tc>
                <w:tcPr>
                  <w:tcW w:w="3121" w:type="dxa"/>
                  <w:tcBorders>
                    <w:top w:val="nil"/>
                    <w:left w:val="nil"/>
                    <w:bottom w:val="single" w:color="auto" w:sz="4" w:space="0"/>
                    <w:right w:val="single" w:color="auto" w:sz="4" w:space="0"/>
                  </w:tcBorders>
                  <w:vAlign w:val="center"/>
                </w:tcPr>
                <w:p w14:paraId="778BC5DF">
                  <w:pPr>
                    <w:widowControl/>
                    <w:jc w:val="center"/>
                    <w:rPr>
                      <w:rFonts w:eastAsia="等线"/>
                      <w:color w:val="000000"/>
                      <w:kern w:val="0"/>
                    </w:rPr>
                  </w:pPr>
                  <w:r>
                    <w:rPr>
                      <w:rFonts w:hint="eastAsia" w:ascii="宋体" w:hAnsi="宋体"/>
                      <w:color w:val="000000"/>
                      <w:kern w:val="0"/>
                    </w:rPr>
                    <w:t>垃圾清运费</w:t>
                  </w:r>
                </w:p>
              </w:tc>
              <w:tc>
                <w:tcPr>
                  <w:tcW w:w="709" w:type="dxa"/>
                  <w:tcBorders>
                    <w:top w:val="nil"/>
                    <w:left w:val="nil"/>
                    <w:bottom w:val="single" w:color="auto" w:sz="4" w:space="0"/>
                    <w:right w:val="single" w:color="auto" w:sz="4" w:space="0"/>
                  </w:tcBorders>
                  <w:vAlign w:val="center"/>
                </w:tcPr>
                <w:p w14:paraId="519E7239">
                  <w:pPr>
                    <w:widowControl/>
                    <w:jc w:val="center"/>
                    <w:rPr>
                      <w:rFonts w:eastAsia="等线"/>
                      <w:color w:val="000000"/>
                      <w:kern w:val="0"/>
                    </w:rPr>
                  </w:pPr>
                  <w:r>
                    <w:rPr>
                      <w:rFonts w:hint="eastAsia" w:ascii="宋体" w:hAnsi="宋体"/>
                      <w:color w:val="000000"/>
                      <w:kern w:val="0"/>
                    </w:rPr>
                    <w:t>月</w:t>
                  </w:r>
                </w:p>
              </w:tc>
              <w:tc>
                <w:tcPr>
                  <w:tcW w:w="708" w:type="dxa"/>
                  <w:tcBorders>
                    <w:top w:val="nil"/>
                    <w:left w:val="nil"/>
                    <w:bottom w:val="single" w:color="auto" w:sz="4" w:space="0"/>
                    <w:right w:val="single" w:color="auto" w:sz="4" w:space="0"/>
                  </w:tcBorders>
                  <w:vAlign w:val="center"/>
                </w:tcPr>
                <w:p w14:paraId="5C4C5359">
                  <w:pPr>
                    <w:widowControl/>
                    <w:jc w:val="center"/>
                    <w:rPr>
                      <w:rFonts w:eastAsia="等线"/>
                      <w:color w:val="000000"/>
                      <w:kern w:val="0"/>
                    </w:rPr>
                  </w:pPr>
                  <w:r>
                    <w:rPr>
                      <w:rFonts w:eastAsia="等线"/>
                      <w:color w:val="000000"/>
                      <w:kern w:val="0"/>
                    </w:rPr>
                    <w:t>6</w:t>
                  </w:r>
                </w:p>
              </w:tc>
              <w:tc>
                <w:tcPr>
                  <w:tcW w:w="851" w:type="dxa"/>
                  <w:tcBorders>
                    <w:top w:val="nil"/>
                    <w:left w:val="nil"/>
                    <w:bottom w:val="single" w:color="auto" w:sz="4" w:space="0"/>
                    <w:right w:val="single" w:color="auto" w:sz="4" w:space="0"/>
                  </w:tcBorders>
                  <w:vAlign w:val="center"/>
                </w:tcPr>
                <w:p w14:paraId="15C6C6FE">
                  <w:pPr>
                    <w:widowControl/>
                    <w:jc w:val="center"/>
                    <w:rPr>
                      <w:rFonts w:eastAsia="等线"/>
                      <w:color w:val="000000"/>
                      <w:kern w:val="0"/>
                    </w:rPr>
                  </w:pPr>
                  <w:r>
                    <w:rPr>
                      <w:rFonts w:eastAsia="等线"/>
                      <w:color w:val="000000"/>
                      <w:kern w:val="0"/>
                    </w:rPr>
                    <w:t>3000</w:t>
                  </w:r>
                </w:p>
              </w:tc>
              <w:tc>
                <w:tcPr>
                  <w:tcW w:w="992" w:type="dxa"/>
                  <w:tcBorders>
                    <w:top w:val="nil"/>
                    <w:left w:val="nil"/>
                    <w:bottom w:val="single" w:color="auto" w:sz="4" w:space="0"/>
                    <w:right w:val="single" w:color="auto" w:sz="4" w:space="0"/>
                  </w:tcBorders>
                  <w:vAlign w:val="center"/>
                </w:tcPr>
                <w:p w14:paraId="31318851">
                  <w:pPr>
                    <w:widowControl/>
                    <w:jc w:val="center"/>
                    <w:rPr>
                      <w:rFonts w:eastAsia="等线"/>
                      <w:color w:val="000000"/>
                      <w:kern w:val="0"/>
                    </w:rPr>
                  </w:pPr>
                  <w:r>
                    <w:rPr>
                      <w:rFonts w:eastAsia="等线"/>
                      <w:color w:val="000000"/>
                      <w:kern w:val="0"/>
                    </w:rPr>
                    <w:t>1.80</w:t>
                  </w:r>
                </w:p>
              </w:tc>
              <w:tc>
                <w:tcPr>
                  <w:tcW w:w="1504" w:type="dxa"/>
                  <w:tcBorders>
                    <w:top w:val="nil"/>
                    <w:left w:val="nil"/>
                    <w:bottom w:val="single" w:color="auto" w:sz="4" w:space="0"/>
                    <w:right w:val="single" w:color="auto" w:sz="4" w:space="0"/>
                  </w:tcBorders>
                  <w:vAlign w:val="center"/>
                </w:tcPr>
                <w:p w14:paraId="10E7B8B1">
                  <w:pPr>
                    <w:widowControl/>
                    <w:jc w:val="center"/>
                    <w:rPr>
                      <w:rFonts w:eastAsia="等线"/>
                      <w:color w:val="000000"/>
                      <w:kern w:val="0"/>
                    </w:rPr>
                  </w:pPr>
                </w:p>
              </w:tc>
            </w:tr>
            <w:tr w14:paraId="49DF0395">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079E9896">
                  <w:pPr>
                    <w:widowControl/>
                    <w:jc w:val="center"/>
                    <w:rPr>
                      <w:rFonts w:eastAsia="等线"/>
                      <w:color w:val="000000"/>
                      <w:kern w:val="0"/>
                    </w:rPr>
                  </w:pPr>
                  <w:r>
                    <w:rPr>
                      <w:rFonts w:eastAsia="等线"/>
                      <w:color w:val="000000"/>
                      <w:kern w:val="0"/>
                    </w:rPr>
                    <w:t>1.2</w:t>
                  </w:r>
                </w:p>
              </w:tc>
              <w:tc>
                <w:tcPr>
                  <w:tcW w:w="3121" w:type="dxa"/>
                  <w:tcBorders>
                    <w:top w:val="nil"/>
                    <w:left w:val="nil"/>
                    <w:bottom w:val="single" w:color="auto" w:sz="4" w:space="0"/>
                    <w:right w:val="single" w:color="auto" w:sz="4" w:space="0"/>
                  </w:tcBorders>
                  <w:vAlign w:val="center"/>
                </w:tcPr>
                <w:p w14:paraId="2FB4145E">
                  <w:pPr>
                    <w:widowControl/>
                    <w:jc w:val="center"/>
                    <w:rPr>
                      <w:rFonts w:eastAsia="等线"/>
                      <w:color w:val="000000"/>
                      <w:kern w:val="0"/>
                    </w:rPr>
                  </w:pPr>
                  <w:r>
                    <w:rPr>
                      <w:rFonts w:hint="eastAsia" w:ascii="宋体" w:hAnsi="宋体"/>
                      <w:color w:val="000000"/>
                      <w:kern w:val="0"/>
                    </w:rPr>
                    <w:t>垃圾桶</w:t>
                  </w:r>
                </w:p>
              </w:tc>
              <w:tc>
                <w:tcPr>
                  <w:tcW w:w="709" w:type="dxa"/>
                  <w:tcBorders>
                    <w:top w:val="nil"/>
                    <w:left w:val="nil"/>
                    <w:bottom w:val="single" w:color="auto" w:sz="4" w:space="0"/>
                    <w:right w:val="single" w:color="auto" w:sz="4" w:space="0"/>
                  </w:tcBorders>
                  <w:vAlign w:val="center"/>
                </w:tcPr>
                <w:p w14:paraId="6C06DBF0">
                  <w:pPr>
                    <w:widowControl/>
                    <w:jc w:val="center"/>
                    <w:rPr>
                      <w:rFonts w:eastAsia="等线"/>
                      <w:color w:val="000000"/>
                      <w:kern w:val="0"/>
                    </w:rPr>
                  </w:pPr>
                  <w:r>
                    <w:rPr>
                      <w:rFonts w:hint="eastAsia" w:ascii="宋体" w:hAnsi="宋体"/>
                      <w:color w:val="000000"/>
                      <w:kern w:val="0"/>
                    </w:rPr>
                    <w:t>个</w:t>
                  </w:r>
                </w:p>
              </w:tc>
              <w:tc>
                <w:tcPr>
                  <w:tcW w:w="708" w:type="dxa"/>
                  <w:tcBorders>
                    <w:top w:val="nil"/>
                    <w:left w:val="nil"/>
                    <w:bottom w:val="single" w:color="auto" w:sz="4" w:space="0"/>
                    <w:right w:val="single" w:color="auto" w:sz="4" w:space="0"/>
                  </w:tcBorders>
                  <w:vAlign w:val="center"/>
                </w:tcPr>
                <w:p w14:paraId="60623826">
                  <w:pPr>
                    <w:widowControl/>
                    <w:jc w:val="center"/>
                    <w:rPr>
                      <w:rFonts w:eastAsia="等线"/>
                      <w:color w:val="000000"/>
                      <w:kern w:val="0"/>
                    </w:rPr>
                  </w:pPr>
                  <w:r>
                    <w:rPr>
                      <w:rFonts w:eastAsia="等线"/>
                      <w:color w:val="000000"/>
                      <w:kern w:val="0"/>
                    </w:rPr>
                    <w:t>10</w:t>
                  </w:r>
                </w:p>
              </w:tc>
              <w:tc>
                <w:tcPr>
                  <w:tcW w:w="851" w:type="dxa"/>
                  <w:tcBorders>
                    <w:top w:val="nil"/>
                    <w:left w:val="nil"/>
                    <w:bottom w:val="single" w:color="auto" w:sz="4" w:space="0"/>
                    <w:right w:val="single" w:color="auto" w:sz="4" w:space="0"/>
                  </w:tcBorders>
                  <w:vAlign w:val="center"/>
                </w:tcPr>
                <w:p w14:paraId="3E323C6E">
                  <w:pPr>
                    <w:widowControl/>
                    <w:jc w:val="center"/>
                    <w:rPr>
                      <w:rFonts w:eastAsia="等线"/>
                      <w:color w:val="000000"/>
                      <w:kern w:val="0"/>
                    </w:rPr>
                  </w:pPr>
                  <w:r>
                    <w:rPr>
                      <w:rFonts w:eastAsia="等线"/>
                      <w:color w:val="000000"/>
                      <w:kern w:val="0"/>
                    </w:rPr>
                    <w:t>500</w:t>
                  </w:r>
                </w:p>
              </w:tc>
              <w:tc>
                <w:tcPr>
                  <w:tcW w:w="992" w:type="dxa"/>
                  <w:tcBorders>
                    <w:top w:val="nil"/>
                    <w:left w:val="nil"/>
                    <w:bottom w:val="single" w:color="auto" w:sz="4" w:space="0"/>
                    <w:right w:val="single" w:color="auto" w:sz="4" w:space="0"/>
                  </w:tcBorders>
                  <w:vAlign w:val="center"/>
                </w:tcPr>
                <w:p w14:paraId="04DAC1B0">
                  <w:pPr>
                    <w:widowControl/>
                    <w:jc w:val="center"/>
                    <w:rPr>
                      <w:rFonts w:eastAsia="等线"/>
                      <w:color w:val="000000"/>
                      <w:kern w:val="0"/>
                    </w:rPr>
                  </w:pPr>
                  <w:r>
                    <w:rPr>
                      <w:rFonts w:eastAsia="等线"/>
                      <w:color w:val="000000"/>
                      <w:kern w:val="0"/>
                    </w:rPr>
                    <w:t>0.50</w:t>
                  </w:r>
                </w:p>
              </w:tc>
              <w:tc>
                <w:tcPr>
                  <w:tcW w:w="1504" w:type="dxa"/>
                  <w:tcBorders>
                    <w:top w:val="nil"/>
                    <w:left w:val="nil"/>
                    <w:bottom w:val="single" w:color="auto" w:sz="4" w:space="0"/>
                    <w:right w:val="single" w:color="auto" w:sz="4" w:space="0"/>
                  </w:tcBorders>
                  <w:vAlign w:val="center"/>
                </w:tcPr>
                <w:p w14:paraId="69B47434">
                  <w:pPr>
                    <w:widowControl/>
                    <w:jc w:val="center"/>
                    <w:rPr>
                      <w:rFonts w:eastAsia="等线"/>
                      <w:color w:val="000000"/>
                      <w:kern w:val="0"/>
                    </w:rPr>
                  </w:pPr>
                </w:p>
              </w:tc>
            </w:tr>
            <w:tr w14:paraId="21D4FEFC">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297C56B6">
                  <w:pPr>
                    <w:widowControl/>
                    <w:jc w:val="center"/>
                    <w:rPr>
                      <w:rFonts w:eastAsia="等线"/>
                      <w:color w:val="000000"/>
                      <w:kern w:val="0"/>
                    </w:rPr>
                  </w:pPr>
                  <w:r>
                    <w:rPr>
                      <w:rFonts w:eastAsia="等线"/>
                      <w:color w:val="000000"/>
                      <w:kern w:val="0"/>
                    </w:rPr>
                    <w:t>2</w:t>
                  </w:r>
                </w:p>
              </w:tc>
              <w:tc>
                <w:tcPr>
                  <w:tcW w:w="3121" w:type="dxa"/>
                  <w:tcBorders>
                    <w:top w:val="nil"/>
                    <w:left w:val="nil"/>
                    <w:bottom w:val="single" w:color="auto" w:sz="4" w:space="0"/>
                    <w:right w:val="single" w:color="auto" w:sz="4" w:space="0"/>
                  </w:tcBorders>
                  <w:vAlign w:val="center"/>
                </w:tcPr>
                <w:p w14:paraId="311DFCD9">
                  <w:pPr>
                    <w:widowControl/>
                    <w:jc w:val="center"/>
                    <w:rPr>
                      <w:rFonts w:eastAsia="等线"/>
                      <w:color w:val="000000"/>
                      <w:kern w:val="0"/>
                    </w:rPr>
                  </w:pPr>
                  <w:r>
                    <w:rPr>
                      <w:rFonts w:hint="eastAsia" w:ascii="宋体" w:hAnsi="宋体"/>
                      <w:color w:val="000000"/>
                      <w:kern w:val="0"/>
                    </w:rPr>
                    <w:t>运行期</w:t>
                  </w:r>
                </w:p>
              </w:tc>
              <w:tc>
                <w:tcPr>
                  <w:tcW w:w="709" w:type="dxa"/>
                  <w:tcBorders>
                    <w:top w:val="nil"/>
                    <w:left w:val="nil"/>
                    <w:bottom w:val="single" w:color="auto" w:sz="4" w:space="0"/>
                    <w:right w:val="single" w:color="auto" w:sz="4" w:space="0"/>
                  </w:tcBorders>
                  <w:vAlign w:val="center"/>
                </w:tcPr>
                <w:p w14:paraId="519C08B0">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287B4EAF">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291CC006">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4CE175AB">
                  <w:pPr>
                    <w:widowControl/>
                    <w:jc w:val="center"/>
                    <w:rPr>
                      <w:rFonts w:eastAsia="等线"/>
                      <w:color w:val="000000"/>
                      <w:kern w:val="0"/>
                    </w:rPr>
                  </w:pPr>
                  <w:r>
                    <w:rPr>
                      <w:rFonts w:eastAsia="等线"/>
                      <w:color w:val="000000"/>
                      <w:kern w:val="0"/>
                    </w:rPr>
                    <w:t>0.00</w:t>
                  </w:r>
                </w:p>
              </w:tc>
              <w:tc>
                <w:tcPr>
                  <w:tcW w:w="1504" w:type="dxa"/>
                  <w:tcBorders>
                    <w:top w:val="nil"/>
                    <w:left w:val="nil"/>
                    <w:bottom w:val="single" w:color="auto" w:sz="4" w:space="0"/>
                    <w:right w:val="single" w:color="auto" w:sz="4" w:space="0"/>
                  </w:tcBorders>
                  <w:vAlign w:val="center"/>
                </w:tcPr>
                <w:p w14:paraId="41AC3978">
                  <w:pPr>
                    <w:widowControl/>
                    <w:jc w:val="center"/>
                    <w:rPr>
                      <w:rFonts w:eastAsia="等线"/>
                      <w:color w:val="000000"/>
                      <w:kern w:val="0"/>
                    </w:rPr>
                  </w:pPr>
                </w:p>
              </w:tc>
            </w:tr>
            <w:tr w14:paraId="3EBFAE21">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156BF9D9">
                  <w:pPr>
                    <w:widowControl/>
                    <w:jc w:val="center"/>
                    <w:rPr>
                      <w:rFonts w:eastAsia="等线"/>
                      <w:color w:val="000000"/>
                      <w:kern w:val="0"/>
                    </w:rPr>
                  </w:pPr>
                  <w:r>
                    <w:rPr>
                      <w:rFonts w:eastAsia="等线"/>
                      <w:color w:val="000000"/>
                      <w:kern w:val="0"/>
                    </w:rPr>
                    <w:t>2.1</w:t>
                  </w:r>
                </w:p>
              </w:tc>
              <w:tc>
                <w:tcPr>
                  <w:tcW w:w="3121" w:type="dxa"/>
                  <w:tcBorders>
                    <w:top w:val="nil"/>
                    <w:left w:val="nil"/>
                    <w:bottom w:val="single" w:color="auto" w:sz="4" w:space="0"/>
                    <w:right w:val="single" w:color="auto" w:sz="4" w:space="0"/>
                  </w:tcBorders>
                  <w:vAlign w:val="center"/>
                </w:tcPr>
                <w:p w14:paraId="7F13D51C">
                  <w:pPr>
                    <w:widowControl/>
                    <w:jc w:val="center"/>
                    <w:rPr>
                      <w:rFonts w:eastAsia="等线"/>
                      <w:color w:val="000000"/>
                      <w:kern w:val="0"/>
                    </w:rPr>
                  </w:pPr>
                  <w:r>
                    <w:rPr>
                      <w:rFonts w:hint="eastAsia" w:ascii="宋体" w:hAnsi="宋体"/>
                      <w:color w:val="000000"/>
                      <w:kern w:val="0"/>
                    </w:rPr>
                    <w:t>危废贮存间</w:t>
                  </w:r>
                </w:p>
              </w:tc>
              <w:tc>
                <w:tcPr>
                  <w:tcW w:w="709" w:type="dxa"/>
                  <w:tcBorders>
                    <w:top w:val="nil"/>
                    <w:left w:val="nil"/>
                    <w:bottom w:val="single" w:color="auto" w:sz="4" w:space="0"/>
                    <w:right w:val="single" w:color="auto" w:sz="4" w:space="0"/>
                  </w:tcBorders>
                  <w:vAlign w:val="center"/>
                </w:tcPr>
                <w:p w14:paraId="4E99704F">
                  <w:pPr>
                    <w:widowControl/>
                    <w:jc w:val="center"/>
                    <w:rPr>
                      <w:rFonts w:eastAsia="等线"/>
                      <w:color w:val="000000"/>
                      <w:kern w:val="0"/>
                    </w:rPr>
                  </w:pPr>
                  <w:r>
                    <w:rPr>
                      <w:rFonts w:hint="eastAsia" w:ascii="宋体" w:hAnsi="宋体"/>
                      <w:color w:val="000000"/>
                      <w:kern w:val="0"/>
                    </w:rPr>
                    <w:t>个</w:t>
                  </w:r>
                </w:p>
              </w:tc>
              <w:tc>
                <w:tcPr>
                  <w:tcW w:w="708" w:type="dxa"/>
                  <w:tcBorders>
                    <w:top w:val="nil"/>
                    <w:left w:val="nil"/>
                    <w:bottom w:val="single" w:color="auto" w:sz="4" w:space="0"/>
                    <w:right w:val="single" w:color="auto" w:sz="4" w:space="0"/>
                  </w:tcBorders>
                  <w:vAlign w:val="center"/>
                </w:tcPr>
                <w:p w14:paraId="56F5E578">
                  <w:pPr>
                    <w:widowControl/>
                    <w:jc w:val="center"/>
                    <w:rPr>
                      <w:rFonts w:eastAsia="等线"/>
                      <w:color w:val="000000"/>
                      <w:kern w:val="0"/>
                    </w:rPr>
                  </w:pPr>
                  <w:r>
                    <w:rPr>
                      <w:rFonts w:eastAsia="等线"/>
                      <w:color w:val="000000"/>
                      <w:kern w:val="0"/>
                    </w:rPr>
                    <w:t>1</w:t>
                  </w:r>
                </w:p>
              </w:tc>
              <w:tc>
                <w:tcPr>
                  <w:tcW w:w="851" w:type="dxa"/>
                  <w:tcBorders>
                    <w:top w:val="nil"/>
                    <w:left w:val="nil"/>
                    <w:bottom w:val="single" w:color="auto" w:sz="4" w:space="0"/>
                    <w:right w:val="single" w:color="auto" w:sz="4" w:space="0"/>
                  </w:tcBorders>
                  <w:vAlign w:val="center"/>
                </w:tcPr>
                <w:p w14:paraId="1DE971CA">
                  <w:pPr>
                    <w:widowControl/>
                    <w:jc w:val="center"/>
                    <w:rPr>
                      <w:rFonts w:eastAsia="等线"/>
                      <w:color w:val="000000"/>
                      <w:kern w:val="0"/>
                    </w:rPr>
                  </w:pPr>
                  <w:r>
                    <w:rPr>
                      <w:rFonts w:hint="eastAsia" w:eastAsia="等线"/>
                      <w:color w:val="000000"/>
                      <w:kern w:val="0"/>
                    </w:rPr>
                    <w:t>1</w:t>
                  </w:r>
                  <w:r>
                    <w:rPr>
                      <w:rFonts w:eastAsia="等线"/>
                      <w:color w:val="000000"/>
                      <w:kern w:val="0"/>
                    </w:rPr>
                    <w:t>00000</w:t>
                  </w:r>
                </w:p>
              </w:tc>
              <w:tc>
                <w:tcPr>
                  <w:tcW w:w="992" w:type="dxa"/>
                  <w:tcBorders>
                    <w:top w:val="nil"/>
                    <w:left w:val="nil"/>
                    <w:bottom w:val="single" w:color="auto" w:sz="4" w:space="0"/>
                    <w:right w:val="single" w:color="auto" w:sz="4" w:space="0"/>
                  </w:tcBorders>
                  <w:vAlign w:val="center"/>
                </w:tcPr>
                <w:p w14:paraId="6DAA70B0">
                  <w:pPr>
                    <w:widowControl/>
                    <w:jc w:val="center"/>
                    <w:rPr>
                      <w:rFonts w:eastAsia="等线"/>
                      <w:color w:val="000000"/>
                      <w:kern w:val="0"/>
                    </w:rPr>
                  </w:pPr>
                  <w:r>
                    <w:rPr>
                      <w:rFonts w:hint="eastAsia" w:eastAsia="等线"/>
                      <w:color w:val="000000"/>
                      <w:kern w:val="0"/>
                    </w:rPr>
                    <w:t>1</w:t>
                  </w:r>
                  <w:r>
                    <w:rPr>
                      <w:rFonts w:eastAsia="等线"/>
                      <w:color w:val="000000"/>
                      <w:kern w:val="0"/>
                    </w:rPr>
                    <w:t>0.00</w:t>
                  </w:r>
                </w:p>
              </w:tc>
              <w:tc>
                <w:tcPr>
                  <w:tcW w:w="1504" w:type="dxa"/>
                  <w:tcBorders>
                    <w:top w:val="nil"/>
                    <w:left w:val="nil"/>
                    <w:bottom w:val="single" w:color="auto" w:sz="4" w:space="0"/>
                    <w:right w:val="single" w:color="auto" w:sz="4" w:space="0"/>
                  </w:tcBorders>
                  <w:vAlign w:val="center"/>
                </w:tcPr>
                <w:p w14:paraId="3A8F59B3">
                  <w:pPr>
                    <w:widowControl/>
                    <w:jc w:val="center"/>
                    <w:rPr>
                      <w:rFonts w:eastAsia="等线"/>
                      <w:color w:val="000000"/>
                      <w:kern w:val="0"/>
                    </w:rPr>
                  </w:pPr>
                </w:p>
              </w:tc>
            </w:tr>
            <w:tr w14:paraId="708C790C">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4589CD2B">
                  <w:pPr>
                    <w:widowControl/>
                    <w:jc w:val="center"/>
                    <w:rPr>
                      <w:rFonts w:eastAsia="等线"/>
                      <w:color w:val="000000"/>
                      <w:kern w:val="0"/>
                    </w:rPr>
                  </w:pPr>
                  <w:r>
                    <w:rPr>
                      <w:rFonts w:eastAsia="等线"/>
                      <w:color w:val="000000"/>
                      <w:kern w:val="0"/>
                    </w:rPr>
                    <w:t>2.2</w:t>
                  </w:r>
                </w:p>
              </w:tc>
              <w:tc>
                <w:tcPr>
                  <w:tcW w:w="3121" w:type="dxa"/>
                  <w:tcBorders>
                    <w:top w:val="nil"/>
                    <w:left w:val="nil"/>
                    <w:bottom w:val="single" w:color="auto" w:sz="4" w:space="0"/>
                    <w:right w:val="single" w:color="auto" w:sz="4" w:space="0"/>
                  </w:tcBorders>
                  <w:vAlign w:val="center"/>
                </w:tcPr>
                <w:p w14:paraId="4E9616AC">
                  <w:pPr>
                    <w:widowControl/>
                    <w:jc w:val="center"/>
                    <w:rPr>
                      <w:rFonts w:eastAsia="等线"/>
                      <w:color w:val="000000"/>
                      <w:kern w:val="0"/>
                    </w:rPr>
                  </w:pPr>
                  <w:r>
                    <w:rPr>
                      <w:rFonts w:hint="eastAsia" w:ascii="宋体" w:hAnsi="宋体"/>
                      <w:color w:val="000000"/>
                      <w:kern w:val="0"/>
                    </w:rPr>
                    <w:t>升压站集油坑、事故油池</w:t>
                  </w:r>
                </w:p>
              </w:tc>
              <w:tc>
                <w:tcPr>
                  <w:tcW w:w="709" w:type="dxa"/>
                  <w:tcBorders>
                    <w:top w:val="nil"/>
                    <w:left w:val="nil"/>
                    <w:bottom w:val="single" w:color="auto" w:sz="4" w:space="0"/>
                    <w:right w:val="single" w:color="auto" w:sz="4" w:space="0"/>
                  </w:tcBorders>
                  <w:vAlign w:val="center"/>
                </w:tcPr>
                <w:p w14:paraId="5F566DA6">
                  <w:pPr>
                    <w:widowControl/>
                    <w:jc w:val="center"/>
                    <w:rPr>
                      <w:rFonts w:eastAsia="等线"/>
                      <w:color w:val="000000"/>
                      <w:kern w:val="0"/>
                    </w:rPr>
                  </w:pPr>
                  <w:r>
                    <w:rPr>
                      <w:rFonts w:hint="eastAsia" w:ascii="宋体" w:hAnsi="宋体"/>
                      <w:color w:val="000000"/>
                      <w:kern w:val="0"/>
                    </w:rPr>
                    <w:t>个</w:t>
                  </w:r>
                </w:p>
              </w:tc>
              <w:tc>
                <w:tcPr>
                  <w:tcW w:w="708" w:type="dxa"/>
                  <w:tcBorders>
                    <w:top w:val="nil"/>
                    <w:left w:val="nil"/>
                    <w:bottom w:val="single" w:color="auto" w:sz="4" w:space="0"/>
                    <w:right w:val="single" w:color="auto" w:sz="4" w:space="0"/>
                  </w:tcBorders>
                  <w:vAlign w:val="center"/>
                </w:tcPr>
                <w:p w14:paraId="5D96BD1D">
                  <w:pPr>
                    <w:widowControl/>
                    <w:jc w:val="center"/>
                    <w:rPr>
                      <w:rFonts w:eastAsia="等线"/>
                      <w:color w:val="000000"/>
                      <w:kern w:val="0"/>
                    </w:rPr>
                  </w:pPr>
                  <w:r>
                    <w:rPr>
                      <w:rFonts w:eastAsia="等线"/>
                      <w:color w:val="000000"/>
                      <w:kern w:val="0"/>
                    </w:rPr>
                    <w:t>1</w:t>
                  </w:r>
                </w:p>
              </w:tc>
              <w:tc>
                <w:tcPr>
                  <w:tcW w:w="851" w:type="dxa"/>
                  <w:tcBorders>
                    <w:top w:val="nil"/>
                    <w:left w:val="nil"/>
                    <w:bottom w:val="single" w:color="auto" w:sz="4" w:space="0"/>
                    <w:right w:val="single" w:color="auto" w:sz="4" w:space="0"/>
                  </w:tcBorders>
                  <w:vAlign w:val="center"/>
                </w:tcPr>
                <w:p w14:paraId="0AC9C724">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75C03F76">
                  <w:pPr>
                    <w:widowControl/>
                    <w:jc w:val="center"/>
                    <w:rPr>
                      <w:rFonts w:eastAsia="等线"/>
                      <w:color w:val="000000"/>
                      <w:kern w:val="0"/>
                    </w:rPr>
                  </w:pPr>
                  <w:r>
                    <w:rPr>
                      <w:rFonts w:eastAsia="等线"/>
                      <w:color w:val="000000"/>
                      <w:kern w:val="0"/>
                    </w:rPr>
                    <w:t>/</w:t>
                  </w:r>
                </w:p>
              </w:tc>
              <w:tc>
                <w:tcPr>
                  <w:tcW w:w="1504" w:type="dxa"/>
                  <w:tcBorders>
                    <w:top w:val="nil"/>
                    <w:left w:val="nil"/>
                    <w:bottom w:val="single" w:color="auto" w:sz="4" w:space="0"/>
                    <w:right w:val="single" w:color="auto" w:sz="4" w:space="0"/>
                  </w:tcBorders>
                  <w:vAlign w:val="center"/>
                </w:tcPr>
                <w:p w14:paraId="1598EE4F">
                  <w:pPr>
                    <w:widowControl/>
                    <w:jc w:val="center"/>
                    <w:rPr>
                      <w:rFonts w:eastAsia="等线"/>
                      <w:color w:val="000000"/>
                      <w:kern w:val="0"/>
                    </w:rPr>
                  </w:pPr>
                  <w:r>
                    <w:rPr>
                      <w:rFonts w:hint="eastAsia" w:ascii="宋体" w:hAnsi="宋体"/>
                      <w:color w:val="000000"/>
                      <w:kern w:val="0"/>
                    </w:rPr>
                    <w:t>计入主体投资</w:t>
                  </w:r>
                </w:p>
              </w:tc>
            </w:tr>
            <w:tr w14:paraId="6AE6D5B2">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6CEBBE61">
                  <w:pPr>
                    <w:widowControl/>
                    <w:jc w:val="center"/>
                    <w:rPr>
                      <w:rFonts w:eastAsia="等线"/>
                      <w:color w:val="000000"/>
                      <w:kern w:val="0"/>
                    </w:rPr>
                  </w:pPr>
                  <w:r>
                    <w:rPr>
                      <w:rFonts w:eastAsia="等线"/>
                      <w:color w:val="000000"/>
                      <w:kern w:val="0"/>
                    </w:rPr>
                    <w:t>2.3</w:t>
                  </w:r>
                </w:p>
              </w:tc>
              <w:tc>
                <w:tcPr>
                  <w:tcW w:w="3121" w:type="dxa"/>
                  <w:tcBorders>
                    <w:top w:val="nil"/>
                    <w:left w:val="nil"/>
                    <w:bottom w:val="single" w:color="auto" w:sz="4" w:space="0"/>
                    <w:right w:val="single" w:color="auto" w:sz="4" w:space="0"/>
                  </w:tcBorders>
                  <w:vAlign w:val="center"/>
                </w:tcPr>
                <w:p w14:paraId="3A65A1F7">
                  <w:pPr>
                    <w:widowControl/>
                    <w:jc w:val="center"/>
                    <w:rPr>
                      <w:rFonts w:eastAsia="等线"/>
                      <w:color w:val="000000"/>
                      <w:kern w:val="0"/>
                    </w:rPr>
                  </w:pPr>
                  <w:r>
                    <w:rPr>
                      <w:rFonts w:hint="eastAsia" w:ascii="宋体" w:hAnsi="宋体"/>
                      <w:color w:val="000000"/>
                      <w:kern w:val="0"/>
                    </w:rPr>
                    <w:t>箱变事故油池</w:t>
                  </w:r>
                </w:p>
              </w:tc>
              <w:tc>
                <w:tcPr>
                  <w:tcW w:w="709" w:type="dxa"/>
                  <w:tcBorders>
                    <w:top w:val="nil"/>
                    <w:left w:val="nil"/>
                    <w:bottom w:val="single" w:color="auto" w:sz="4" w:space="0"/>
                    <w:right w:val="single" w:color="auto" w:sz="4" w:space="0"/>
                  </w:tcBorders>
                  <w:vAlign w:val="center"/>
                </w:tcPr>
                <w:p w14:paraId="214D657E">
                  <w:pPr>
                    <w:widowControl/>
                    <w:jc w:val="center"/>
                    <w:rPr>
                      <w:rFonts w:eastAsia="等线"/>
                      <w:color w:val="000000"/>
                      <w:kern w:val="0"/>
                    </w:rPr>
                  </w:pPr>
                  <w:r>
                    <w:rPr>
                      <w:rFonts w:hint="eastAsia" w:ascii="宋体" w:hAnsi="宋体"/>
                      <w:color w:val="000000"/>
                      <w:kern w:val="0"/>
                    </w:rPr>
                    <w:t>个</w:t>
                  </w:r>
                </w:p>
              </w:tc>
              <w:tc>
                <w:tcPr>
                  <w:tcW w:w="708" w:type="dxa"/>
                  <w:tcBorders>
                    <w:top w:val="nil"/>
                    <w:left w:val="nil"/>
                    <w:bottom w:val="single" w:color="auto" w:sz="4" w:space="0"/>
                    <w:right w:val="single" w:color="auto" w:sz="4" w:space="0"/>
                  </w:tcBorders>
                  <w:vAlign w:val="center"/>
                </w:tcPr>
                <w:p w14:paraId="192CD80C">
                  <w:pPr>
                    <w:widowControl/>
                    <w:jc w:val="center"/>
                    <w:rPr>
                      <w:rFonts w:eastAsia="等线"/>
                      <w:color w:val="000000"/>
                      <w:kern w:val="0"/>
                    </w:rPr>
                  </w:pPr>
                  <w:r>
                    <w:rPr>
                      <w:rFonts w:eastAsia="等线"/>
                      <w:color w:val="000000"/>
                      <w:kern w:val="0"/>
                    </w:rPr>
                    <w:t>21</w:t>
                  </w:r>
                </w:p>
              </w:tc>
              <w:tc>
                <w:tcPr>
                  <w:tcW w:w="851" w:type="dxa"/>
                  <w:tcBorders>
                    <w:top w:val="nil"/>
                    <w:left w:val="nil"/>
                    <w:bottom w:val="single" w:color="auto" w:sz="4" w:space="0"/>
                    <w:right w:val="single" w:color="auto" w:sz="4" w:space="0"/>
                  </w:tcBorders>
                  <w:vAlign w:val="center"/>
                </w:tcPr>
                <w:p w14:paraId="4F643081">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46DD72B2">
                  <w:pPr>
                    <w:widowControl/>
                    <w:jc w:val="center"/>
                    <w:rPr>
                      <w:rFonts w:eastAsia="等线"/>
                      <w:color w:val="000000"/>
                      <w:kern w:val="0"/>
                    </w:rPr>
                  </w:pPr>
                  <w:r>
                    <w:rPr>
                      <w:rFonts w:eastAsia="等线"/>
                      <w:color w:val="000000"/>
                      <w:kern w:val="0"/>
                    </w:rPr>
                    <w:t>/</w:t>
                  </w:r>
                </w:p>
              </w:tc>
              <w:tc>
                <w:tcPr>
                  <w:tcW w:w="1504" w:type="dxa"/>
                  <w:tcBorders>
                    <w:top w:val="nil"/>
                    <w:left w:val="nil"/>
                    <w:bottom w:val="single" w:color="auto" w:sz="4" w:space="0"/>
                    <w:right w:val="single" w:color="auto" w:sz="4" w:space="0"/>
                  </w:tcBorders>
                  <w:vAlign w:val="center"/>
                </w:tcPr>
                <w:p w14:paraId="5C32D012">
                  <w:pPr>
                    <w:widowControl/>
                    <w:jc w:val="center"/>
                    <w:rPr>
                      <w:rFonts w:eastAsia="等线"/>
                      <w:color w:val="000000"/>
                      <w:kern w:val="0"/>
                    </w:rPr>
                  </w:pPr>
                  <w:r>
                    <w:rPr>
                      <w:rFonts w:hint="eastAsia" w:ascii="宋体" w:hAnsi="宋体"/>
                      <w:color w:val="000000"/>
                      <w:kern w:val="0"/>
                    </w:rPr>
                    <w:t>计入主体投资</w:t>
                  </w:r>
                </w:p>
              </w:tc>
            </w:tr>
            <w:tr w14:paraId="013F92BA">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614A7D2F">
                  <w:pPr>
                    <w:widowControl/>
                    <w:jc w:val="center"/>
                    <w:rPr>
                      <w:rFonts w:eastAsia="等线"/>
                      <w:color w:val="000000"/>
                      <w:kern w:val="0"/>
                    </w:rPr>
                  </w:pPr>
                  <w:r>
                    <w:rPr>
                      <w:rFonts w:hint="eastAsia" w:ascii="宋体" w:hAnsi="宋体"/>
                      <w:color w:val="000000"/>
                      <w:kern w:val="0"/>
                    </w:rPr>
                    <w:t>四</w:t>
                  </w:r>
                </w:p>
              </w:tc>
              <w:tc>
                <w:tcPr>
                  <w:tcW w:w="3121" w:type="dxa"/>
                  <w:tcBorders>
                    <w:top w:val="nil"/>
                    <w:left w:val="nil"/>
                    <w:bottom w:val="single" w:color="auto" w:sz="4" w:space="0"/>
                    <w:right w:val="single" w:color="auto" w:sz="4" w:space="0"/>
                  </w:tcBorders>
                  <w:vAlign w:val="center"/>
                </w:tcPr>
                <w:p w14:paraId="14A0A213">
                  <w:pPr>
                    <w:widowControl/>
                    <w:jc w:val="center"/>
                    <w:rPr>
                      <w:rFonts w:eastAsia="等线"/>
                      <w:color w:val="000000"/>
                      <w:kern w:val="0"/>
                    </w:rPr>
                  </w:pPr>
                  <w:r>
                    <w:rPr>
                      <w:rFonts w:hint="eastAsia" w:ascii="宋体" w:hAnsi="宋体"/>
                      <w:color w:val="000000"/>
                      <w:kern w:val="0"/>
                    </w:rPr>
                    <w:t>大气、声环境保护费</w:t>
                  </w:r>
                </w:p>
              </w:tc>
              <w:tc>
                <w:tcPr>
                  <w:tcW w:w="709" w:type="dxa"/>
                  <w:tcBorders>
                    <w:top w:val="nil"/>
                    <w:left w:val="nil"/>
                    <w:bottom w:val="single" w:color="auto" w:sz="4" w:space="0"/>
                    <w:right w:val="single" w:color="auto" w:sz="4" w:space="0"/>
                  </w:tcBorders>
                  <w:vAlign w:val="center"/>
                </w:tcPr>
                <w:p w14:paraId="2B552A36">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2A50BE0B">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5C9909A2">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7C39E88C">
                  <w:pPr>
                    <w:widowControl/>
                    <w:jc w:val="center"/>
                    <w:rPr>
                      <w:rFonts w:eastAsia="等线"/>
                      <w:color w:val="000000"/>
                      <w:kern w:val="0"/>
                    </w:rPr>
                  </w:pPr>
                  <w:r>
                    <w:rPr>
                      <w:rFonts w:eastAsia="等线"/>
                      <w:color w:val="000000"/>
                      <w:kern w:val="0"/>
                    </w:rPr>
                    <w:t>10.30</w:t>
                  </w:r>
                </w:p>
              </w:tc>
              <w:tc>
                <w:tcPr>
                  <w:tcW w:w="1504" w:type="dxa"/>
                  <w:tcBorders>
                    <w:top w:val="nil"/>
                    <w:left w:val="nil"/>
                    <w:bottom w:val="single" w:color="auto" w:sz="4" w:space="0"/>
                    <w:right w:val="single" w:color="auto" w:sz="4" w:space="0"/>
                  </w:tcBorders>
                  <w:vAlign w:val="center"/>
                </w:tcPr>
                <w:p w14:paraId="15E98DA1">
                  <w:pPr>
                    <w:widowControl/>
                    <w:jc w:val="center"/>
                    <w:rPr>
                      <w:rFonts w:eastAsia="等线"/>
                      <w:color w:val="000000"/>
                      <w:kern w:val="0"/>
                    </w:rPr>
                  </w:pPr>
                </w:p>
              </w:tc>
            </w:tr>
            <w:tr w14:paraId="2CE4017D">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4DAE6F77">
                  <w:pPr>
                    <w:widowControl/>
                    <w:jc w:val="center"/>
                    <w:rPr>
                      <w:rFonts w:eastAsia="等线"/>
                      <w:color w:val="000000"/>
                      <w:kern w:val="0"/>
                    </w:rPr>
                  </w:pPr>
                  <w:r>
                    <w:rPr>
                      <w:rFonts w:eastAsia="等线"/>
                      <w:color w:val="000000"/>
                      <w:kern w:val="0"/>
                    </w:rPr>
                    <w:t>1</w:t>
                  </w:r>
                </w:p>
              </w:tc>
              <w:tc>
                <w:tcPr>
                  <w:tcW w:w="3121" w:type="dxa"/>
                  <w:tcBorders>
                    <w:top w:val="nil"/>
                    <w:left w:val="nil"/>
                    <w:bottom w:val="single" w:color="auto" w:sz="4" w:space="0"/>
                    <w:right w:val="single" w:color="auto" w:sz="4" w:space="0"/>
                  </w:tcBorders>
                  <w:vAlign w:val="center"/>
                </w:tcPr>
                <w:p w14:paraId="2CCBB0F3">
                  <w:pPr>
                    <w:widowControl/>
                    <w:jc w:val="center"/>
                    <w:rPr>
                      <w:rFonts w:eastAsia="等线"/>
                      <w:color w:val="000000"/>
                      <w:kern w:val="0"/>
                    </w:rPr>
                  </w:pPr>
                  <w:r>
                    <w:rPr>
                      <w:rFonts w:hint="eastAsia" w:ascii="宋体" w:hAnsi="宋体"/>
                      <w:color w:val="000000"/>
                      <w:kern w:val="0"/>
                    </w:rPr>
                    <w:t>洒水车</w:t>
                  </w:r>
                </w:p>
              </w:tc>
              <w:tc>
                <w:tcPr>
                  <w:tcW w:w="709" w:type="dxa"/>
                  <w:tcBorders>
                    <w:top w:val="nil"/>
                    <w:left w:val="nil"/>
                    <w:bottom w:val="single" w:color="auto" w:sz="4" w:space="0"/>
                    <w:right w:val="single" w:color="auto" w:sz="4" w:space="0"/>
                  </w:tcBorders>
                  <w:vAlign w:val="center"/>
                </w:tcPr>
                <w:p w14:paraId="38455B15">
                  <w:pPr>
                    <w:widowControl/>
                    <w:jc w:val="center"/>
                    <w:rPr>
                      <w:rFonts w:eastAsia="等线"/>
                      <w:color w:val="000000"/>
                      <w:kern w:val="0"/>
                    </w:rPr>
                  </w:pPr>
                  <w:r>
                    <w:rPr>
                      <w:rFonts w:hint="eastAsia" w:ascii="宋体" w:hAnsi="宋体"/>
                      <w:color w:val="000000"/>
                      <w:kern w:val="0"/>
                    </w:rPr>
                    <w:t>月</w:t>
                  </w:r>
                </w:p>
              </w:tc>
              <w:tc>
                <w:tcPr>
                  <w:tcW w:w="708" w:type="dxa"/>
                  <w:tcBorders>
                    <w:top w:val="nil"/>
                    <w:left w:val="nil"/>
                    <w:bottom w:val="single" w:color="auto" w:sz="4" w:space="0"/>
                    <w:right w:val="single" w:color="auto" w:sz="4" w:space="0"/>
                  </w:tcBorders>
                  <w:vAlign w:val="center"/>
                </w:tcPr>
                <w:p w14:paraId="130D3772">
                  <w:pPr>
                    <w:widowControl/>
                    <w:jc w:val="center"/>
                    <w:rPr>
                      <w:rFonts w:eastAsia="等线"/>
                      <w:color w:val="000000"/>
                      <w:kern w:val="0"/>
                    </w:rPr>
                  </w:pPr>
                  <w:r>
                    <w:rPr>
                      <w:rFonts w:eastAsia="等线"/>
                      <w:color w:val="000000"/>
                      <w:kern w:val="0"/>
                    </w:rPr>
                    <w:t>6</w:t>
                  </w:r>
                </w:p>
              </w:tc>
              <w:tc>
                <w:tcPr>
                  <w:tcW w:w="851" w:type="dxa"/>
                  <w:tcBorders>
                    <w:top w:val="nil"/>
                    <w:left w:val="nil"/>
                    <w:bottom w:val="single" w:color="auto" w:sz="4" w:space="0"/>
                    <w:right w:val="single" w:color="auto" w:sz="4" w:space="0"/>
                  </w:tcBorders>
                  <w:vAlign w:val="center"/>
                </w:tcPr>
                <w:p w14:paraId="49904ACE">
                  <w:pPr>
                    <w:widowControl/>
                    <w:jc w:val="center"/>
                    <w:rPr>
                      <w:rFonts w:eastAsia="等线"/>
                      <w:color w:val="000000"/>
                      <w:kern w:val="0"/>
                    </w:rPr>
                  </w:pPr>
                  <w:r>
                    <w:rPr>
                      <w:rFonts w:eastAsia="等线"/>
                      <w:color w:val="000000"/>
                      <w:kern w:val="0"/>
                    </w:rPr>
                    <w:t>15000</w:t>
                  </w:r>
                </w:p>
              </w:tc>
              <w:tc>
                <w:tcPr>
                  <w:tcW w:w="992" w:type="dxa"/>
                  <w:tcBorders>
                    <w:top w:val="nil"/>
                    <w:left w:val="nil"/>
                    <w:bottom w:val="single" w:color="auto" w:sz="4" w:space="0"/>
                    <w:right w:val="single" w:color="auto" w:sz="4" w:space="0"/>
                  </w:tcBorders>
                  <w:vAlign w:val="center"/>
                </w:tcPr>
                <w:p w14:paraId="0FCA3185">
                  <w:pPr>
                    <w:widowControl/>
                    <w:jc w:val="center"/>
                    <w:rPr>
                      <w:rFonts w:eastAsia="等线"/>
                      <w:color w:val="000000"/>
                      <w:kern w:val="0"/>
                    </w:rPr>
                  </w:pPr>
                  <w:r>
                    <w:rPr>
                      <w:rFonts w:eastAsia="等线"/>
                      <w:color w:val="000000"/>
                      <w:kern w:val="0"/>
                    </w:rPr>
                    <w:t>9.00</w:t>
                  </w:r>
                </w:p>
              </w:tc>
              <w:tc>
                <w:tcPr>
                  <w:tcW w:w="1504" w:type="dxa"/>
                  <w:tcBorders>
                    <w:top w:val="nil"/>
                    <w:left w:val="nil"/>
                    <w:bottom w:val="single" w:color="auto" w:sz="4" w:space="0"/>
                    <w:right w:val="single" w:color="auto" w:sz="4" w:space="0"/>
                  </w:tcBorders>
                  <w:vAlign w:val="center"/>
                </w:tcPr>
                <w:p w14:paraId="4948F803">
                  <w:pPr>
                    <w:widowControl/>
                    <w:jc w:val="center"/>
                    <w:rPr>
                      <w:rFonts w:eastAsia="等线"/>
                      <w:color w:val="000000"/>
                      <w:kern w:val="0"/>
                    </w:rPr>
                  </w:pPr>
                  <w:r>
                    <w:rPr>
                      <w:rFonts w:hint="eastAsia" w:ascii="宋体" w:hAnsi="宋体"/>
                      <w:color w:val="000000"/>
                      <w:kern w:val="0"/>
                    </w:rPr>
                    <w:t>租用</w:t>
                  </w:r>
                </w:p>
              </w:tc>
            </w:tr>
            <w:tr w14:paraId="4A8700F5">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37754663">
                  <w:pPr>
                    <w:widowControl/>
                    <w:jc w:val="center"/>
                    <w:rPr>
                      <w:rFonts w:eastAsia="等线"/>
                      <w:color w:val="000000"/>
                      <w:kern w:val="0"/>
                    </w:rPr>
                  </w:pPr>
                  <w:r>
                    <w:rPr>
                      <w:rFonts w:eastAsia="等线"/>
                      <w:color w:val="000000"/>
                      <w:kern w:val="0"/>
                    </w:rPr>
                    <w:t>2</w:t>
                  </w:r>
                </w:p>
              </w:tc>
              <w:tc>
                <w:tcPr>
                  <w:tcW w:w="3121" w:type="dxa"/>
                  <w:tcBorders>
                    <w:top w:val="nil"/>
                    <w:left w:val="nil"/>
                    <w:bottom w:val="single" w:color="auto" w:sz="4" w:space="0"/>
                    <w:right w:val="single" w:color="auto" w:sz="4" w:space="0"/>
                  </w:tcBorders>
                  <w:vAlign w:val="center"/>
                </w:tcPr>
                <w:p w14:paraId="7ECB9554">
                  <w:pPr>
                    <w:widowControl/>
                    <w:jc w:val="center"/>
                    <w:rPr>
                      <w:rFonts w:eastAsia="等线"/>
                      <w:color w:val="000000"/>
                      <w:kern w:val="0"/>
                    </w:rPr>
                  </w:pPr>
                  <w:r>
                    <w:rPr>
                      <w:rFonts w:hint="eastAsia" w:ascii="宋体" w:hAnsi="宋体"/>
                      <w:color w:val="000000"/>
                      <w:kern w:val="0"/>
                    </w:rPr>
                    <w:t>车辆限速禁鸣警示牌</w:t>
                  </w:r>
                </w:p>
              </w:tc>
              <w:tc>
                <w:tcPr>
                  <w:tcW w:w="709" w:type="dxa"/>
                  <w:tcBorders>
                    <w:top w:val="nil"/>
                    <w:left w:val="nil"/>
                    <w:bottom w:val="single" w:color="auto" w:sz="4" w:space="0"/>
                    <w:right w:val="single" w:color="auto" w:sz="4" w:space="0"/>
                  </w:tcBorders>
                  <w:vAlign w:val="center"/>
                </w:tcPr>
                <w:p w14:paraId="12E5F169">
                  <w:pPr>
                    <w:widowControl/>
                    <w:jc w:val="center"/>
                    <w:rPr>
                      <w:rFonts w:eastAsia="等线"/>
                      <w:color w:val="000000"/>
                      <w:kern w:val="0"/>
                    </w:rPr>
                  </w:pPr>
                  <w:r>
                    <w:rPr>
                      <w:rFonts w:hint="eastAsia" w:ascii="宋体" w:hAnsi="宋体"/>
                      <w:color w:val="000000"/>
                      <w:kern w:val="0"/>
                    </w:rPr>
                    <w:t>个</w:t>
                  </w:r>
                </w:p>
              </w:tc>
              <w:tc>
                <w:tcPr>
                  <w:tcW w:w="708" w:type="dxa"/>
                  <w:tcBorders>
                    <w:top w:val="nil"/>
                    <w:left w:val="nil"/>
                    <w:bottom w:val="single" w:color="auto" w:sz="4" w:space="0"/>
                    <w:right w:val="single" w:color="auto" w:sz="4" w:space="0"/>
                  </w:tcBorders>
                  <w:vAlign w:val="center"/>
                </w:tcPr>
                <w:p w14:paraId="08A7ED05">
                  <w:pPr>
                    <w:widowControl/>
                    <w:jc w:val="center"/>
                    <w:rPr>
                      <w:rFonts w:eastAsia="等线"/>
                      <w:color w:val="000000"/>
                      <w:kern w:val="0"/>
                    </w:rPr>
                  </w:pPr>
                  <w:r>
                    <w:rPr>
                      <w:rFonts w:eastAsia="等线"/>
                      <w:color w:val="000000"/>
                      <w:kern w:val="0"/>
                    </w:rPr>
                    <w:t>10</w:t>
                  </w:r>
                </w:p>
              </w:tc>
              <w:tc>
                <w:tcPr>
                  <w:tcW w:w="851" w:type="dxa"/>
                  <w:tcBorders>
                    <w:top w:val="nil"/>
                    <w:left w:val="nil"/>
                    <w:bottom w:val="single" w:color="auto" w:sz="4" w:space="0"/>
                    <w:right w:val="single" w:color="auto" w:sz="4" w:space="0"/>
                  </w:tcBorders>
                  <w:vAlign w:val="center"/>
                </w:tcPr>
                <w:p w14:paraId="3E550F07">
                  <w:pPr>
                    <w:widowControl/>
                    <w:jc w:val="center"/>
                    <w:rPr>
                      <w:rFonts w:eastAsia="等线"/>
                      <w:color w:val="000000"/>
                      <w:kern w:val="0"/>
                    </w:rPr>
                  </w:pPr>
                  <w:r>
                    <w:rPr>
                      <w:rFonts w:eastAsia="等线"/>
                      <w:color w:val="000000"/>
                      <w:kern w:val="0"/>
                    </w:rPr>
                    <w:t>300</w:t>
                  </w:r>
                </w:p>
              </w:tc>
              <w:tc>
                <w:tcPr>
                  <w:tcW w:w="992" w:type="dxa"/>
                  <w:tcBorders>
                    <w:top w:val="nil"/>
                    <w:left w:val="nil"/>
                    <w:bottom w:val="single" w:color="auto" w:sz="4" w:space="0"/>
                    <w:right w:val="single" w:color="auto" w:sz="4" w:space="0"/>
                  </w:tcBorders>
                  <w:vAlign w:val="center"/>
                </w:tcPr>
                <w:p w14:paraId="04B93903">
                  <w:pPr>
                    <w:widowControl/>
                    <w:jc w:val="center"/>
                    <w:rPr>
                      <w:rFonts w:eastAsia="等线"/>
                      <w:color w:val="000000"/>
                      <w:kern w:val="0"/>
                    </w:rPr>
                  </w:pPr>
                  <w:r>
                    <w:rPr>
                      <w:rFonts w:eastAsia="等线"/>
                      <w:color w:val="000000"/>
                      <w:kern w:val="0"/>
                    </w:rPr>
                    <w:t>0.30</w:t>
                  </w:r>
                </w:p>
              </w:tc>
              <w:tc>
                <w:tcPr>
                  <w:tcW w:w="1504" w:type="dxa"/>
                  <w:tcBorders>
                    <w:top w:val="nil"/>
                    <w:left w:val="nil"/>
                    <w:bottom w:val="single" w:color="auto" w:sz="4" w:space="0"/>
                    <w:right w:val="single" w:color="auto" w:sz="4" w:space="0"/>
                  </w:tcBorders>
                  <w:vAlign w:val="center"/>
                </w:tcPr>
                <w:p w14:paraId="2F4A2605">
                  <w:pPr>
                    <w:widowControl/>
                    <w:jc w:val="center"/>
                    <w:rPr>
                      <w:rFonts w:eastAsia="等线"/>
                      <w:color w:val="000000"/>
                      <w:kern w:val="0"/>
                    </w:rPr>
                  </w:pPr>
                </w:p>
              </w:tc>
            </w:tr>
            <w:tr w14:paraId="07DBF5AF">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2B1B9072">
                  <w:pPr>
                    <w:widowControl/>
                    <w:jc w:val="center"/>
                    <w:rPr>
                      <w:rFonts w:eastAsia="等线"/>
                      <w:color w:val="000000"/>
                      <w:kern w:val="0"/>
                    </w:rPr>
                  </w:pPr>
                  <w:r>
                    <w:rPr>
                      <w:rFonts w:eastAsia="等线"/>
                      <w:color w:val="000000"/>
                      <w:kern w:val="0"/>
                    </w:rPr>
                    <w:t>3</w:t>
                  </w:r>
                </w:p>
              </w:tc>
              <w:tc>
                <w:tcPr>
                  <w:tcW w:w="3121" w:type="dxa"/>
                  <w:tcBorders>
                    <w:top w:val="nil"/>
                    <w:left w:val="nil"/>
                    <w:bottom w:val="single" w:color="auto" w:sz="4" w:space="0"/>
                    <w:right w:val="single" w:color="auto" w:sz="4" w:space="0"/>
                  </w:tcBorders>
                  <w:vAlign w:val="center"/>
                </w:tcPr>
                <w:p w14:paraId="66C68413">
                  <w:pPr>
                    <w:widowControl/>
                    <w:jc w:val="center"/>
                    <w:rPr>
                      <w:rFonts w:eastAsia="等线"/>
                      <w:color w:val="000000"/>
                      <w:kern w:val="0"/>
                    </w:rPr>
                  </w:pPr>
                  <w:r>
                    <w:rPr>
                      <w:rFonts w:hint="eastAsia" w:ascii="宋体" w:hAnsi="宋体"/>
                      <w:color w:val="000000"/>
                      <w:kern w:val="0"/>
                    </w:rPr>
                    <w:t>隔声围挡及声屏障</w:t>
                  </w:r>
                </w:p>
              </w:tc>
              <w:tc>
                <w:tcPr>
                  <w:tcW w:w="709" w:type="dxa"/>
                  <w:tcBorders>
                    <w:top w:val="nil"/>
                    <w:left w:val="nil"/>
                    <w:bottom w:val="single" w:color="auto" w:sz="4" w:space="0"/>
                    <w:right w:val="single" w:color="auto" w:sz="4" w:space="0"/>
                  </w:tcBorders>
                  <w:vAlign w:val="center"/>
                </w:tcPr>
                <w:p w14:paraId="2BDD6202">
                  <w:pPr>
                    <w:widowControl/>
                    <w:jc w:val="center"/>
                    <w:rPr>
                      <w:rFonts w:eastAsia="等线"/>
                      <w:color w:val="000000"/>
                      <w:kern w:val="0"/>
                    </w:rPr>
                  </w:pPr>
                  <w:r>
                    <w:rPr>
                      <w:rFonts w:hint="eastAsia" w:ascii="宋体" w:hAnsi="宋体"/>
                      <w:color w:val="000000"/>
                      <w:kern w:val="0"/>
                    </w:rPr>
                    <w:t>项</w:t>
                  </w:r>
                </w:p>
              </w:tc>
              <w:tc>
                <w:tcPr>
                  <w:tcW w:w="708" w:type="dxa"/>
                  <w:tcBorders>
                    <w:top w:val="nil"/>
                    <w:left w:val="nil"/>
                    <w:bottom w:val="single" w:color="auto" w:sz="4" w:space="0"/>
                    <w:right w:val="single" w:color="auto" w:sz="4" w:space="0"/>
                  </w:tcBorders>
                  <w:vAlign w:val="center"/>
                </w:tcPr>
                <w:p w14:paraId="12B4C680">
                  <w:pPr>
                    <w:widowControl/>
                    <w:jc w:val="center"/>
                    <w:rPr>
                      <w:rFonts w:eastAsia="等线"/>
                      <w:color w:val="000000"/>
                      <w:kern w:val="0"/>
                    </w:rPr>
                  </w:pPr>
                  <w:r>
                    <w:rPr>
                      <w:rFonts w:eastAsia="等线"/>
                      <w:color w:val="000000"/>
                      <w:kern w:val="0"/>
                    </w:rPr>
                    <w:t>1</w:t>
                  </w:r>
                </w:p>
              </w:tc>
              <w:tc>
                <w:tcPr>
                  <w:tcW w:w="851" w:type="dxa"/>
                  <w:tcBorders>
                    <w:top w:val="nil"/>
                    <w:left w:val="nil"/>
                    <w:bottom w:val="single" w:color="auto" w:sz="4" w:space="0"/>
                    <w:right w:val="single" w:color="auto" w:sz="4" w:space="0"/>
                  </w:tcBorders>
                  <w:vAlign w:val="center"/>
                </w:tcPr>
                <w:p w14:paraId="6DDB4A5F">
                  <w:pPr>
                    <w:widowControl/>
                    <w:jc w:val="center"/>
                    <w:rPr>
                      <w:rFonts w:eastAsia="等线"/>
                      <w:color w:val="000000"/>
                      <w:kern w:val="0"/>
                    </w:rPr>
                  </w:pPr>
                  <w:r>
                    <w:rPr>
                      <w:rFonts w:eastAsia="等线"/>
                      <w:color w:val="000000"/>
                      <w:kern w:val="0"/>
                    </w:rPr>
                    <w:t>10000</w:t>
                  </w:r>
                </w:p>
              </w:tc>
              <w:tc>
                <w:tcPr>
                  <w:tcW w:w="992" w:type="dxa"/>
                  <w:tcBorders>
                    <w:top w:val="nil"/>
                    <w:left w:val="nil"/>
                    <w:bottom w:val="single" w:color="auto" w:sz="4" w:space="0"/>
                    <w:right w:val="single" w:color="auto" w:sz="4" w:space="0"/>
                  </w:tcBorders>
                  <w:vAlign w:val="center"/>
                </w:tcPr>
                <w:p w14:paraId="69189CC4">
                  <w:pPr>
                    <w:widowControl/>
                    <w:jc w:val="center"/>
                    <w:rPr>
                      <w:rFonts w:eastAsia="等线"/>
                      <w:color w:val="000000"/>
                      <w:kern w:val="0"/>
                    </w:rPr>
                  </w:pPr>
                  <w:r>
                    <w:rPr>
                      <w:rFonts w:eastAsia="等线"/>
                      <w:color w:val="000000"/>
                      <w:kern w:val="0"/>
                    </w:rPr>
                    <w:t>1.00</w:t>
                  </w:r>
                </w:p>
              </w:tc>
              <w:tc>
                <w:tcPr>
                  <w:tcW w:w="1504" w:type="dxa"/>
                  <w:tcBorders>
                    <w:top w:val="nil"/>
                    <w:left w:val="nil"/>
                    <w:bottom w:val="single" w:color="auto" w:sz="4" w:space="0"/>
                    <w:right w:val="single" w:color="auto" w:sz="4" w:space="0"/>
                  </w:tcBorders>
                  <w:vAlign w:val="center"/>
                </w:tcPr>
                <w:p w14:paraId="1B3EF82C">
                  <w:pPr>
                    <w:widowControl/>
                    <w:jc w:val="center"/>
                    <w:rPr>
                      <w:rFonts w:eastAsia="等线"/>
                      <w:color w:val="000000"/>
                      <w:kern w:val="0"/>
                    </w:rPr>
                  </w:pPr>
                </w:p>
              </w:tc>
            </w:tr>
            <w:tr w14:paraId="2812A4B0">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5216C86F">
                  <w:pPr>
                    <w:widowControl/>
                    <w:jc w:val="center"/>
                    <w:rPr>
                      <w:rFonts w:eastAsia="等线"/>
                      <w:color w:val="000000"/>
                      <w:kern w:val="0"/>
                    </w:rPr>
                  </w:pPr>
                  <w:r>
                    <w:rPr>
                      <w:rFonts w:hint="eastAsia" w:ascii="宋体" w:hAnsi="宋体"/>
                      <w:color w:val="000000"/>
                      <w:kern w:val="0"/>
                    </w:rPr>
                    <w:t>五</w:t>
                  </w:r>
                </w:p>
              </w:tc>
              <w:tc>
                <w:tcPr>
                  <w:tcW w:w="3121" w:type="dxa"/>
                  <w:tcBorders>
                    <w:top w:val="nil"/>
                    <w:left w:val="nil"/>
                    <w:bottom w:val="single" w:color="auto" w:sz="4" w:space="0"/>
                    <w:right w:val="single" w:color="auto" w:sz="4" w:space="0"/>
                  </w:tcBorders>
                  <w:vAlign w:val="center"/>
                </w:tcPr>
                <w:p w14:paraId="01660CFE">
                  <w:pPr>
                    <w:widowControl/>
                    <w:jc w:val="center"/>
                    <w:rPr>
                      <w:rFonts w:eastAsia="等线"/>
                      <w:color w:val="000000"/>
                      <w:kern w:val="0"/>
                    </w:rPr>
                  </w:pPr>
                  <w:r>
                    <w:rPr>
                      <w:rFonts w:hint="eastAsia" w:ascii="宋体" w:hAnsi="宋体"/>
                      <w:color w:val="000000"/>
                      <w:kern w:val="0"/>
                    </w:rPr>
                    <w:t>人群健康保护费用</w:t>
                  </w:r>
                </w:p>
              </w:tc>
              <w:tc>
                <w:tcPr>
                  <w:tcW w:w="709" w:type="dxa"/>
                  <w:tcBorders>
                    <w:top w:val="nil"/>
                    <w:left w:val="nil"/>
                    <w:bottom w:val="single" w:color="auto" w:sz="4" w:space="0"/>
                    <w:right w:val="single" w:color="auto" w:sz="4" w:space="0"/>
                  </w:tcBorders>
                  <w:vAlign w:val="center"/>
                </w:tcPr>
                <w:p w14:paraId="458A6A9A">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05C5FB0B">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3579F91A">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0729FB13">
                  <w:pPr>
                    <w:widowControl/>
                    <w:jc w:val="center"/>
                    <w:rPr>
                      <w:rFonts w:eastAsia="等线"/>
                      <w:color w:val="000000"/>
                      <w:kern w:val="0"/>
                    </w:rPr>
                  </w:pPr>
                  <w:r>
                    <w:rPr>
                      <w:rFonts w:eastAsia="等线"/>
                      <w:color w:val="000000"/>
                      <w:kern w:val="0"/>
                    </w:rPr>
                    <w:t>10.00</w:t>
                  </w:r>
                </w:p>
              </w:tc>
              <w:tc>
                <w:tcPr>
                  <w:tcW w:w="1504" w:type="dxa"/>
                  <w:tcBorders>
                    <w:top w:val="nil"/>
                    <w:left w:val="nil"/>
                    <w:bottom w:val="single" w:color="auto" w:sz="4" w:space="0"/>
                    <w:right w:val="single" w:color="auto" w:sz="4" w:space="0"/>
                  </w:tcBorders>
                  <w:vAlign w:val="center"/>
                </w:tcPr>
                <w:p w14:paraId="3BC519D4">
                  <w:pPr>
                    <w:widowControl/>
                    <w:jc w:val="center"/>
                    <w:rPr>
                      <w:rFonts w:eastAsia="等线"/>
                      <w:color w:val="000000"/>
                      <w:kern w:val="0"/>
                    </w:rPr>
                  </w:pPr>
                </w:p>
              </w:tc>
            </w:tr>
            <w:tr w14:paraId="02562088">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6F915785">
                  <w:pPr>
                    <w:widowControl/>
                    <w:jc w:val="center"/>
                    <w:rPr>
                      <w:rFonts w:eastAsia="等线"/>
                      <w:color w:val="000000"/>
                      <w:kern w:val="0"/>
                    </w:rPr>
                  </w:pPr>
                  <w:r>
                    <w:rPr>
                      <w:rFonts w:eastAsia="等线"/>
                      <w:color w:val="000000"/>
                      <w:kern w:val="0"/>
                    </w:rPr>
                    <w:t>1</w:t>
                  </w:r>
                </w:p>
              </w:tc>
              <w:tc>
                <w:tcPr>
                  <w:tcW w:w="3121" w:type="dxa"/>
                  <w:tcBorders>
                    <w:top w:val="nil"/>
                    <w:left w:val="nil"/>
                    <w:bottom w:val="single" w:color="auto" w:sz="4" w:space="0"/>
                    <w:right w:val="single" w:color="auto" w:sz="4" w:space="0"/>
                  </w:tcBorders>
                  <w:vAlign w:val="center"/>
                </w:tcPr>
                <w:p w14:paraId="59E113D8">
                  <w:pPr>
                    <w:widowControl/>
                    <w:jc w:val="center"/>
                    <w:rPr>
                      <w:rFonts w:eastAsia="等线"/>
                      <w:color w:val="000000"/>
                      <w:kern w:val="0"/>
                    </w:rPr>
                  </w:pPr>
                  <w:r>
                    <w:rPr>
                      <w:rFonts w:hint="eastAsia" w:ascii="宋体" w:hAnsi="宋体"/>
                      <w:color w:val="000000"/>
                      <w:kern w:val="0"/>
                    </w:rPr>
                    <w:t>施工区的清理与消毒</w:t>
                  </w:r>
                </w:p>
              </w:tc>
              <w:tc>
                <w:tcPr>
                  <w:tcW w:w="709" w:type="dxa"/>
                  <w:tcBorders>
                    <w:top w:val="nil"/>
                    <w:left w:val="nil"/>
                    <w:bottom w:val="single" w:color="auto" w:sz="4" w:space="0"/>
                    <w:right w:val="single" w:color="auto" w:sz="4" w:space="0"/>
                  </w:tcBorders>
                  <w:vAlign w:val="center"/>
                </w:tcPr>
                <w:p w14:paraId="0D7BBD7A">
                  <w:pPr>
                    <w:widowControl/>
                    <w:jc w:val="center"/>
                    <w:rPr>
                      <w:rFonts w:eastAsia="等线"/>
                      <w:color w:val="000000"/>
                      <w:kern w:val="0"/>
                    </w:rPr>
                  </w:pPr>
                  <w:r>
                    <w:rPr>
                      <w:rFonts w:hint="eastAsia" w:ascii="宋体" w:hAnsi="宋体"/>
                      <w:color w:val="000000"/>
                      <w:kern w:val="0"/>
                    </w:rPr>
                    <w:t>月</w:t>
                  </w:r>
                </w:p>
              </w:tc>
              <w:tc>
                <w:tcPr>
                  <w:tcW w:w="708" w:type="dxa"/>
                  <w:tcBorders>
                    <w:top w:val="nil"/>
                    <w:left w:val="nil"/>
                    <w:bottom w:val="single" w:color="auto" w:sz="4" w:space="0"/>
                    <w:right w:val="single" w:color="auto" w:sz="4" w:space="0"/>
                  </w:tcBorders>
                  <w:vAlign w:val="center"/>
                </w:tcPr>
                <w:p w14:paraId="439F5FC7">
                  <w:pPr>
                    <w:widowControl/>
                    <w:jc w:val="center"/>
                    <w:rPr>
                      <w:rFonts w:eastAsia="等线"/>
                      <w:color w:val="000000"/>
                      <w:kern w:val="0"/>
                    </w:rPr>
                  </w:pPr>
                  <w:r>
                    <w:rPr>
                      <w:rFonts w:eastAsia="等线"/>
                      <w:color w:val="000000"/>
                      <w:kern w:val="0"/>
                    </w:rPr>
                    <w:t>6</w:t>
                  </w:r>
                </w:p>
              </w:tc>
              <w:tc>
                <w:tcPr>
                  <w:tcW w:w="851" w:type="dxa"/>
                  <w:tcBorders>
                    <w:top w:val="nil"/>
                    <w:left w:val="nil"/>
                    <w:bottom w:val="single" w:color="auto" w:sz="4" w:space="0"/>
                    <w:right w:val="single" w:color="auto" w:sz="4" w:space="0"/>
                  </w:tcBorders>
                  <w:vAlign w:val="center"/>
                </w:tcPr>
                <w:p w14:paraId="5F70A19C">
                  <w:pPr>
                    <w:widowControl/>
                    <w:jc w:val="center"/>
                    <w:rPr>
                      <w:rFonts w:eastAsia="等线"/>
                      <w:color w:val="000000"/>
                      <w:kern w:val="0"/>
                    </w:rPr>
                  </w:pPr>
                  <w:r>
                    <w:rPr>
                      <w:rFonts w:eastAsia="等线"/>
                      <w:color w:val="000000"/>
                      <w:kern w:val="0"/>
                    </w:rPr>
                    <w:t>10000</w:t>
                  </w:r>
                </w:p>
              </w:tc>
              <w:tc>
                <w:tcPr>
                  <w:tcW w:w="992" w:type="dxa"/>
                  <w:tcBorders>
                    <w:top w:val="nil"/>
                    <w:left w:val="nil"/>
                    <w:bottom w:val="single" w:color="auto" w:sz="4" w:space="0"/>
                    <w:right w:val="single" w:color="auto" w:sz="4" w:space="0"/>
                  </w:tcBorders>
                  <w:vAlign w:val="center"/>
                </w:tcPr>
                <w:p w14:paraId="3614FEBF">
                  <w:pPr>
                    <w:widowControl/>
                    <w:jc w:val="center"/>
                    <w:rPr>
                      <w:rFonts w:eastAsia="等线"/>
                      <w:color w:val="000000"/>
                      <w:kern w:val="0"/>
                    </w:rPr>
                  </w:pPr>
                  <w:r>
                    <w:rPr>
                      <w:rFonts w:eastAsia="等线"/>
                      <w:color w:val="000000"/>
                      <w:kern w:val="0"/>
                    </w:rPr>
                    <w:t>6.00</w:t>
                  </w:r>
                </w:p>
              </w:tc>
              <w:tc>
                <w:tcPr>
                  <w:tcW w:w="1504" w:type="dxa"/>
                  <w:tcBorders>
                    <w:top w:val="nil"/>
                    <w:left w:val="nil"/>
                    <w:bottom w:val="single" w:color="auto" w:sz="4" w:space="0"/>
                    <w:right w:val="single" w:color="auto" w:sz="4" w:space="0"/>
                  </w:tcBorders>
                  <w:vAlign w:val="center"/>
                </w:tcPr>
                <w:p w14:paraId="30D2DB56">
                  <w:pPr>
                    <w:widowControl/>
                    <w:jc w:val="center"/>
                    <w:rPr>
                      <w:rFonts w:eastAsia="等线"/>
                      <w:color w:val="000000"/>
                      <w:kern w:val="0"/>
                    </w:rPr>
                  </w:pPr>
                </w:p>
              </w:tc>
            </w:tr>
            <w:tr w14:paraId="1DEEC00D">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568355EC">
                  <w:pPr>
                    <w:widowControl/>
                    <w:jc w:val="center"/>
                    <w:rPr>
                      <w:rFonts w:eastAsia="等线"/>
                      <w:color w:val="000000"/>
                      <w:kern w:val="0"/>
                    </w:rPr>
                  </w:pPr>
                  <w:r>
                    <w:rPr>
                      <w:rFonts w:eastAsia="等线"/>
                      <w:color w:val="000000"/>
                      <w:kern w:val="0"/>
                    </w:rPr>
                    <w:t>2</w:t>
                  </w:r>
                </w:p>
              </w:tc>
              <w:tc>
                <w:tcPr>
                  <w:tcW w:w="3121" w:type="dxa"/>
                  <w:tcBorders>
                    <w:top w:val="nil"/>
                    <w:left w:val="nil"/>
                    <w:bottom w:val="single" w:color="auto" w:sz="4" w:space="0"/>
                    <w:right w:val="single" w:color="auto" w:sz="4" w:space="0"/>
                  </w:tcBorders>
                  <w:vAlign w:val="center"/>
                </w:tcPr>
                <w:p w14:paraId="1074EA32">
                  <w:pPr>
                    <w:widowControl/>
                    <w:jc w:val="center"/>
                    <w:rPr>
                      <w:rFonts w:eastAsia="等线"/>
                      <w:color w:val="000000"/>
                      <w:kern w:val="0"/>
                    </w:rPr>
                  </w:pPr>
                  <w:r>
                    <w:rPr>
                      <w:rFonts w:hint="eastAsia" w:ascii="宋体" w:hAnsi="宋体"/>
                      <w:color w:val="000000"/>
                      <w:kern w:val="0"/>
                    </w:rPr>
                    <w:t>应急处置药品设备等购置</w:t>
                  </w:r>
                </w:p>
              </w:tc>
              <w:tc>
                <w:tcPr>
                  <w:tcW w:w="709" w:type="dxa"/>
                  <w:tcBorders>
                    <w:top w:val="nil"/>
                    <w:left w:val="nil"/>
                    <w:bottom w:val="single" w:color="auto" w:sz="4" w:space="0"/>
                    <w:right w:val="single" w:color="auto" w:sz="4" w:space="0"/>
                  </w:tcBorders>
                  <w:vAlign w:val="center"/>
                </w:tcPr>
                <w:p w14:paraId="57D311E5">
                  <w:pPr>
                    <w:widowControl/>
                    <w:jc w:val="center"/>
                    <w:rPr>
                      <w:rFonts w:eastAsia="等线"/>
                      <w:color w:val="000000"/>
                      <w:kern w:val="0"/>
                    </w:rPr>
                  </w:pPr>
                  <w:r>
                    <w:rPr>
                      <w:rFonts w:hint="eastAsia" w:ascii="宋体" w:hAnsi="宋体"/>
                      <w:color w:val="000000"/>
                      <w:kern w:val="0"/>
                    </w:rPr>
                    <w:t>批</w:t>
                  </w:r>
                </w:p>
              </w:tc>
              <w:tc>
                <w:tcPr>
                  <w:tcW w:w="708" w:type="dxa"/>
                  <w:tcBorders>
                    <w:top w:val="nil"/>
                    <w:left w:val="nil"/>
                    <w:bottom w:val="single" w:color="auto" w:sz="4" w:space="0"/>
                    <w:right w:val="single" w:color="auto" w:sz="4" w:space="0"/>
                  </w:tcBorders>
                  <w:vAlign w:val="center"/>
                </w:tcPr>
                <w:p w14:paraId="46F251BC">
                  <w:pPr>
                    <w:widowControl/>
                    <w:jc w:val="center"/>
                    <w:rPr>
                      <w:rFonts w:eastAsia="等线"/>
                      <w:color w:val="000000"/>
                      <w:kern w:val="0"/>
                    </w:rPr>
                  </w:pPr>
                  <w:r>
                    <w:rPr>
                      <w:rFonts w:eastAsia="等线"/>
                      <w:color w:val="000000"/>
                      <w:kern w:val="0"/>
                    </w:rPr>
                    <w:t>1</w:t>
                  </w:r>
                </w:p>
              </w:tc>
              <w:tc>
                <w:tcPr>
                  <w:tcW w:w="851" w:type="dxa"/>
                  <w:tcBorders>
                    <w:top w:val="nil"/>
                    <w:left w:val="nil"/>
                    <w:bottom w:val="single" w:color="auto" w:sz="4" w:space="0"/>
                    <w:right w:val="single" w:color="auto" w:sz="4" w:space="0"/>
                  </w:tcBorders>
                  <w:vAlign w:val="center"/>
                </w:tcPr>
                <w:p w14:paraId="0B87AA2B">
                  <w:pPr>
                    <w:widowControl/>
                    <w:jc w:val="center"/>
                    <w:rPr>
                      <w:rFonts w:eastAsia="等线"/>
                      <w:color w:val="000000"/>
                      <w:kern w:val="0"/>
                    </w:rPr>
                  </w:pPr>
                  <w:r>
                    <w:rPr>
                      <w:rFonts w:eastAsia="等线"/>
                      <w:color w:val="000000"/>
                      <w:kern w:val="0"/>
                    </w:rPr>
                    <w:t>20000</w:t>
                  </w:r>
                </w:p>
              </w:tc>
              <w:tc>
                <w:tcPr>
                  <w:tcW w:w="992" w:type="dxa"/>
                  <w:tcBorders>
                    <w:top w:val="nil"/>
                    <w:left w:val="nil"/>
                    <w:bottom w:val="single" w:color="auto" w:sz="4" w:space="0"/>
                    <w:right w:val="single" w:color="auto" w:sz="4" w:space="0"/>
                  </w:tcBorders>
                  <w:vAlign w:val="center"/>
                </w:tcPr>
                <w:p w14:paraId="119D1D52">
                  <w:pPr>
                    <w:widowControl/>
                    <w:jc w:val="center"/>
                    <w:rPr>
                      <w:rFonts w:eastAsia="等线"/>
                      <w:color w:val="000000"/>
                      <w:kern w:val="0"/>
                    </w:rPr>
                  </w:pPr>
                  <w:r>
                    <w:rPr>
                      <w:rFonts w:eastAsia="等线"/>
                      <w:color w:val="000000"/>
                      <w:kern w:val="0"/>
                    </w:rPr>
                    <w:t>2.00</w:t>
                  </w:r>
                </w:p>
              </w:tc>
              <w:tc>
                <w:tcPr>
                  <w:tcW w:w="1504" w:type="dxa"/>
                  <w:tcBorders>
                    <w:top w:val="nil"/>
                    <w:left w:val="nil"/>
                    <w:bottom w:val="single" w:color="auto" w:sz="4" w:space="0"/>
                    <w:right w:val="single" w:color="auto" w:sz="4" w:space="0"/>
                  </w:tcBorders>
                  <w:vAlign w:val="center"/>
                </w:tcPr>
                <w:p w14:paraId="601F3662">
                  <w:pPr>
                    <w:widowControl/>
                    <w:jc w:val="center"/>
                    <w:rPr>
                      <w:rFonts w:eastAsia="等线"/>
                      <w:color w:val="000000"/>
                      <w:kern w:val="0"/>
                    </w:rPr>
                  </w:pPr>
                </w:p>
              </w:tc>
            </w:tr>
            <w:tr w14:paraId="05E6031A">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1C87C3A5">
                  <w:pPr>
                    <w:widowControl/>
                    <w:jc w:val="center"/>
                    <w:rPr>
                      <w:rFonts w:eastAsia="等线"/>
                      <w:color w:val="000000"/>
                      <w:kern w:val="0"/>
                    </w:rPr>
                  </w:pPr>
                  <w:r>
                    <w:rPr>
                      <w:rFonts w:eastAsia="等线"/>
                      <w:color w:val="000000"/>
                      <w:kern w:val="0"/>
                    </w:rPr>
                    <w:t>3</w:t>
                  </w:r>
                </w:p>
              </w:tc>
              <w:tc>
                <w:tcPr>
                  <w:tcW w:w="3121" w:type="dxa"/>
                  <w:tcBorders>
                    <w:top w:val="nil"/>
                    <w:left w:val="nil"/>
                    <w:bottom w:val="single" w:color="auto" w:sz="4" w:space="0"/>
                    <w:right w:val="single" w:color="auto" w:sz="4" w:space="0"/>
                  </w:tcBorders>
                  <w:vAlign w:val="center"/>
                </w:tcPr>
                <w:p w14:paraId="264DA9FA">
                  <w:pPr>
                    <w:widowControl/>
                    <w:jc w:val="center"/>
                    <w:rPr>
                      <w:rFonts w:eastAsia="等线"/>
                      <w:color w:val="000000"/>
                      <w:kern w:val="0"/>
                    </w:rPr>
                  </w:pPr>
                  <w:r>
                    <w:rPr>
                      <w:rFonts w:hint="eastAsia" w:ascii="宋体" w:hAnsi="宋体"/>
                      <w:color w:val="000000"/>
                      <w:kern w:val="0"/>
                    </w:rPr>
                    <w:t>光污染防治（植树）</w:t>
                  </w:r>
                </w:p>
              </w:tc>
              <w:tc>
                <w:tcPr>
                  <w:tcW w:w="709" w:type="dxa"/>
                  <w:tcBorders>
                    <w:top w:val="nil"/>
                    <w:left w:val="nil"/>
                    <w:bottom w:val="single" w:color="auto" w:sz="4" w:space="0"/>
                    <w:right w:val="single" w:color="auto" w:sz="4" w:space="0"/>
                  </w:tcBorders>
                  <w:vAlign w:val="center"/>
                </w:tcPr>
                <w:p w14:paraId="07F33476">
                  <w:pPr>
                    <w:widowControl/>
                    <w:jc w:val="center"/>
                    <w:rPr>
                      <w:rFonts w:eastAsia="等线"/>
                      <w:color w:val="000000"/>
                      <w:kern w:val="0"/>
                    </w:rPr>
                  </w:pPr>
                  <w:r>
                    <w:rPr>
                      <w:rFonts w:hint="eastAsia" w:ascii="宋体" w:hAnsi="宋体"/>
                      <w:color w:val="000000"/>
                      <w:kern w:val="0"/>
                    </w:rPr>
                    <w:t>项</w:t>
                  </w:r>
                </w:p>
              </w:tc>
              <w:tc>
                <w:tcPr>
                  <w:tcW w:w="708" w:type="dxa"/>
                  <w:tcBorders>
                    <w:top w:val="nil"/>
                    <w:left w:val="nil"/>
                    <w:bottom w:val="single" w:color="auto" w:sz="4" w:space="0"/>
                    <w:right w:val="single" w:color="auto" w:sz="4" w:space="0"/>
                  </w:tcBorders>
                  <w:vAlign w:val="center"/>
                </w:tcPr>
                <w:p w14:paraId="3E06B012">
                  <w:pPr>
                    <w:widowControl/>
                    <w:jc w:val="center"/>
                    <w:rPr>
                      <w:rFonts w:eastAsia="等线"/>
                      <w:color w:val="000000"/>
                      <w:kern w:val="0"/>
                    </w:rPr>
                  </w:pPr>
                  <w:r>
                    <w:rPr>
                      <w:rFonts w:eastAsia="等线"/>
                      <w:color w:val="000000"/>
                      <w:kern w:val="0"/>
                    </w:rPr>
                    <w:t>1</w:t>
                  </w:r>
                </w:p>
              </w:tc>
              <w:tc>
                <w:tcPr>
                  <w:tcW w:w="851" w:type="dxa"/>
                  <w:tcBorders>
                    <w:top w:val="nil"/>
                    <w:left w:val="nil"/>
                    <w:bottom w:val="single" w:color="auto" w:sz="4" w:space="0"/>
                    <w:right w:val="single" w:color="auto" w:sz="4" w:space="0"/>
                  </w:tcBorders>
                  <w:vAlign w:val="center"/>
                </w:tcPr>
                <w:p w14:paraId="7266F745">
                  <w:pPr>
                    <w:widowControl/>
                    <w:jc w:val="center"/>
                    <w:rPr>
                      <w:rFonts w:eastAsia="等线"/>
                      <w:color w:val="000000"/>
                      <w:kern w:val="0"/>
                    </w:rPr>
                  </w:pPr>
                  <w:r>
                    <w:rPr>
                      <w:rFonts w:eastAsia="等线"/>
                      <w:color w:val="000000"/>
                      <w:kern w:val="0"/>
                    </w:rPr>
                    <w:t>20000</w:t>
                  </w:r>
                </w:p>
              </w:tc>
              <w:tc>
                <w:tcPr>
                  <w:tcW w:w="992" w:type="dxa"/>
                  <w:tcBorders>
                    <w:top w:val="nil"/>
                    <w:left w:val="nil"/>
                    <w:bottom w:val="single" w:color="auto" w:sz="4" w:space="0"/>
                    <w:right w:val="single" w:color="auto" w:sz="4" w:space="0"/>
                  </w:tcBorders>
                  <w:vAlign w:val="center"/>
                </w:tcPr>
                <w:p w14:paraId="63E02880">
                  <w:pPr>
                    <w:widowControl/>
                    <w:jc w:val="center"/>
                    <w:rPr>
                      <w:rFonts w:eastAsia="等线"/>
                      <w:color w:val="000000"/>
                      <w:kern w:val="0"/>
                    </w:rPr>
                  </w:pPr>
                  <w:r>
                    <w:rPr>
                      <w:rFonts w:eastAsia="等线"/>
                      <w:color w:val="000000"/>
                      <w:kern w:val="0"/>
                    </w:rPr>
                    <w:t>2.00</w:t>
                  </w:r>
                </w:p>
              </w:tc>
              <w:tc>
                <w:tcPr>
                  <w:tcW w:w="1504" w:type="dxa"/>
                  <w:tcBorders>
                    <w:top w:val="nil"/>
                    <w:left w:val="nil"/>
                    <w:bottom w:val="single" w:color="auto" w:sz="4" w:space="0"/>
                    <w:right w:val="single" w:color="auto" w:sz="4" w:space="0"/>
                  </w:tcBorders>
                  <w:vAlign w:val="center"/>
                </w:tcPr>
                <w:p w14:paraId="287C2D91">
                  <w:pPr>
                    <w:widowControl/>
                    <w:jc w:val="center"/>
                    <w:rPr>
                      <w:rFonts w:eastAsia="等线"/>
                      <w:color w:val="000000"/>
                      <w:kern w:val="0"/>
                    </w:rPr>
                  </w:pPr>
                </w:p>
              </w:tc>
            </w:tr>
            <w:tr w14:paraId="3796348E">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2E9BC27D">
                  <w:pPr>
                    <w:widowControl/>
                    <w:jc w:val="center"/>
                    <w:rPr>
                      <w:rFonts w:eastAsia="等线"/>
                      <w:color w:val="000000"/>
                      <w:kern w:val="0"/>
                    </w:rPr>
                  </w:pPr>
                  <w:r>
                    <w:rPr>
                      <w:rFonts w:hint="eastAsia" w:ascii="宋体" w:hAnsi="宋体"/>
                      <w:color w:val="000000"/>
                      <w:kern w:val="0"/>
                    </w:rPr>
                    <w:t>六</w:t>
                  </w:r>
                </w:p>
              </w:tc>
              <w:tc>
                <w:tcPr>
                  <w:tcW w:w="3121" w:type="dxa"/>
                  <w:tcBorders>
                    <w:top w:val="nil"/>
                    <w:left w:val="nil"/>
                    <w:bottom w:val="single" w:color="auto" w:sz="4" w:space="0"/>
                    <w:right w:val="single" w:color="auto" w:sz="4" w:space="0"/>
                  </w:tcBorders>
                  <w:vAlign w:val="center"/>
                </w:tcPr>
                <w:p w14:paraId="48DAB353">
                  <w:pPr>
                    <w:widowControl/>
                    <w:jc w:val="center"/>
                    <w:rPr>
                      <w:rFonts w:eastAsia="等线"/>
                      <w:color w:val="000000"/>
                      <w:kern w:val="0"/>
                    </w:rPr>
                  </w:pPr>
                  <w:r>
                    <w:rPr>
                      <w:rFonts w:hint="eastAsia" w:ascii="宋体" w:hAnsi="宋体"/>
                      <w:color w:val="000000"/>
                      <w:kern w:val="0"/>
                    </w:rPr>
                    <w:t>环境监测费</w:t>
                  </w:r>
                </w:p>
              </w:tc>
              <w:tc>
                <w:tcPr>
                  <w:tcW w:w="709" w:type="dxa"/>
                  <w:tcBorders>
                    <w:top w:val="nil"/>
                    <w:left w:val="nil"/>
                    <w:bottom w:val="single" w:color="auto" w:sz="4" w:space="0"/>
                    <w:right w:val="single" w:color="auto" w:sz="4" w:space="0"/>
                  </w:tcBorders>
                  <w:vAlign w:val="center"/>
                </w:tcPr>
                <w:p w14:paraId="0A865101">
                  <w:pPr>
                    <w:widowControl/>
                    <w:jc w:val="center"/>
                    <w:rPr>
                      <w:rFonts w:eastAsia="等线"/>
                      <w:color w:val="000000"/>
                      <w:kern w:val="0"/>
                    </w:rPr>
                  </w:pPr>
                  <w:r>
                    <w:rPr>
                      <w:rFonts w:hint="eastAsia" w:ascii="宋体" w:hAnsi="宋体"/>
                      <w:color w:val="000000"/>
                      <w:kern w:val="0"/>
                    </w:rPr>
                    <w:t>项</w:t>
                  </w:r>
                </w:p>
              </w:tc>
              <w:tc>
                <w:tcPr>
                  <w:tcW w:w="708" w:type="dxa"/>
                  <w:tcBorders>
                    <w:top w:val="nil"/>
                    <w:left w:val="nil"/>
                    <w:bottom w:val="single" w:color="auto" w:sz="4" w:space="0"/>
                    <w:right w:val="single" w:color="auto" w:sz="4" w:space="0"/>
                  </w:tcBorders>
                  <w:vAlign w:val="center"/>
                </w:tcPr>
                <w:p w14:paraId="6DAB5820">
                  <w:pPr>
                    <w:widowControl/>
                    <w:jc w:val="center"/>
                    <w:rPr>
                      <w:rFonts w:eastAsia="等线"/>
                      <w:color w:val="000000"/>
                      <w:kern w:val="0"/>
                    </w:rPr>
                  </w:pPr>
                  <w:r>
                    <w:rPr>
                      <w:rFonts w:eastAsia="等线"/>
                      <w:color w:val="000000"/>
                      <w:kern w:val="0"/>
                    </w:rPr>
                    <w:t>1</w:t>
                  </w:r>
                </w:p>
              </w:tc>
              <w:tc>
                <w:tcPr>
                  <w:tcW w:w="851" w:type="dxa"/>
                  <w:tcBorders>
                    <w:top w:val="nil"/>
                    <w:left w:val="nil"/>
                    <w:bottom w:val="single" w:color="auto" w:sz="4" w:space="0"/>
                    <w:right w:val="single" w:color="auto" w:sz="4" w:space="0"/>
                  </w:tcBorders>
                  <w:vAlign w:val="center"/>
                </w:tcPr>
                <w:p w14:paraId="28DAE99C">
                  <w:pPr>
                    <w:widowControl/>
                    <w:jc w:val="center"/>
                    <w:rPr>
                      <w:rFonts w:eastAsia="等线"/>
                      <w:color w:val="000000"/>
                      <w:kern w:val="0"/>
                    </w:rPr>
                  </w:pPr>
                  <w:r>
                    <w:rPr>
                      <w:rFonts w:eastAsia="等线"/>
                      <w:color w:val="000000"/>
                      <w:kern w:val="0"/>
                    </w:rPr>
                    <w:t>100000</w:t>
                  </w:r>
                </w:p>
              </w:tc>
              <w:tc>
                <w:tcPr>
                  <w:tcW w:w="992" w:type="dxa"/>
                  <w:tcBorders>
                    <w:top w:val="nil"/>
                    <w:left w:val="nil"/>
                    <w:bottom w:val="single" w:color="auto" w:sz="4" w:space="0"/>
                    <w:right w:val="single" w:color="auto" w:sz="4" w:space="0"/>
                  </w:tcBorders>
                  <w:vAlign w:val="center"/>
                </w:tcPr>
                <w:p w14:paraId="6096D681">
                  <w:pPr>
                    <w:widowControl/>
                    <w:jc w:val="center"/>
                    <w:rPr>
                      <w:rFonts w:eastAsia="等线"/>
                      <w:color w:val="000000"/>
                      <w:kern w:val="0"/>
                    </w:rPr>
                  </w:pPr>
                  <w:r>
                    <w:rPr>
                      <w:rFonts w:eastAsia="等线"/>
                      <w:color w:val="000000"/>
                      <w:kern w:val="0"/>
                    </w:rPr>
                    <w:t>10.00</w:t>
                  </w:r>
                </w:p>
              </w:tc>
              <w:tc>
                <w:tcPr>
                  <w:tcW w:w="1504" w:type="dxa"/>
                  <w:tcBorders>
                    <w:top w:val="nil"/>
                    <w:left w:val="nil"/>
                    <w:bottom w:val="single" w:color="auto" w:sz="4" w:space="0"/>
                    <w:right w:val="single" w:color="auto" w:sz="4" w:space="0"/>
                  </w:tcBorders>
                  <w:vAlign w:val="center"/>
                </w:tcPr>
                <w:p w14:paraId="5B66FB25">
                  <w:pPr>
                    <w:widowControl/>
                    <w:jc w:val="center"/>
                    <w:rPr>
                      <w:rFonts w:eastAsia="等线"/>
                      <w:color w:val="000000"/>
                      <w:kern w:val="0"/>
                    </w:rPr>
                  </w:pPr>
                </w:p>
              </w:tc>
            </w:tr>
            <w:tr w14:paraId="493AF0F6">
              <w:tblPrEx>
                <w:tblCellMar>
                  <w:top w:w="0" w:type="dxa"/>
                  <w:left w:w="108" w:type="dxa"/>
                  <w:bottom w:w="0" w:type="dxa"/>
                  <w:right w:w="108" w:type="dxa"/>
                </w:tblCellMar>
              </w:tblPrEx>
              <w:trPr>
                <w:trHeight w:val="283" w:hRule="atLeast"/>
                <w:jc w:val="center"/>
              </w:trPr>
              <w:tc>
                <w:tcPr>
                  <w:tcW w:w="3809" w:type="dxa"/>
                  <w:gridSpan w:val="2"/>
                  <w:tcBorders>
                    <w:top w:val="single" w:color="auto" w:sz="4" w:space="0"/>
                    <w:left w:val="single" w:color="auto" w:sz="4" w:space="0"/>
                    <w:bottom w:val="single" w:color="auto" w:sz="4" w:space="0"/>
                    <w:right w:val="single" w:color="auto" w:sz="4" w:space="0"/>
                  </w:tcBorders>
                  <w:vAlign w:val="center"/>
                </w:tcPr>
                <w:p w14:paraId="6B3748CE">
                  <w:pPr>
                    <w:widowControl/>
                    <w:jc w:val="center"/>
                    <w:rPr>
                      <w:rFonts w:eastAsia="等线"/>
                      <w:color w:val="000000"/>
                      <w:kern w:val="0"/>
                    </w:rPr>
                  </w:pPr>
                  <w:r>
                    <w:rPr>
                      <w:rFonts w:hint="eastAsia" w:ascii="宋体" w:hAnsi="宋体"/>
                      <w:color w:val="000000"/>
                      <w:kern w:val="0"/>
                    </w:rPr>
                    <w:t>一至六项合计</w:t>
                  </w:r>
                </w:p>
              </w:tc>
              <w:tc>
                <w:tcPr>
                  <w:tcW w:w="709" w:type="dxa"/>
                  <w:tcBorders>
                    <w:top w:val="nil"/>
                    <w:left w:val="nil"/>
                    <w:bottom w:val="single" w:color="auto" w:sz="4" w:space="0"/>
                    <w:right w:val="single" w:color="auto" w:sz="4" w:space="0"/>
                  </w:tcBorders>
                  <w:vAlign w:val="center"/>
                </w:tcPr>
                <w:p w14:paraId="01ADDEDA">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68248C20">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3A2180E6">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67C03C22">
                  <w:pPr>
                    <w:widowControl/>
                    <w:jc w:val="center"/>
                    <w:rPr>
                      <w:rFonts w:eastAsia="等线"/>
                      <w:color w:val="000000"/>
                      <w:kern w:val="0"/>
                    </w:rPr>
                  </w:pPr>
                  <w:r>
                    <w:rPr>
                      <w:rFonts w:eastAsia="等线"/>
                      <w:color w:val="000000"/>
                      <w:kern w:val="0"/>
                    </w:rPr>
                    <w:t>85.80</w:t>
                  </w:r>
                </w:p>
              </w:tc>
              <w:tc>
                <w:tcPr>
                  <w:tcW w:w="1504" w:type="dxa"/>
                  <w:tcBorders>
                    <w:top w:val="nil"/>
                    <w:left w:val="nil"/>
                    <w:bottom w:val="single" w:color="auto" w:sz="4" w:space="0"/>
                    <w:right w:val="single" w:color="auto" w:sz="4" w:space="0"/>
                  </w:tcBorders>
                  <w:vAlign w:val="center"/>
                </w:tcPr>
                <w:p w14:paraId="2B258444">
                  <w:pPr>
                    <w:widowControl/>
                    <w:jc w:val="center"/>
                    <w:rPr>
                      <w:rFonts w:eastAsia="等线"/>
                      <w:color w:val="000000"/>
                      <w:kern w:val="0"/>
                    </w:rPr>
                  </w:pPr>
                </w:p>
              </w:tc>
            </w:tr>
            <w:tr w14:paraId="71E6B6D7">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18B2A16F">
                  <w:pPr>
                    <w:widowControl/>
                    <w:jc w:val="center"/>
                    <w:rPr>
                      <w:rFonts w:eastAsia="等线"/>
                      <w:color w:val="000000"/>
                      <w:kern w:val="0"/>
                    </w:rPr>
                  </w:pPr>
                  <w:r>
                    <w:rPr>
                      <w:rFonts w:hint="eastAsia" w:ascii="宋体" w:hAnsi="宋体"/>
                      <w:color w:val="000000"/>
                      <w:kern w:val="0"/>
                    </w:rPr>
                    <w:t>七</w:t>
                  </w:r>
                </w:p>
              </w:tc>
              <w:tc>
                <w:tcPr>
                  <w:tcW w:w="3121" w:type="dxa"/>
                  <w:tcBorders>
                    <w:top w:val="nil"/>
                    <w:left w:val="nil"/>
                    <w:bottom w:val="single" w:color="auto" w:sz="4" w:space="0"/>
                    <w:right w:val="single" w:color="auto" w:sz="4" w:space="0"/>
                  </w:tcBorders>
                  <w:vAlign w:val="center"/>
                </w:tcPr>
                <w:p w14:paraId="75D5D1BE">
                  <w:pPr>
                    <w:widowControl/>
                    <w:jc w:val="center"/>
                    <w:rPr>
                      <w:rFonts w:eastAsia="等线"/>
                      <w:color w:val="000000"/>
                      <w:kern w:val="0"/>
                    </w:rPr>
                  </w:pPr>
                  <w:r>
                    <w:rPr>
                      <w:rFonts w:hint="eastAsia" w:ascii="宋体" w:hAnsi="宋体"/>
                      <w:color w:val="000000"/>
                      <w:kern w:val="0"/>
                    </w:rPr>
                    <w:t>独立费用</w:t>
                  </w:r>
                </w:p>
              </w:tc>
              <w:tc>
                <w:tcPr>
                  <w:tcW w:w="709" w:type="dxa"/>
                  <w:tcBorders>
                    <w:top w:val="nil"/>
                    <w:left w:val="nil"/>
                    <w:bottom w:val="single" w:color="auto" w:sz="4" w:space="0"/>
                    <w:right w:val="single" w:color="auto" w:sz="4" w:space="0"/>
                  </w:tcBorders>
                  <w:vAlign w:val="center"/>
                </w:tcPr>
                <w:p w14:paraId="22DCAD8D">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7DD9B22C">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43C222EB">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0E3D503A">
                  <w:pPr>
                    <w:widowControl/>
                    <w:jc w:val="center"/>
                    <w:rPr>
                      <w:rFonts w:eastAsia="等线"/>
                      <w:color w:val="000000"/>
                      <w:kern w:val="0"/>
                    </w:rPr>
                  </w:pPr>
                  <w:r>
                    <w:rPr>
                      <w:rFonts w:eastAsia="等线"/>
                      <w:color w:val="000000"/>
                    </w:rPr>
                    <w:t xml:space="preserve">73.23 </w:t>
                  </w:r>
                </w:p>
              </w:tc>
              <w:tc>
                <w:tcPr>
                  <w:tcW w:w="1504" w:type="dxa"/>
                  <w:tcBorders>
                    <w:top w:val="nil"/>
                    <w:left w:val="nil"/>
                    <w:bottom w:val="single" w:color="auto" w:sz="4" w:space="0"/>
                    <w:right w:val="single" w:color="auto" w:sz="4" w:space="0"/>
                  </w:tcBorders>
                  <w:vAlign w:val="center"/>
                </w:tcPr>
                <w:p w14:paraId="48563329">
                  <w:pPr>
                    <w:widowControl/>
                    <w:jc w:val="center"/>
                    <w:rPr>
                      <w:rFonts w:eastAsia="等线"/>
                      <w:color w:val="000000"/>
                      <w:kern w:val="0"/>
                    </w:rPr>
                  </w:pPr>
                </w:p>
              </w:tc>
            </w:tr>
            <w:tr w14:paraId="44396E3C">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7C10BB49">
                  <w:pPr>
                    <w:widowControl/>
                    <w:jc w:val="center"/>
                    <w:rPr>
                      <w:rFonts w:eastAsia="等线"/>
                      <w:color w:val="000000"/>
                      <w:kern w:val="0"/>
                    </w:rPr>
                  </w:pPr>
                  <w:r>
                    <w:rPr>
                      <w:rFonts w:eastAsia="等线"/>
                      <w:color w:val="000000"/>
                      <w:kern w:val="0"/>
                    </w:rPr>
                    <w:t>1</w:t>
                  </w:r>
                </w:p>
              </w:tc>
              <w:tc>
                <w:tcPr>
                  <w:tcW w:w="3121" w:type="dxa"/>
                  <w:tcBorders>
                    <w:top w:val="nil"/>
                    <w:left w:val="nil"/>
                    <w:bottom w:val="single" w:color="auto" w:sz="4" w:space="0"/>
                    <w:right w:val="single" w:color="auto" w:sz="4" w:space="0"/>
                  </w:tcBorders>
                  <w:vAlign w:val="center"/>
                </w:tcPr>
                <w:p w14:paraId="3B069DD3">
                  <w:pPr>
                    <w:widowControl/>
                    <w:jc w:val="center"/>
                    <w:rPr>
                      <w:rFonts w:eastAsia="等线"/>
                      <w:color w:val="000000"/>
                      <w:kern w:val="0"/>
                    </w:rPr>
                  </w:pPr>
                  <w:r>
                    <w:rPr>
                      <w:rFonts w:hint="eastAsia" w:ascii="宋体" w:hAnsi="宋体"/>
                      <w:color w:val="000000"/>
                      <w:kern w:val="0"/>
                    </w:rPr>
                    <w:t>项目建设管理费</w:t>
                  </w:r>
                </w:p>
              </w:tc>
              <w:tc>
                <w:tcPr>
                  <w:tcW w:w="709" w:type="dxa"/>
                  <w:tcBorders>
                    <w:top w:val="nil"/>
                    <w:left w:val="nil"/>
                    <w:bottom w:val="single" w:color="auto" w:sz="4" w:space="0"/>
                    <w:right w:val="single" w:color="auto" w:sz="4" w:space="0"/>
                  </w:tcBorders>
                  <w:vAlign w:val="center"/>
                </w:tcPr>
                <w:p w14:paraId="4E681C55">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739ECC49">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787AEC1F">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7BD99BC7">
                  <w:pPr>
                    <w:widowControl/>
                    <w:jc w:val="center"/>
                    <w:rPr>
                      <w:rFonts w:eastAsia="等线"/>
                      <w:color w:val="000000"/>
                      <w:kern w:val="0"/>
                    </w:rPr>
                  </w:pPr>
                  <w:r>
                    <w:rPr>
                      <w:rFonts w:eastAsia="等线"/>
                      <w:color w:val="000000"/>
                    </w:rPr>
                    <w:t xml:space="preserve">10.15 </w:t>
                  </w:r>
                </w:p>
              </w:tc>
              <w:tc>
                <w:tcPr>
                  <w:tcW w:w="1504" w:type="dxa"/>
                  <w:tcBorders>
                    <w:top w:val="nil"/>
                    <w:left w:val="nil"/>
                    <w:bottom w:val="single" w:color="auto" w:sz="4" w:space="0"/>
                    <w:right w:val="single" w:color="auto" w:sz="4" w:space="0"/>
                  </w:tcBorders>
                  <w:vAlign w:val="center"/>
                </w:tcPr>
                <w:p w14:paraId="14C12201">
                  <w:pPr>
                    <w:widowControl/>
                    <w:jc w:val="center"/>
                    <w:rPr>
                      <w:rFonts w:eastAsia="等线"/>
                      <w:color w:val="000000"/>
                      <w:kern w:val="0"/>
                    </w:rPr>
                  </w:pPr>
                </w:p>
              </w:tc>
            </w:tr>
            <w:tr w14:paraId="7BE1ED29">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noWrap/>
                  <w:vAlign w:val="center"/>
                </w:tcPr>
                <w:p w14:paraId="109DAD60">
                  <w:pPr>
                    <w:widowControl/>
                    <w:jc w:val="center"/>
                    <w:rPr>
                      <w:rFonts w:eastAsia="等线"/>
                      <w:color w:val="000000"/>
                      <w:kern w:val="0"/>
                    </w:rPr>
                  </w:pPr>
                  <w:r>
                    <w:rPr>
                      <w:rFonts w:eastAsia="等线"/>
                      <w:color w:val="000000"/>
                      <w:kern w:val="0"/>
                    </w:rPr>
                    <w:t>1.1</w:t>
                  </w:r>
                </w:p>
              </w:tc>
              <w:tc>
                <w:tcPr>
                  <w:tcW w:w="3121" w:type="dxa"/>
                  <w:tcBorders>
                    <w:top w:val="nil"/>
                    <w:left w:val="nil"/>
                    <w:bottom w:val="single" w:color="auto" w:sz="4" w:space="0"/>
                    <w:right w:val="single" w:color="auto" w:sz="4" w:space="0"/>
                  </w:tcBorders>
                  <w:vAlign w:val="center"/>
                </w:tcPr>
                <w:p w14:paraId="3E0AF52B">
                  <w:pPr>
                    <w:widowControl/>
                    <w:jc w:val="center"/>
                    <w:rPr>
                      <w:rFonts w:eastAsia="等线"/>
                      <w:color w:val="000000"/>
                      <w:kern w:val="0"/>
                    </w:rPr>
                  </w:pPr>
                  <w:r>
                    <w:rPr>
                      <w:rFonts w:hint="eastAsia" w:ascii="宋体" w:hAnsi="宋体"/>
                      <w:color w:val="000000"/>
                      <w:kern w:val="0"/>
                    </w:rPr>
                    <w:t>环境工程建设管理费</w:t>
                  </w:r>
                </w:p>
              </w:tc>
              <w:tc>
                <w:tcPr>
                  <w:tcW w:w="709" w:type="dxa"/>
                  <w:tcBorders>
                    <w:top w:val="nil"/>
                    <w:left w:val="nil"/>
                    <w:bottom w:val="single" w:color="auto" w:sz="4" w:space="0"/>
                    <w:right w:val="single" w:color="auto" w:sz="4" w:space="0"/>
                  </w:tcBorders>
                  <w:vAlign w:val="center"/>
                </w:tcPr>
                <w:p w14:paraId="38BF0467">
                  <w:pPr>
                    <w:widowControl/>
                    <w:jc w:val="center"/>
                    <w:rPr>
                      <w:rFonts w:eastAsia="等线"/>
                      <w:color w:val="000000"/>
                      <w:kern w:val="0"/>
                    </w:rPr>
                  </w:pPr>
                  <w:r>
                    <w:rPr>
                      <w:rFonts w:eastAsia="等线"/>
                      <w:color w:val="000000"/>
                      <w:kern w:val="0"/>
                    </w:rPr>
                    <w:t>%</w:t>
                  </w:r>
                </w:p>
              </w:tc>
              <w:tc>
                <w:tcPr>
                  <w:tcW w:w="708" w:type="dxa"/>
                  <w:tcBorders>
                    <w:top w:val="nil"/>
                    <w:left w:val="nil"/>
                    <w:bottom w:val="single" w:color="auto" w:sz="4" w:space="0"/>
                    <w:right w:val="single" w:color="auto" w:sz="4" w:space="0"/>
                  </w:tcBorders>
                  <w:vAlign w:val="center"/>
                </w:tcPr>
                <w:p w14:paraId="48024AA2">
                  <w:pPr>
                    <w:widowControl/>
                    <w:jc w:val="center"/>
                    <w:rPr>
                      <w:rFonts w:eastAsia="等线"/>
                      <w:color w:val="000000"/>
                      <w:kern w:val="0"/>
                    </w:rPr>
                  </w:pPr>
                  <w:r>
                    <w:rPr>
                      <w:rFonts w:eastAsia="等线"/>
                      <w:color w:val="000000"/>
                      <w:kern w:val="0"/>
                    </w:rPr>
                    <w:t>2.5</w:t>
                  </w:r>
                </w:p>
              </w:tc>
              <w:tc>
                <w:tcPr>
                  <w:tcW w:w="851" w:type="dxa"/>
                  <w:tcBorders>
                    <w:top w:val="nil"/>
                    <w:left w:val="nil"/>
                    <w:bottom w:val="single" w:color="auto" w:sz="4" w:space="0"/>
                    <w:right w:val="single" w:color="auto" w:sz="4" w:space="0"/>
                  </w:tcBorders>
                  <w:vAlign w:val="center"/>
                </w:tcPr>
                <w:p w14:paraId="5EBF805D">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1DC81723">
                  <w:pPr>
                    <w:widowControl/>
                    <w:jc w:val="center"/>
                    <w:rPr>
                      <w:rFonts w:eastAsia="等线"/>
                      <w:color w:val="000000"/>
                      <w:kern w:val="0"/>
                    </w:rPr>
                  </w:pPr>
                  <w:r>
                    <w:rPr>
                      <w:rFonts w:eastAsia="等线"/>
                      <w:color w:val="000000"/>
                    </w:rPr>
                    <w:t xml:space="preserve">2.15 </w:t>
                  </w:r>
                </w:p>
              </w:tc>
              <w:tc>
                <w:tcPr>
                  <w:tcW w:w="1504" w:type="dxa"/>
                  <w:tcBorders>
                    <w:top w:val="nil"/>
                    <w:left w:val="nil"/>
                    <w:bottom w:val="single" w:color="auto" w:sz="4" w:space="0"/>
                    <w:right w:val="single" w:color="auto" w:sz="4" w:space="0"/>
                  </w:tcBorders>
                  <w:vAlign w:val="center"/>
                </w:tcPr>
                <w:p w14:paraId="5A0E4EDD">
                  <w:pPr>
                    <w:widowControl/>
                    <w:jc w:val="center"/>
                    <w:rPr>
                      <w:rFonts w:eastAsia="等线"/>
                      <w:color w:val="000000"/>
                      <w:kern w:val="0"/>
                    </w:rPr>
                  </w:pPr>
                </w:p>
              </w:tc>
            </w:tr>
            <w:tr w14:paraId="67C2437D">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3D7B845A">
                  <w:pPr>
                    <w:widowControl/>
                    <w:jc w:val="center"/>
                    <w:rPr>
                      <w:rFonts w:eastAsia="等线"/>
                      <w:color w:val="000000"/>
                      <w:kern w:val="0"/>
                    </w:rPr>
                  </w:pPr>
                  <w:r>
                    <w:rPr>
                      <w:rFonts w:eastAsia="等线"/>
                      <w:color w:val="000000"/>
                      <w:kern w:val="0"/>
                    </w:rPr>
                    <w:t>1.2</w:t>
                  </w:r>
                </w:p>
              </w:tc>
              <w:tc>
                <w:tcPr>
                  <w:tcW w:w="3121" w:type="dxa"/>
                  <w:tcBorders>
                    <w:top w:val="nil"/>
                    <w:left w:val="nil"/>
                    <w:bottom w:val="single" w:color="auto" w:sz="4" w:space="0"/>
                    <w:right w:val="single" w:color="auto" w:sz="4" w:space="0"/>
                  </w:tcBorders>
                  <w:vAlign w:val="center"/>
                </w:tcPr>
                <w:p w14:paraId="5F02D145">
                  <w:pPr>
                    <w:widowControl/>
                    <w:jc w:val="center"/>
                    <w:rPr>
                      <w:rFonts w:eastAsia="等线"/>
                      <w:color w:val="000000"/>
                      <w:kern w:val="0"/>
                    </w:rPr>
                  </w:pPr>
                  <w:r>
                    <w:rPr>
                      <w:rFonts w:hint="eastAsia" w:ascii="宋体" w:hAnsi="宋体"/>
                      <w:color w:val="000000"/>
                      <w:kern w:val="0"/>
                    </w:rPr>
                    <w:t>环境工程监理费</w:t>
                  </w:r>
                </w:p>
              </w:tc>
              <w:tc>
                <w:tcPr>
                  <w:tcW w:w="709" w:type="dxa"/>
                  <w:tcBorders>
                    <w:top w:val="nil"/>
                    <w:left w:val="nil"/>
                    <w:bottom w:val="single" w:color="auto" w:sz="4" w:space="0"/>
                    <w:right w:val="single" w:color="auto" w:sz="4" w:space="0"/>
                  </w:tcBorders>
                  <w:vAlign w:val="center"/>
                </w:tcPr>
                <w:p w14:paraId="2B0A30CC">
                  <w:pPr>
                    <w:widowControl/>
                    <w:jc w:val="center"/>
                    <w:rPr>
                      <w:rFonts w:eastAsia="等线"/>
                      <w:color w:val="000000"/>
                      <w:kern w:val="0"/>
                    </w:rPr>
                  </w:pPr>
                  <w:r>
                    <w:rPr>
                      <w:rFonts w:hint="eastAsia" w:ascii="宋体" w:hAnsi="宋体"/>
                      <w:color w:val="000000"/>
                      <w:kern w:val="0"/>
                    </w:rPr>
                    <w:t>人</w:t>
                  </w:r>
                  <w:r>
                    <w:rPr>
                      <w:rFonts w:eastAsia="等线"/>
                      <w:color w:val="000000"/>
                      <w:kern w:val="0"/>
                    </w:rPr>
                    <w:t>·</w:t>
                  </w:r>
                  <w:r>
                    <w:rPr>
                      <w:rFonts w:hint="eastAsia" w:ascii="宋体" w:hAnsi="宋体"/>
                      <w:color w:val="000000"/>
                      <w:kern w:val="0"/>
                    </w:rPr>
                    <w:t>年</w:t>
                  </w:r>
                </w:p>
              </w:tc>
              <w:tc>
                <w:tcPr>
                  <w:tcW w:w="708" w:type="dxa"/>
                  <w:tcBorders>
                    <w:top w:val="nil"/>
                    <w:left w:val="nil"/>
                    <w:bottom w:val="single" w:color="auto" w:sz="4" w:space="0"/>
                    <w:right w:val="single" w:color="auto" w:sz="4" w:space="0"/>
                  </w:tcBorders>
                  <w:vAlign w:val="center"/>
                </w:tcPr>
                <w:p w14:paraId="2A859BA4">
                  <w:pPr>
                    <w:widowControl/>
                    <w:jc w:val="center"/>
                    <w:rPr>
                      <w:rFonts w:eastAsia="等线"/>
                      <w:color w:val="000000"/>
                      <w:kern w:val="0"/>
                    </w:rPr>
                  </w:pPr>
                  <w:r>
                    <w:rPr>
                      <w:rFonts w:eastAsia="等线"/>
                      <w:color w:val="000000"/>
                      <w:kern w:val="0"/>
                    </w:rPr>
                    <w:t>1</w:t>
                  </w:r>
                </w:p>
              </w:tc>
              <w:tc>
                <w:tcPr>
                  <w:tcW w:w="851" w:type="dxa"/>
                  <w:tcBorders>
                    <w:top w:val="nil"/>
                    <w:left w:val="nil"/>
                    <w:bottom w:val="single" w:color="auto" w:sz="4" w:space="0"/>
                    <w:right w:val="single" w:color="auto" w:sz="4" w:space="0"/>
                  </w:tcBorders>
                  <w:vAlign w:val="center"/>
                </w:tcPr>
                <w:p w14:paraId="298535BD">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19A3B314">
                  <w:pPr>
                    <w:widowControl/>
                    <w:jc w:val="center"/>
                    <w:rPr>
                      <w:rFonts w:eastAsia="等线"/>
                      <w:color w:val="000000"/>
                      <w:kern w:val="0"/>
                    </w:rPr>
                  </w:pPr>
                  <w:r>
                    <w:rPr>
                      <w:rFonts w:eastAsia="等线"/>
                      <w:color w:val="000000"/>
                    </w:rPr>
                    <w:t xml:space="preserve">8.00 </w:t>
                  </w:r>
                </w:p>
              </w:tc>
              <w:tc>
                <w:tcPr>
                  <w:tcW w:w="1504" w:type="dxa"/>
                  <w:tcBorders>
                    <w:top w:val="nil"/>
                    <w:left w:val="nil"/>
                    <w:bottom w:val="single" w:color="auto" w:sz="4" w:space="0"/>
                    <w:right w:val="single" w:color="auto" w:sz="4" w:space="0"/>
                  </w:tcBorders>
                  <w:vAlign w:val="center"/>
                </w:tcPr>
                <w:p w14:paraId="71F40981">
                  <w:pPr>
                    <w:widowControl/>
                    <w:jc w:val="center"/>
                    <w:rPr>
                      <w:rFonts w:eastAsia="等线"/>
                      <w:color w:val="000000"/>
                      <w:kern w:val="0"/>
                    </w:rPr>
                  </w:pPr>
                </w:p>
              </w:tc>
            </w:tr>
            <w:tr w14:paraId="4E87517F">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1EFDB516">
                  <w:pPr>
                    <w:widowControl/>
                    <w:jc w:val="center"/>
                    <w:rPr>
                      <w:rFonts w:eastAsia="等线"/>
                      <w:color w:val="000000"/>
                      <w:kern w:val="0"/>
                    </w:rPr>
                  </w:pPr>
                  <w:r>
                    <w:rPr>
                      <w:rFonts w:eastAsia="等线"/>
                      <w:color w:val="000000"/>
                      <w:kern w:val="0"/>
                    </w:rPr>
                    <w:t>2</w:t>
                  </w:r>
                </w:p>
              </w:tc>
              <w:tc>
                <w:tcPr>
                  <w:tcW w:w="3121" w:type="dxa"/>
                  <w:tcBorders>
                    <w:top w:val="nil"/>
                    <w:left w:val="nil"/>
                    <w:bottom w:val="single" w:color="auto" w:sz="4" w:space="0"/>
                    <w:right w:val="single" w:color="auto" w:sz="4" w:space="0"/>
                  </w:tcBorders>
                  <w:vAlign w:val="center"/>
                </w:tcPr>
                <w:p w14:paraId="77454EC9">
                  <w:pPr>
                    <w:widowControl/>
                    <w:jc w:val="center"/>
                    <w:rPr>
                      <w:rFonts w:eastAsia="等线"/>
                      <w:color w:val="000000"/>
                      <w:kern w:val="0"/>
                    </w:rPr>
                  </w:pPr>
                  <w:r>
                    <w:rPr>
                      <w:rFonts w:hint="eastAsia" w:ascii="宋体" w:hAnsi="宋体"/>
                      <w:color w:val="000000"/>
                      <w:kern w:val="0"/>
                    </w:rPr>
                    <w:t>咨询服务费</w:t>
                  </w:r>
                </w:p>
              </w:tc>
              <w:tc>
                <w:tcPr>
                  <w:tcW w:w="709" w:type="dxa"/>
                  <w:tcBorders>
                    <w:top w:val="nil"/>
                    <w:left w:val="nil"/>
                    <w:bottom w:val="single" w:color="auto" w:sz="4" w:space="0"/>
                    <w:right w:val="single" w:color="auto" w:sz="4" w:space="0"/>
                  </w:tcBorders>
                  <w:vAlign w:val="center"/>
                </w:tcPr>
                <w:p w14:paraId="7F71CA71">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7F8DC541">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0C512D6C">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055A00C2">
                  <w:pPr>
                    <w:widowControl/>
                    <w:jc w:val="center"/>
                    <w:rPr>
                      <w:rFonts w:eastAsia="等线"/>
                      <w:color w:val="000000"/>
                      <w:kern w:val="0"/>
                    </w:rPr>
                  </w:pPr>
                  <w:r>
                    <w:rPr>
                      <w:rFonts w:eastAsia="等线"/>
                      <w:color w:val="000000"/>
                    </w:rPr>
                    <w:t xml:space="preserve">63.00 </w:t>
                  </w:r>
                </w:p>
              </w:tc>
              <w:tc>
                <w:tcPr>
                  <w:tcW w:w="1504" w:type="dxa"/>
                  <w:tcBorders>
                    <w:top w:val="nil"/>
                    <w:left w:val="nil"/>
                    <w:bottom w:val="single" w:color="auto" w:sz="4" w:space="0"/>
                    <w:right w:val="single" w:color="auto" w:sz="4" w:space="0"/>
                  </w:tcBorders>
                  <w:vAlign w:val="center"/>
                </w:tcPr>
                <w:p w14:paraId="18354350">
                  <w:pPr>
                    <w:widowControl/>
                    <w:jc w:val="center"/>
                    <w:rPr>
                      <w:rFonts w:eastAsia="等线"/>
                      <w:color w:val="000000"/>
                      <w:kern w:val="0"/>
                    </w:rPr>
                  </w:pPr>
                </w:p>
              </w:tc>
            </w:tr>
            <w:tr w14:paraId="4E1B6D18">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noWrap/>
                  <w:vAlign w:val="center"/>
                </w:tcPr>
                <w:p w14:paraId="2B6418BB">
                  <w:pPr>
                    <w:widowControl/>
                    <w:jc w:val="center"/>
                    <w:rPr>
                      <w:rFonts w:eastAsia="等线"/>
                      <w:color w:val="000000"/>
                      <w:kern w:val="0"/>
                    </w:rPr>
                  </w:pPr>
                  <w:r>
                    <w:rPr>
                      <w:rFonts w:eastAsia="等线"/>
                      <w:color w:val="000000"/>
                      <w:kern w:val="0"/>
                    </w:rPr>
                    <w:t>2.1</w:t>
                  </w:r>
                </w:p>
              </w:tc>
              <w:tc>
                <w:tcPr>
                  <w:tcW w:w="3121" w:type="dxa"/>
                  <w:tcBorders>
                    <w:top w:val="nil"/>
                    <w:left w:val="nil"/>
                    <w:bottom w:val="single" w:color="auto" w:sz="4" w:space="0"/>
                    <w:right w:val="single" w:color="auto" w:sz="4" w:space="0"/>
                  </w:tcBorders>
                  <w:vAlign w:val="center"/>
                </w:tcPr>
                <w:p w14:paraId="6591B4DB">
                  <w:pPr>
                    <w:widowControl/>
                    <w:jc w:val="center"/>
                    <w:rPr>
                      <w:rFonts w:eastAsia="等线"/>
                      <w:color w:val="000000"/>
                      <w:kern w:val="0"/>
                    </w:rPr>
                  </w:pPr>
                  <w:r>
                    <w:rPr>
                      <w:rFonts w:hint="eastAsia" w:ascii="宋体" w:hAnsi="宋体"/>
                      <w:color w:val="000000"/>
                      <w:kern w:val="0"/>
                    </w:rPr>
                    <w:t>环评报告编制费</w:t>
                  </w:r>
                </w:p>
              </w:tc>
              <w:tc>
                <w:tcPr>
                  <w:tcW w:w="709" w:type="dxa"/>
                  <w:tcBorders>
                    <w:top w:val="nil"/>
                    <w:left w:val="nil"/>
                    <w:bottom w:val="single" w:color="auto" w:sz="4" w:space="0"/>
                    <w:right w:val="single" w:color="auto" w:sz="4" w:space="0"/>
                  </w:tcBorders>
                  <w:vAlign w:val="center"/>
                </w:tcPr>
                <w:p w14:paraId="0D622D51">
                  <w:pPr>
                    <w:widowControl/>
                    <w:jc w:val="center"/>
                    <w:rPr>
                      <w:rFonts w:eastAsia="等线"/>
                      <w:color w:val="000000"/>
                      <w:kern w:val="0"/>
                    </w:rPr>
                  </w:pPr>
                  <w:r>
                    <w:rPr>
                      <w:rFonts w:hint="eastAsia" w:ascii="宋体" w:hAnsi="宋体"/>
                      <w:color w:val="000000"/>
                      <w:kern w:val="0"/>
                    </w:rPr>
                    <w:t>项</w:t>
                  </w:r>
                </w:p>
              </w:tc>
              <w:tc>
                <w:tcPr>
                  <w:tcW w:w="708" w:type="dxa"/>
                  <w:tcBorders>
                    <w:top w:val="nil"/>
                    <w:left w:val="nil"/>
                    <w:bottom w:val="single" w:color="auto" w:sz="4" w:space="0"/>
                    <w:right w:val="single" w:color="auto" w:sz="4" w:space="0"/>
                  </w:tcBorders>
                  <w:vAlign w:val="center"/>
                </w:tcPr>
                <w:p w14:paraId="04972C39">
                  <w:pPr>
                    <w:widowControl/>
                    <w:jc w:val="center"/>
                    <w:rPr>
                      <w:rFonts w:eastAsia="等线"/>
                      <w:color w:val="000000"/>
                      <w:kern w:val="0"/>
                    </w:rPr>
                  </w:pPr>
                  <w:r>
                    <w:rPr>
                      <w:rFonts w:eastAsia="等线"/>
                      <w:color w:val="000000"/>
                      <w:kern w:val="0"/>
                    </w:rPr>
                    <w:t>1</w:t>
                  </w:r>
                </w:p>
              </w:tc>
              <w:tc>
                <w:tcPr>
                  <w:tcW w:w="851" w:type="dxa"/>
                  <w:tcBorders>
                    <w:top w:val="nil"/>
                    <w:left w:val="nil"/>
                    <w:bottom w:val="single" w:color="auto" w:sz="4" w:space="0"/>
                    <w:right w:val="single" w:color="auto" w:sz="4" w:space="0"/>
                  </w:tcBorders>
                  <w:vAlign w:val="center"/>
                </w:tcPr>
                <w:p w14:paraId="00066CF0">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17808A57">
                  <w:pPr>
                    <w:widowControl/>
                    <w:jc w:val="center"/>
                    <w:rPr>
                      <w:rFonts w:eastAsia="等线"/>
                      <w:color w:val="000000"/>
                      <w:kern w:val="0"/>
                    </w:rPr>
                  </w:pPr>
                  <w:r>
                    <w:rPr>
                      <w:rFonts w:eastAsia="等线"/>
                      <w:color w:val="000000"/>
                    </w:rPr>
                    <w:t xml:space="preserve">25.00 </w:t>
                  </w:r>
                </w:p>
              </w:tc>
              <w:tc>
                <w:tcPr>
                  <w:tcW w:w="1504" w:type="dxa"/>
                  <w:tcBorders>
                    <w:top w:val="nil"/>
                    <w:left w:val="nil"/>
                    <w:bottom w:val="single" w:color="auto" w:sz="4" w:space="0"/>
                    <w:right w:val="single" w:color="auto" w:sz="4" w:space="0"/>
                  </w:tcBorders>
                  <w:vAlign w:val="center"/>
                </w:tcPr>
                <w:p w14:paraId="4B4FDD88">
                  <w:pPr>
                    <w:widowControl/>
                    <w:jc w:val="center"/>
                    <w:rPr>
                      <w:rFonts w:eastAsia="等线"/>
                      <w:color w:val="000000"/>
                      <w:kern w:val="0"/>
                    </w:rPr>
                  </w:pPr>
                </w:p>
              </w:tc>
            </w:tr>
            <w:tr w14:paraId="2647C84F">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470C4E1A">
                  <w:pPr>
                    <w:widowControl/>
                    <w:jc w:val="center"/>
                    <w:rPr>
                      <w:rFonts w:eastAsia="等线"/>
                      <w:color w:val="000000"/>
                      <w:kern w:val="0"/>
                    </w:rPr>
                  </w:pPr>
                  <w:r>
                    <w:rPr>
                      <w:rFonts w:eastAsia="等线"/>
                      <w:color w:val="000000"/>
                      <w:kern w:val="0"/>
                    </w:rPr>
                    <w:t>2.2</w:t>
                  </w:r>
                </w:p>
              </w:tc>
              <w:tc>
                <w:tcPr>
                  <w:tcW w:w="3121" w:type="dxa"/>
                  <w:tcBorders>
                    <w:top w:val="nil"/>
                    <w:left w:val="nil"/>
                    <w:bottom w:val="single" w:color="auto" w:sz="4" w:space="0"/>
                    <w:right w:val="single" w:color="auto" w:sz="4" w:space="0"/>
                  </w:tcBorders>
                  <w:vAlign w:val="center"/>
                </w:tcPr>
                <w:p w14:paraId="45932B0F">
                  <w:pPr>
                    <w:widowControl/>
                    <w:jc w:val="center"/>
                    <w:rPr>
                      <w:rFonts w:eastAsia="等线"/>
                      <w:color w:val="000000"/>
                      <w:kern w:val="0"/>
                    </w:rPr>
                  </w:pPr>
                  <w:r>
                    <w:rPr>
                      <w:rFonts w:hint="eastAsia" w:ascii="宋体" w:hAnsi="宋体"/>
                      <w:color w:val="000000"/>
                      <w:kern w:val="0"/>
                    </w:rPr>
                    <w:t>竣工验收调查评估费</w:t>
                  </w:r>
                </w:p>
              </w:tc>
              <w:tc>
                <w:tcPr>
                  <w:tcW w:w="709" w:type="dxa"/>
                  <w:tcBorders>
                    <w:top w:val="nil"/>
                    <w:left w:val="nil"/>
                    <w:bottom w:val="single" w:color="auto" w:sz="4" w:space="0"/>
                    <w:right w:val="single" w:color="auto" w:sz="4" w:space="0"/>
                  </w:tcBorders>
                  <w:vAlign w:val="center"/>
                </w:tcPr>
                <w:p w14:paraId="2EED1E3F">
                  <w:pPr>
                    <w:widowControl/>
                    <w:jc w:val="center"/>
                    <w:rPr>
                      <w:rFonts w:eastAsia="等线"/>
                      <w:color w:val="000000"/>
                      <w:kern w:val="0"/>
                    </w:rPr>
                  </w:pPr>
                  <w:r>
                    <w:rPr>
                      <w:rFonts w:hint="eastAsia" w:ascii="宋体" w:hAnsi="宋体"/>
                      <w:color w:val="000000"/>
                      <w:kern w:val="0"/>
                    </w:rPr>
                    <w:t>项</w:t>
                  </w:r>
                </w:p>
              </w:tc>
              <w:tc>
                <w:tcPr>
                  <w:tcW w:w="708" w:type="dxa"/>
                  <w:tcBorders>
                    <w:top w:val="nil"/>
                    <w:left w:val="nil"/>
                    <w:bottom w:val="single" w:color="auto" w:sz="4" w:space="0"/>
                    <w:right w:val="single" w:color="auto" w:sz="4" w:space="0"/>
                  </w:tcBorders>
                  <w:vAlign w:val="center"/>
                </w:tcPr>
                <w:p w14:paraId="0D8B4540">
                  <w:pPr>
                    <w:widowControl/>
                    <w:jc w:val="center"/>
                    <w:rPr>
                      <w:rFonts w:eastAsia="等线"/>
                      <w:color w:val="000000"/>
                      <w:kern w:val="0"/>
                    </w:rPr>
                  </w:pPr>
                  <w:r>
                    <w:rPr>
                      <w:rFonts w:eastAsia="等线"/>
                      <w:color w:val="000000"/>
                      <w:kern w:val="0"/>
                    </w:rPr>
                    <w:t>1</w:t>
                  </w:r>
                </w:p>
              </w:tc>
              <w:tc>
                <w:tcPr>
                  <w:tcW w:w="851" w:type="dxa"/>
                  <w:tcBorders>
                    <w:top w:val="nil"/>
                    <w:left w:val="nil"/>
                    <w:bottom w:val="single" w:color="auto" w:sz="4" w:space="0"/>
                    <w:right w:val="single" w:color="auto" w:sz="4" w:space="0"/>
                  </w:tcBorders>
                  <w:vAlign w:val="center"/>
                </w:tcPr>
                <w:p w14:paraId="03FF42AD">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0FC2B1F5">
                  <w:pPr>
                    <w:widowControl/>
                    <w:jc w:val="center"/>
                    <w:rPr>
                      <w:rFonts w:eastAsia="等线"/>
                      <w:color w:val="000000"/>
                      <w:kern w:val="0"/>
                    </w:rPr>
                  </w:pPr>
                  <w:r>
                    <w:rPr>
                      <w:rFonts w:eastAsia="等线"/>
                      <w:color w:val="000000"/>
                    </w:rPr>
                    <w:t xml:space="preserve">20.00 </w:t>
                  </w:r>
                </w:p>
              </w:tc>
              <w:tc>
                <w:tcPr>
                  <w:tcW w:w="1504" w:type="dxa"/>
                  <w:tcBorders>
                    <w:top w:val="nil"/>
                    <w:left w:val="nil"/>
                    <w:bottom w:val="single" w:color="auto" w:sz="4" w:space="0"/>
                    <w:right w:val="single" w:color="auto" w:sz="4" w:space="0"/>
                  </w:tcBorders>
                  <w:vAlign w:val="center"/>
                </w:tcPr>
                <w:p w14:paraId="767E7583">
                  <w:pPr>
                    <w:widowControl/>
                    <w:jc w:val="center"/>
                    <w:rPr>
                      <w:rFonts w:eastAsia="等线"/>
                      <w:color w:val="000000"/>
                      <w:kern w:val="0"/>
                    </w:rPr>
                  </w:pPr>
                </w:p>
              </w:tc>
            </w:tr>
            <w:tr w14:paraId="6C0E862D">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2A5A18BF">
                  <w:pPr>
                    <w:widowControl/>
                    <w:jc w:val="center"/>
                    <w:rPr>
                      <w:rFonts w:eastAsia="等线"/>
                      <w:color w:val="000000"/>
                      <w:kern w:val="0"/>
                    </w:rPr>
                  </w:pPr>
                  <w:r>
                    <w:rPr>
                      <w:rFonts w:eastAsia="等线"/>
                      <w:color w:val="000000"/>
                      <w:kern w:val="0"/>
                    </w:rPr>
                    <w:t>2.3</w:t>
                  </w:r>
                </w:p>
              </w:tc>
              <w:tc>
                <w:tcPr>
                  <w:tcW w:w="3121" w:type="dxa"/>
                  <w:tcBorders>
                    <w:top w:val="nil"/>
                    <w:left w:val="nil"/>
                    <w:bottom w:val="single" w:color="auto" w:sz="4" w:space="0"/>
                    <w:right w:val="single" w:color="auto" w:sz="4" w:space="0"/>
                  </w:tcBorders>
                  <w:vAlign w:val="center"/>
                </w:tcPr>
                <w:p w14:paraId="283DF8E2">
                  <w:pPr>
                    <w:widowControl/>
                    <w:jc w:val="center"/>
                    <w:rPr>
                      <w:rFonts w:eastAsia="等线"/>
                      <w:color w:val="000000"/>
                      <w:kern w:val="0"/>
                    </w:rPr>
                  </w:pPr>
                  <w:r>
                    <w:rPr>
                      <w:rFonts w:hint="eastAsia" w:ascii="宋体" w:hAnsi="宋体"/>
                      <w:color w:val="000000"/>
                      <w:kern w:val="0"/>
                    </w:rPr>
                    <w:t>突发环境事件应急预案编制费</w:t>
                  </w:r>
                </w:p>
              </w:tc>
              <w:tc>
                <w:tcPr>
                  <w:tcW w:w="709" w:type="dxa"/>
                  <w:tcBorders>
                    <w:top w:val="nil"/>
                    <w:left w:val="nil"/>
                    <w:bottom w:val="single" w:color="auto" w:sz="4" w:space="0"/>
                    <w:right w:val="single" w:color="auto" w:sz="4" w:space="0"/>
                  </w:tcBorders>
                  <w:vAlign w:val="center"/>
                </w:tcPr>
                <w:p w14:paraId="0A8246A3">
                  <w:pPr>
                    <w:widowControl/>
                    <w:jc w:val="center"/>
                    <w:rPr>
                      <w:rFonts w:eastAsia="等线"/>
                      <w:color w:val="000000"/>
                      <w:kern w:val="0"/>
                    </w:rPr>
                  </w:pPr>
                  <w:r>
                    <w:rPr>
                      <w:rFonts w:hint="eastAsia" w:ascii="宋体" w:hAnsi="宋体"/>
                      <w:color w:val="000000"/>
                      <w:kern w:val="0"/>
                    </w:rPr>
                    <w:t>项</w:t>
                  </w:r>
                </w:p>
              </w:tc>
              <w:tc>
                <w:tcPr>
                  <w:tcW w:w="708" w:type="dxa"/>
                  <w:tcBorders>
                    <w:top w:val="nil"/>
                    <w:left w:val="nil"/>
                    <w:bottom w:val="single" w:color="auto" w:sz="4" w:space="0"/>
                    <w:right w:val="single" w:color="auto" w:sz="4" w:space="0"/>
                  </w:tcBorders>
                  <w:vAlign w:val="center"/>
                </w:tcPr>
                <w:p w14:paraId="63251F47">
                  <w:pPr>
                    <w:widowControl/>
                    <w:jc w:val="center"/>
                    <w:rPr>
                      <w:rFonts w:eastAsia="等线"/>
                      <w:color w:val="000000"/>
                      <w:kern w:val="0"/>
                    </w:rPr>
                  </w:pPr>
                  <w:r>
                    <w:rPr>
                      <w:rFonts w:eastAsia="等线"/>
                      <w:color w:val="000000"/>
                      <w:kern w:val="0"/>
                    </w:rPr>
                    <w:t>1</w:t>
                  </w:r>
                </w:p>
              </w:tc>
              <w:tc>
                <w:tcPr>
                  <w:tcW w:w="851" w:type="dxa"/>
                  <w:tcBorders>
                    <w:top w:val="nil"/>
                    <w:left w:val="nil"/>
                    <w:bottom w:val="single" w:color="auto" w:sz="4" w:space="0"/>
                    <w:right w:val="single" w:color="auto" w:sz="4" w:space="0"/>
                  </w:tcBorders>
                  <w:vAlign w:val="center"/>
                </w:tcPr>
                <w:p w14:paraId="66037731">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5B90E291">
                  <w:pPr>
                    <w:widowControl/>
                    <w:jc w:val="center"/>
                    <w:rPr>
                      <w:rFonts w:eastAsia="等线"/>
                      <w:color w:val="000000"/>
                      <w:kern w:val="0"/>
                    </w:rPr>
                  </w:pPr>
                  <w:r>
                    <w:rPr>
                      <w:rFonts w:eastAsia="等线"/>
                      <w:color w:val="000000"/>
                    </w:rPr>
                    <w:t xml:space="preserve">18.00 </w:t>
                  </w:r>
                </w:p>
              </w:tc>
              <w:tc>
                <w:tcPr>
                  <w:tcW w:w="1504" w:type="dxa"/>
                  <w:tcBorders>
                    <w:top w:val="nil"/>
                    <w:left w:val="nil"/>
                    <w:bottom w:val="single" w:color="auto" w:sz="4" w:space="0"/>
                    <w:right w:val="single" w:color="auto" w:sz="4" w:space="0"/>
                  </w:tcBorders>
                  <w:vAlign w:val="center"/>
                </w:tcPr>
                <w:p w14:paraId="41B607E7">
                  <w:pPr>
                    <w:widowControl/>
                    <w:jc w:val="center"/>
                    <w:rPr>
                      <w:rFonts w:eastAsia="等线"/>
                      <w:color w:val="000000"/>
                      <w:kern w:val="0"/>
                    </w:rPr>
                  </w:pPr>
                </w:p>
              </w:tc>
            </w:tr>
            <w:tr w14:paraId="5A4E3B0C">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5ABCC821">
                  <w:pPr>
                    <w:widowControl/>
                    <w:jc w:val="center"/>
                    <w:rPr>
                      <w:rFonts w:eastAsia="等线"/>
                      <w:color w:val="000000"/>
                      <w:kern w:val="0"/>
                    </w:rPr>
                  </w:pPr>
                  <w:r>
                    <w:rPr>
                      <w:rFonts w:eastAsia="等线"/>
                      <w:color w:val="000000"/>
                      <w:kern w:val="0"/>
                    </w:rPr>
                    <w:t>3</w:t>
                  </w:r>
                </w:p>
              </w:tc>
              <w:tc>
                <w:tcPr>
                  <w:tcW w:w="3121" w:type="dxa"/>
                  <w:tcBorders>
                    <w:top w:val="nil"/>
                    <w:left w:val="nil"/>
                    <w:bottom w:val="single" w:color="auto" w:sz="4" w:space="0"/>
                    <w:right w:val="single" w:color="auto" w:sz="4" w:space="0"/>
                  </w:tcBorders>
                  <w:vAlign w:val="center"/>
                </w:tcPr>
                <w:p w14:paraId="17770B93">
                  <w:pPr>
                    <w:widowControl/>
                    <w:jc w:val="center"/>
                    <w:rPr>
                      <w:rFonts w:eastAsia="等线"/>
                      <w:color w:val="000000"/>
                      <w:kern w:val="0"/>
                    </w:rPr>
                  </w:pPr>
                  <w:r>
                    <w:rPr>
                      <w:rFonts w:hint="eastAsia" w:ascii="宋体" w:hAnsi="宋体"/>
                      <w:color w:val="000000"/>
                      <w:kern w:val="0"/>
                    </w:rPr>
                    <w:t>其它税费</w:t>
                  </w:r>
                </w:p>
              </w:tc>
              <w:tc>
                <w:tcPr>
                  <w:tcW w:w="709" w:type="dxa"/>
                  <w:tcBorders>
                    <w:top w:val="nil"/>
                    <w:left w:val="nil"/>
                    <w:bottom w:val="single" w:color="auto" w:sz="4" w:space="0"/>
                    <w:right w:val="single" w:color="auto" w:sz="4" w:space="0"/>
                  </w:tcBorders>
                  <w:vAlign w:val="center"/>
                </w:tcPr>
                <w:p w14:paraId="0097E22F">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5FD18189">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3F2B2E35">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6D6D0CF4">
                  <w:pPr>
                    <w:widowControl/>
                    <w:jc w:val="center"/>
                    <w:rPr>
                      <w:rFonts w:eastAsia="等线"/>
                      <w:color w:val="000000"/>
                      <w:kern w:val="0"/>
                    </w:rPr>
                  </w:pPr>
                  <w:r>
                    <w:rPr>
                      <w:rFonts w:eastAsia="等线"/>
                      <w:color w:val="000000"/>
                    </w:rPr>
                    <w:t xml:space="preserve">0.09 </w:t>
                  </w:r>
                </w:p>
              </w:tc>
              <w:tc>
                <w:tcPr>
                  <w:tcW w:w="1504" w:type="dxa"/>
                  <w:tcBorders>
                    <w:top w:val="nil"/>
                    <w:left w:val="nil"/>
                    <w:bottom w:val="single" w:color="auto" w:sz="4" w:space="0"/>
                    <w:right w:val="single" w:color="auto" w:sz="4" w:space="0"/>
                  </w:tcBorders>
                  <w:vAlign w:val="center"/>
                </w:tcPr>
                <w:p w14:paraId="2B1A2753">
                  <w:pPr>
                    <w:widowControl/>
                    <w:jc w:val="center"/>
                    <w:rPr>
                      <w:rFonts w:eastAsia="等线"/>
                      <w:color w:val="000000"/>
                      <w:kern w:val="0"/>
                    </w:rPr>
                  </w:pPr>
                </w:p>
              </w:tc>
            </w:tr>
            <w:tr w14:paraId="30EA328E">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44A9D473">
                  <w:pPr>
                    <w:widowControl/>
                    <w:jc w:val="center"/>
                    <w:rPr>
                      <w:rFonts w:eastAsia="等线"/>
                      <w:color w:val="000000"/>
                      <w:kern w:val="0"/>
                    </w:rPr>
                  </w:pPr>
                  <w:r>
                    <w:rPr>
                      <w:rFonts w:eastAsia="等线"/>
                      <w:color w:val="000000"/>
                      <w:kern w:val="0"/>
                    </w:rPr>
                    <w:t>3.1</w:t>
                  </w:r>
                </w:p>
              </w:tc>
              <w:tc>
                <w:tcPr>
                  <w:tcW w:w="3121" w:type="dxa"/>
                  <w:tcBorders>
                    <w:top w:val="nil"/>
                    <w:left w:val="nil"/>
                    <w:bottom w:val="single" w:color="auto" w:sz="4" w:space="0"/>
                    <w:right w:val="single" w:color="auto" w:sz="4" w:space="0"/>
                  </w:tcBorders>
                  <w:vAlign w:val="center"/>
                </w:tcPr>
                <w:p w14:paraId="62D53929">
                  <w:pPr>
                    <w:widowControl/>
                    <w:jc w:val="center"/>
                    <w:rPr>
                      <w:rFonts w:eastAsia="等线"/>
                      <w:color w:val="000000"/>
                      <w:kern w:val="0"/>
                    </w:rPr>
                  </w:pPr>
                  <w:r>
                    <w:rPr>
                      <w:rFonts w:hint="eastAsia" w:ascii="宋体" w:hAnsi="宋体"/>
                      <w:color w:val="000000"/>
                      <w:kern w:val="0"/>
                    </w:rPr>
                    <w:t>工程建设质量监督费</w:t>
                  </w:r>
                </w:p>
              </w:tc>
              <w:tc>
                <w:tcPr>
                  <w:tcW w:w="709" w:type="dxa"/>
                  <w:tcBorders>
                    <w:top w:val="nil"/>
                    <w:left w:val="nil"/>
                    <w:bottom w:val="single" w:color="auto" w:sz="4" w:space="0"/>
                    <w:right w:val="single" w:color="auto" w:sz="4" w:space="0"/>
                  </w:tcBorders>
                  <w:vAlign w:val="center"/>
                </w:tcPr>
                <w:p w14:paraId="2B690781">
                  <w:pPr>
                    <w:widowControl/>
                    <w:jc w:val="center"/>
                    <w:rPr>
                      <w:rFonts w:eastAsia="等线"/>
                      <w:color w:val="000000"/>
                      <w:kern w:val="0"/>
                    </w:rPr>
                  </w:pPr>
                  <w:r>
                    <w:rPr>
                      <w:rFonts w:eastAsia="等线"/>
                      <w:color w:val="000000"/>
                      <w:kern w:val="0"/>
                    </w:rPr>
                    <w:t>%</w:t>
                  </w:r>
                </w:p>
              </w:tc>
              <w:tc>
                <w:tcPr>
                  <w:tcW w:w="708" w:type="dxa"/>
                  <w:tcBorders>
                    <w:top w:val="nil"/>
                    <w:left w:val="nil"/>
                    <w:bottom w:val="single" w:color="auto" w:sz="4" w:space="0"/>
                    <w:right w:val="single" w:color="auto" w:sz="4" w:space="0"/>
                  </w:tcBorders>
                  <w:vAlign w:val="center"/>
                </w:tcPr>
                <w:p w14:paraId="6F52AFB1">
                  <w:pPr>
                    <w:widowControl/>
                    <w:jc w:val="center"/>
                    <w:rPr>
                      <w:rFonts w:eastAsia="等线"/>
                      <w:color w:val="000000"/>
                      <w:kern w:val="0"/>
                    </w:rPr>
                  </w:pPr>
                  <w:r>
                    <w:rPr>
                      <w:rFonts w:eastAsia="等线"/>
                      <w:color w:val="000000"/>
                      <w:kern w:val="0"/>
                    </w:rPr>
                    <w:t>0.1</w:t>
                  </w:r>
                </w:p>
              </w:tc>
              <w:tc>
                <w:tcPr>
                  <w:tcW w:w="851" w:type="dxa"/>
                  <w:tcBorders>
                    <w:top w:val="nil"/>
                    <w:left w:val="nil"/>
                    <w:bottom w:val="single" w:color="auto" w:sz="4" w:space="0"/>
                    <w:right w:val="single" w:color="auto" w:sz="4" w:space="0"/>
                  </w:tcBorders>
                  <w:vAlign w:val="center"/>
                </w:tcPr>
                <w:p w14:paraId="29D37E69">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19458B7C">
                  <w:pPr>
                    <w:widowControl/>
                    <w:jc w:val="center"/>
                    <w:rPr>
                      <w:rFonts w:eastAsia="等线"/>
                      <w:color w:val="000000"/>
                      <w:kern w:val="0"/>
                    </w:rPr>
                  </w:pPr>
                  <w:r>
                    <w:rPr>
                      <w:rFonts w:eastAsia="等线"/>
                      <w:color w:val="000000"/>
                    </w:rPr>
                    <w:t xml:space="preserve">0.09 </w:t>
                  </w:r>
                </w:p>
              </w:tc>
              <w:tc>
                <w:tcPr>
                  <w:tcW w:w="1504" w:type="dxa"/>
                  <w:tcBorders>
                    <w:top w:val="nil"/>
                    <w:left w:val="nil"/>
                    <w:bottom w:val="single" w:color="auto" w:sz="4" w:space="0"/>
                    <w:right w:val="single" w:color="auto" w:sz="4" w:space="0"/>
                  </w:tcBorders>
                  <w:vAlign w:val="center"/>
                </w:tcPr>
                <w:p w14:paraId="6014B265">
                  <w:pPr>
                    <w:widowControl/>
                    <w:jc w:val="center"/>
                    <w:rPr>
                      <w:rFonts w:eastAsia="等线"/>
                      <w:color w:val="000000"/>
                      <w:kern w:val="0"/>
                    </w:rPr>
                  </w:pPr>
                </w:p>
              </w:tc>
            </w:tr>
            <w:tr w14:paraId="19F4E785">
              <w:tblPrEx>
                <w:tblCellMar>
                  <w:top w:w="0" w:type="dxa"/>
                  <w:left w:w="108" w:type="dxa"/>
                  <w:bottom w:w="0" w:type="dxa"/>
                  <w:right w:w="108" w:type="dxa"/>
                </w:tblCellMar>
              </w:tblPrEx>
              <w:trPr>
                <w:trHeight w:val="283" w:hRule="atLeast"/>
                <w:jc w:val="center"/>
              </w:trPr>
              <w:tc>
                <w:tcPr>
                  <w:tcW w:w="3809" w:type="dxa"/>
                  <w:gridSpan w:val="2"/>
                  <w:tcBorders>
                    <w:top w:val="single" w:color="auto" w:sz="4" w:space="0"/>
                    <w:left w:val="single" w:color="auto" w:sz="4" w:space="0"/>
                    <w:bottom w:val="single" w:color="auto" w:sz="4" w:space="0"/>
                    <w:right w:val="single" w:color="auto" w:sz="4" w:space="0"/>
                  </w:tcBorders>
                  <w:vAlign w:val="center"/>
                </w:tcPr>
                <w:p w14:paraId="417E731D">
                  <w:pPr>
                    <w:widowControl/>
                    <w:jc w:val="center"/>
                    <w:rPr>
                      <w:rFonts w:eastAsia="等线"/>
                      <w:color w:val="000000"/>
                      <w:kern w:val="0"/>
                    </w:rPr>
                  </w:pPr>
                  <w:r>
                    <w:rPr>
                      <w:rFonts w:hint="eastAsia" w:ascii="宋体" w:hAnsi="宋体"/>
                      <w:color w:val="000000"/>
                      <w:kern w:val="0"/>
                    </w:rPr>
                    <w:t>一至七部分合计</w:t>
                  </w:r>
                </w:p>
              </w:tc>
              <w:tc>
                <w:tcPr>
                  <w:tcW w:w="709" w:type="dxa"/>
                  <w:tcBorders>
                    <w:top w:val="nil"/>
                    <w:left w:val="nil"/>
                    <w:bottom w:val="single" w:color="auto" w:sz="4" w:space="0"/>
                    <w:right w:val="single" w:color="auto" w:sz="4" w:space="0"/>
                  </w:tcBorders>
                  <w:vAlign w:val="center"/>
                </w:tcPr>
                <w:p w14:paraId="161E64CE">
                  <w:pPr>
                    <w:widowControl/>
                    <w:jc w:val="center"/>
                    <w:rPr>
                      <w:rFonts w:eastAsia="等线"/>
                      <w:color w:val="000000"/>
                      <w:kern w:val="0"/>
                    </w:rPr>
                  </w:pPr>
                </w:p>
              </w:tc>
              <w:tc>
                <w:tcPr>
                  <w:tcW w:w="708" w:type="dxa"/>
                  <w:tcBorders>
                    <w:top w:val="nil"/>
                    <w:left w:val="nil"/>
                    <w:bottom w:val="single" w:color="auto" w:sz="4" w:space="0"/>
                    <w:right w:val="single" w:color="auto" w:sz="4" w:space="0"/>
                  </w:tcBorders>
                  <w:vAlign w:val="center"/>
                </w:tcPr>
                <w:p w14:paraId="037B1552">
                  <w:pPr>
                    <w:widowControl/>
                    <w:jc w:val="center"/>
                    <w:rPr>
                      <w:rFonts w:eastAsia="等线"/>
                      <w:color w:val="000000"/>
                      <w:kern w:val="0"/>
                    </w:rPr>
                  </w:pPr>
                </w:p>
              </w:tc>
              <w:tc>
                <w:tcPr>
                  <w:tcW w:w="851" w:type="dxa"/>
                  <w:tcBorders>
                    <w:top w:val="nil"/>
                    <w:left w:val="nil"/>
                    <w:bottom w:val="single" w:color="auto" w:sz="4" w:space="0"/>
                    <w:right w:val="single" w:color="auto" w:sz="4" w:space="0"/>
                  </w:tcBorders>
                  <w:vAlign w:val="center"/>
                </w:tcPr>
                <w:p w14:paraId="0B22BF35">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353BC582">
                  <w:pPr>
                    <w:widowControl/>
                    <w:jc w:val="center"/>
                    <w:rPr>
                      <w:rFonts w:hint="eastAsia" w:eastAsia="等线"/>
                      <w:color w:val="000000"/>
                      <w:kern w:val="0"/>
                    </w:rPr>
                  </w:pPr>
                  <w:r>
                    <w:rPr>
                      <w:rFonts w:eastAsia="等线"/>
                      <w:color w:val="000000"/>
                    </w:rPr>
                    <w:t xml:space="preserve">159.03 </w:t>
                  </w:r>
                </w:p>
              </w:tc>
              <w:tc>
                <w:tcPr>
                  <w:tcW w:w="1504" w:type="dxa"/>
                  <w:tcBorders>
                    <w:top w:val="nil"/>
                    <w:left w:val="nil"/>
                    <w:bottom w:val="single" w:color="auto" w:sz="4" w:space="0"/>
                    <w:right w:val="single" w:color="auto" w:sz="4" w:space="0"/>
                  </w:tcBorders>
                  <w:vAlign w:val="center"/>
                </w:tcPr>
                <w:p w14:paraId="19D01544">
                  <w:pPr>
                    <w:widowControl/>
                    <w:jc w:val="center"/>
                    <w:rPr>
                      <w:rFonts w:eastAsia="等线"/>
                      <w:color w:val="000000"/>
                      <w:kern w:val="0"/>
                    </w:rPr>
                  </w:pPr>
                </w:p>
              </w:tc>
            </w:tr>
            <w:tr w14:paraId="5F7DF72E">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vAlign w:val="center"/>
                </w:tcPr>
                <w:p w14:paraId="5B49645B">
                  <w:pPr>
                    <w:widowControl/>
                    <w:jc w:val="center"/>
                    <w:rPr>
                      <w:rFonts w:ascii="宋体" w:hAnsi="宋体" w:cs="宋体"/>
                      <w:color w:val="000000"/>
                      <w:kern w:val="0"/>
                    </w:rPr>
                  </w:pPr>
                  <w:r>
                    <w:rPr>
                      <w:rFonts w:hint="eastAsia" w:ascii="宋体" w:hAnsi="宋体" w:cs="宋体"/>
                      <w:color w:val="000000"/>
                      <w:kern w:val="0"/>
                    </w:rPr>
                    <w:t>八</w:t>
                  </w:r>
                </w:p>
              </w:tc>
              <w:tc>
                <w:tcPr>
                  <w:tcW w:w="3121" w:type="dxa"/>
                  <w:tcBorders>
                    <w:top w:val="nil"/>
                    <w:left w:val="nil"/>
                    <w:bottom w:val="single" w:color="auto" w:sz="4" w:space="0"/>
                    <w:right w:val="single" w:color="auto" w:sz="4" w:space="0"/>
                  </w:tcBorders>
                  <w:vAlign w:val="center"/>
                </w:tcPr>
                <w:p w14:paraId="754B0C89">
                  <w:pPr>
                    <w:widowControl/>
                    <w:jc w:val="center"/>
                    <w:rPr>
                      <w:rFonts w:hint="eastAsia" w:ascii="宋体" w:hAnsi="宋体" w:cs="宋体"/>
                      <w:color w:val="000000"/>
                      <w:kern w:val="0"/>
                    </w:rPr>
                  </w:pPr>
                  <w:r>
                    <w:rPr>
                      <w:rFonts w:hint="eastAsia" w:ascii="宋体" w:hAnsi="宋体" w:cs="宋体"/>
                      <w:color w:val="000000"/>
                      <w:kern w:val="0"/>
                    </w:rPr>
                    <w:t>预备费</w:t>
                  </w:r>
                </w:p>
              </w:tc>
              <w:tc>
                <w:tcPr>
                  <w:tcW w:w="709" w:type="dxa"/>
                  <w:tcBorders>
                    <w:top w:val="nil"/>
                    <w:left w:val="nil"/>
                    <w:bottom w:val="single" w:color="auto" w:sz="4" w:space="0"/>
                    <w:right w:val="single" w:color="auto" w:sz="4" w:space="0"/>
                  </w:tcBorders>
                  <w:vAlign w:val="center"/>
                </w:tcPr>
                <w:p w14:paraId="7DE34E53">
                  <w:pPr>
                    <w:widowControl/>
                    <w:jc w:val="center"/>
                    <w:rPr>
                      <w:rFonts w:hint="eastAsia" w:eastAsia="等线"/>
                      <w:color w:val="000000"/>
                      <w:kern w:val="0"/>
                    </w:rPr>
                  </w:pPr>
                  <w:r>
                    <w:rPr>
                      <w:rFonts w:eastAsia="等线"/>
                      <w:color w:val="000000"/>
                      <w:kern w:val="0"/>
                    </w:rPr>
                    <w:t>%</w:t>
                  </w:r>
                </w:p>
              </w:tc>
              <w:tc>
                <w:tcPr>
                  <w:tcW w:w="708" w:type="dxa"/>
                  <w:tcBorders>
                    <w:top w:val="nil"/>
                    <w:left w:val="nil"/>
                    <w:bottom w:val="single" w:color="auto" w:sz="4" w:space="0"/>
                    <w:right w:val="single" w:color="auto" w:sz="4" w:space="0"/>
                  </w:tcBorders>
                  <w:vAlign w:val="center"/>
                </w:tcPr>
                <w:p w14:paraId="281DC97C">
                  <w:pPr>
                    <w:widowControl/>
                    <w:jc w:val="center"/>
                    <w:rPr>
                      <w:rFonts w:eastAsia="等线"/>
                      <w:color w:val="000000"/>
                      <w:kern w:val="0"/>
                    </w:rPr>
                  </w:pPr>
                  <w:r>
                    <w:rPr>
                      <w:rFonts w:eastAsia="等线"/>
                      <w:color w:val="000000"/>
                      <w:kern w:val="0"/>
                    </w:rPr>
                    <w:t>5</w:t>
                  </w:r>
                </w:p>
              </w:tc>
              <w:tc>
                <w:tcPr>
                  <w:tcW w:w="851" w:type="dxa"/>
                  <w:tcBorders>
                    <w:top w:val="nil"/>
                    <w:left w:val="nil"/>
                    <w:bottom w:val="single" w:color="auto" w:sz="4" w:space="0"/>
                    <w:right w:val="single" w:color="auto" w:sz="4" w:space="0"/>
                  </w:tcBorders>
                  <w:vAlign w:val="center"/>
                </w:tcPr>
                <w:p w14:paraId="7A3CD6FA">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16E6F5D2">
                  <w:pPr>
                    <w:widowControl/>
                    <w:jc w:val="center"/>
                    <w:rPr>
                      <w:rFonts w:hint="eastAsia" w:eastAsia="等线"/>
                      <w:color w:val="000000"/>
                      <w:kern w:val="0"/>
                    </w:rPr>
                  </w:pPr>
                  <w:r>
                    <w:rPr>
                      <w:rFonts w:eastAsia="等线"/>
                      <w:color w:val="000000"/>
                    </w:rPr>
                    <w:t xml:space="preserve">7.95 </w:t>
                  </w:r>
                </w:p>
              </w:tc>
              <w:tc>
                <w:tcPr>
                  <w:tcW w:w="1504" w:type="dxa"/>
                  <w:tcBorders>
                    <w:top w:val="nil"/>
                    <w:left w:val="nil"/>
                    <w:bottom w:val="single" w:color="auto" w:sz="4" w:space="0"/>
                    <w:right w:val="single" w:color="auto" w:sz="4" w:space="0"/>
                  </w:tcBorders>
                  <w:vAlign w:val="center"/>
                </w:tcPr>
                <w:p w14:paraId="627D1279">
                  <w:pPr>
                    <w:widowControl/>
                    <w:jc w:val="center"/>
                    <w:rPr>
                      <w:rFonts w:eastAsia="等线"/>
                      <w:color w:val="000000"/>
                      <w:kern w:val="0"/>
                    </w:rPr>
                  </w:pPr>
                </w:p>
              </w:tc>
            </w:tr>
            <w:tr w14:paraId="4E88A6EE">
              <w:tblPrEx>
                <w:tblCellMar>
                  <w:top w:w="0" w:type="dxa"/>
                  <w:left w:w="108" w:type="dxa"/>
                  <w:bottom w:w="0" w:type="dxa"/>
                  <w:right w:w="108" w:type="dxa"/>
                </w:tblCellMar>
              </w:tblPrEx>
              <w:trPr>
                <w:trHeight w:val="283" w:hRule="atLeast"/>
                <w:jc w:val="center"/>
              </w:trPr>
              <w:tc>
                <w:tcPr>
                  <w:tcW w:w="688" w:type="dxa"/>
                  <w:tcBorders>
                    <w:top w:val="nil"/>
                    <w:left w:val="single" w:color="auto" w:sz="4" w:space="0"/>
                    <w:bottom w:val="single" w:color="auto" w:sz="4" w:space="0"/>
                    <w:right w:val="single" w:color="auto" w:sz="4" w:space="0"/>
                  </w:tcBorders>
                  <w:noWrap/>
                  <w:vAlign w:val="center"/>
                </w:tcPr>
                <w:p w14:paraId="798B6326">
                  <w:pPr>
                    <w:widowControl/>
                    <w:jc w:val="center"/>
                    <w:rPr>
                      <w:rFonts w:ascii="宋体" w:hAnsi="宋体" w:cs="宋体"/>
                      <w:color w:val="000000"/>
                      <w:kern w:val="0"/>
                    </w:rPr>
                  </w:pPr>
                  <w:r>
                    <w:rPr>
                      <w:rFonts w:hint="eastAsia" w:ascii="宋体" w:hAnsi="宋体" w:cs="宋体"/>
                      <w:color w:val="000000"/>
                      <w:kern w:val="0"/>
                    </w:rPr>
                    <w:t>九</w:t>
                  </w:r>
                </w:p>
              </w:tc>
              <w:tc>
                <w:tcPr>
                  <w:tcW w:w="3830" w:type="dxa"/>
                  <w:gridSpan w:val="2"/>
                  <w:tcBorders>
                    <w:top w:val="single" w:color="auto" w:sz="4" w:space="0"/>
                    <w:left w:val="nil"/>
                    <w:bottom w:val="single" w:color="auto" w:sz="4" w:space="0"/>
                    <w:right w:val="single" w:color="auto" w:sz="4" w:space="0"/>
                  </w:tcBorders>
                  <w:vAlign w:val="center"/>
                </w:tcPr>
                <w:p w14:paraId="5D978FA2">
                  <w:pPr>
                    <w:widowControl/>
                    <w:jc w:val="center"/>
                    <w:rPr>
                      <w:rFonts w:hint="eastAsia" w:ascii="宋体" w:hAnsi="宋体" w:cs="宋体"/>
                      <w:color w:val="000000"/>
                      <w:kern w:val="0"/>
                    </w:rPr>
                  </w:pPr>
                  <w:r>
                    <w:rPr>
                      <w:rFonts w:hint="eastAsia" w:ascii="宋体" w:hAnsi="宋体" w:cs="宋体"/>
                      <w:color w:val="000000"/>
                      <w:kern w:val="0"/>
                    </w:rPr>
                    <w:t>总投资</w:t>
                  </w:r>
                </w:p>
              </w:tc>
              <w:tc>
                <w:tcPr>
                  <w:tcW w:w="708" w:type="dxa"/>
                  <w:tcBorders>
                    <w:top w:val="nil"/>
                    <w:left w:val="nil"/>
                    <w:bottom w:val="single" w:color="auto" w:sz="4" w:space="0"/>
                    <w:right w:val="single" w:color="auto" w:sz="4" w:space="0"/>
                  </w:tcBorders>
                  <w:noWrap/>
                  <w:vAlign w:val="center"/>
                </w:tcPr>
                <w:p w14:paraId="176681A9">
                  <w:pPr>
                    <w:widowControl/>
                    <w:jc w:val="center"/>
                    <w:rPr>
                      <w:rFonts w:hint="eastAsia" w:eastAsia="等线"/>
                      <w:color w:val="000000"/>
                      <w:kern w:val="0"/>
                    </w:rPr>
                  </w:pPr>
                </w:p>
              </w:tc>
              <w:tc>
                <w:tcPr>
                  <w:tcW w:w="851" w:type="dxa"/>
                  <w:tcBorders>
                    <w:top w:val="nil"/>
                    <w:left w:val="nil"/>
                    <w:bottom w:val="single" w:color="auto" w:sz="4" w:space="0"/>
                    <w:right w:val="single" w:color="auto" w:sz="4" w:space="0"/>
                  </w:tcBorders>
                  <w:vAlign w:val="center"/>
                </w:tcPr>
                <w:p w14:paraId="5B52DCA7">
                  <w:pPr>
                    <w:widowControl/>
                    <w:jc w:val="center"/>
                    <w:rPr>
                      <w:rFonts w:eastAsia="等线"/>
                      <w:color w:val="000000"/>
                      <w:kern w:val="0"/>
                    </w:rPr>
                  </w:pPr>
                </w:p>
              </w:tc>
              <w:tc>
                <w:tcPr>
                  <w:tcW w:w="992" w:type="dxa"/>
                  <w:tcBorders>
                    <w:top w:val="nil"/>
                    <w:left w:val="nil"/>
                    <w:bottom w:val="single" w:color="auto" w:sz="4" w:space="0"/>
                    <w:right w:val="single" w:color="auto" w:sz="4" w:space="0"/>
                  </w:tcBorders>
                  <w:vAlign w:val="center"/>
                </w:tcPr>
                <w:p w14:paraId="7BB33FB0">
                  <w:pPr>
                    <w:widowControl/>
                    <w:jc w:val="center"/>
                    <w:rPr>
                      <w:rFonts w:eastAsia="等线"/>
                      <w:color w:val="000000"/>
                      <w:kern w:val="0"/>
                    </w:rPr>
                  </w:pPr>
                  <w:r>
                    <w:rPr>
                      <w:rFonts w:eastAsia="等线"/>
                      <w:color w:val="000000"/>
                      <w:kern w:val="0"/>
                    </w:rPr>
                    <w:t>166.98</w:t>
                  </w:r>
                </w:p>
              </w:tc>
              <w:tc>
                <w:tcPr>
                  <w:tcW w:w="1504" w:type="dxa"/>
                  <w:tcBorders>
                    <w:top w:val="nil"/>
                    <w:left w:val="nil"/>
                    <w:bottom w:val="single" w:color="auto" w:sz="4" w:space="0"/>
                    <w:right w:val="single" w:color="auto" w:sz="4" w:space="0"/>
                  </w:tcBorders>
                  <w:vAlign w:val="center"/>
                </w:tcPr>
                <w:p w14:paraId="259B879F">
                  <w:pPr>
                    <w:widowControl/>
                    <w:jc w:val="center"/>
                    <w:rPr>
                      <w:rFonts w:eastAsia="等线"/>
                      <w:color w:val="000000"/>
                      <w:kern w:val="0"/>
                    </w:rPr>
                  </w:pPr>
                </w:p>
              </w:tc>
            </w:tr>
          </w:tbl>
          <w:p w14:paraId="31B1B5F6">
            <w:pPr>
              <w:adjustRightInd w:val="0"/>
              <w:snapToGrid w:val="0"/>
              <w:rPr>
                <w:rFonts w:hint="eastAsia" w:ascii="宋体" w:hAnsi="宋体" w:cs="宋体"/>
                <w:bCs/>
                <w:spacing w:val="10"/>
                <w:sz w:val="24"/>
              </w:rPr>
            </w:pPr>
          </w:p>
        </w:tc>
      </w:tr>
    </w:tbl>
    <w:p w14:paraId="08CC2F0B">
      <w:pPr>
        <w:adjustRightInd w:val="0"/>
        <w:snapToGrid w:val="0"/>
        <w:jc w:val="center"/>
        <w:rPr>
          <w:rFonts w:ascii="宋体" w:hAnsi="宋体"/>
          <w:bCs/>
          <w:sz w:val="24"/>
        </w:rPr>
        <w:sectPr>
          <w:pgSz w:w="11905" w:h="16838"/>
          <w:pgMar w:top="1531" w:right="1417" w:bottom="1531" w:left="1417" w:header="851" w:footer="1077" w:gutter="0"/>
          <w:pgBorders>
            <w:top w:val="none" w:sz="0" w:space="0"/>
            <w:left w:val="none" w:sz="0" w:space="0"/>
            <w:bottom w:val="none" w:sz="0" w:space="0"/>
            <w:right w:val="none" w:sz="0" w:space="0"/>
          </w:pgBorders>
          <w:cols w:space="720" w:num="1"/>
          <w:docGrid w:linePitch="312" w:charSpace="0"/>
        </w:sectPr>
      </w:pPr>
    </w:p>
    <w:p w14:paraId="7189E72A">
      <w:pPr>
        <w:pStyle w:val="26"/>
        <w:spacing w:before="0" w:beforeAutospacing="0" w:after="0" w:afterAutospacing="0" w:line="360" w:lineRule="auto"/>
        <w:jc w:val="center"/>
        <w:outlineLvl w:val="0"/>
        <w:rPr>
          <w:rFonts w:ascii="黑体" w:hAnsi="黑体" w:eastAsia="黑体"/>
          <w:snapToGrid w:val="0"/>
          <w:sz w:val="30"/>
          <w:szCs w:val="30"/>
        </w:rPr>
      </w:pPr>
      <w:bookmarkStart w:id="188" w:name="_Toc122040753"/>
      <w:bookmarkStart w:id="189" w:name="_Toc116995656"/>
      <w:bookmarkStart w:id="190" w:name="_Toc10133"/>
      <w:bookmarkStart w:id="191" w:name="_Toc233036185"/>
      <w:bookmarkStart w:id="192" w:name="_Toc231571705"/>
      <w:bookmarkStart w:id="193" w:name="_Toc18665"/>
      <w:bookmarkStart w:id="194" w:name="_Toc28317"/>
      <w:r>
        <w:rPr>
          <w:rFonts w:hint="eastAsia" w:ascii="黑体" w:hAnsi="黑体" w:eastAsia="黑体"/>
          <w:snapToGrid w:val="0"/>
          <w:sz w:val="30"/>
          <w:szCs w:val="30"/>
        </w:rPr>
        <w:t>六、生态环境保护措施监督检查清单</w:t>
      </w:r>
      <w:bookmarkEnd w:id="188"/>
      <w:bookmarkEnd w:id="189"/>
      <w:bookmarkEnd w:id="190"/>
      <w:bookmarkEnd w:id="191"/>
      <w:bookmarkEnd w:id="192"/>
      <w:bookmarkEnd w:id="193"/>
      <w:bookmarkEnd w:id="194"/>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2198"/>
        <w:gridCol w:w="1629"/>
        <w:gridCol w:w="2670"/>
        <w:gridCol w:w="1658"/>
      </w:tblGrid>
      <w:tr w14:paraId="19B9B7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6" w:hRule="atLeast"/>
          <w:tblHeader/>
          <w:jc w:val="center"/>
        </w:trPr>
        <w:tc>
          <w:tcPr>
            <w:tcW w:w="1129" w:type="dxa"/>
            <w:vMerge w:val="restart"/>
            <w:vAlign w:val="center"/>
          </w:tcPr>
          <w:p w14:paraId="7C0438F3">
            <w:pPr>
              <w:pStyle w:val="12"/>
              <w:adjustRightInd w:val="0"/>
              <w:snapToGrid w:val="0"/>
              <w:spacing w:after="0"/>
              <w:ind w:left="0" w:leftChars="0"/>
              <w:jc w:val="center"/>
              <w:outlineLvl w:val="0"/>
              <w:rPr>
                <w:rFonts w:ascii="宋体" w:hAnsi="宋体" w:cs="宋体"/>
                <w:b/>
                <w:bCs/>
              </w:rPr>
            </w:pPr>
            <w:bookmarkStart w:id="195" w:name="_Toc231571706"/>
            <w:bookmarkStart w:id="196" w:name="_Toc233036186"/>
            <w:r>
              <w:rPr>
                <w:rFonts w:hint="eastAsia" w:ascii="宋体" w:hAnsi="宋体" w:cs="宋体"/>
                <w:b/>
                <w:bCs/>
              </w:rPr>
              <w:t>要素</w:t>
            </w:r>
            <w:bookmarkEnd w:id="195"/>
            <w:bookmarkEnd w:id="196"/>
          </w:p>
          <w:p w14:paraId="07B5EED2">
            <w:pPr>
              <w:pStyle w:val="12"/>
              <w:adjustRightInd w:val="0"/>
              <w:snapToGrid w:val="0"/>
              <w:spacing w:after="0"/>
              <w:ind w:left="0" w:leftChars="0"/>
              <w:jc w:val="center"/>
              <w:outlineLvl w:val="0"/>
              <w:rPr>
                <w:rFonts w:hint="eastAsia" w:ascii="宋体" w:hAnsi="宋体" w:cs="宋体"/>
                <w:b/>
                <w:bCs/>
              </w:rPr>
            </w:pPr>
            <w:bookmarkStart w:id="197" w:name="_Toc233036187"/>
            <w:bookmarkStart w:id="198" w:name="_Toc231571707"/>
            <w:r>
              <w:rPr>
                <w:rFonts w:hint="eastAsia" w:ascii="宋体" w:hAnsi="宋体" w:cs="宋体"/>
                <w:b/>
                <w:bCs/>
              </w:rPr>
              <w:t>内容</w:t>
            </w:r>
            <w:bookmarkEnd w:id="197"/>
            <w:bookmarkEnd w:id="198"/>
          </w:p>
        </w:tc>
        <w:tc>
          <w:tcPr>
            <w:tcW w:w="3828" w:type="dxa"/>
            <w:gridSpan w:val="2"/>
            <w:vAlign w:val="center"/>
          </w:tcPr>
          <w:p w14:paraId="64A0680B">
            <w:pPr>
              <w:pStyle w:val="12"/>
              <w:adjustRightInd w:val="0"/>
              <w:snapToGrid w:val="0"/>
              <w:spacing w:after="0"/>
              <w:ind w:left="0" w:leftChars="0"/>
              <w:jc w:val="center"/>
              <w:outlineLvl w:val="0"/>
              <w:rPr>
                <w:rFonts w:hint="eastAsia" w:ascii="宋体" w:hAnsi="宋体" w:cs="宋体"/>
                <w:b/>
                <w:bCs/>
              </w:rPr>
            </w:pPr>
            <w:bookmarkStart w:id="199" w:name="_Toc233036188"/>
            <w:bookmarkStart w:id="200" w:name="_Toc69118013"/>
            <w:bookmarkStart w:id="201" w:name="_Toc231571708"/>
            <w:r>
              <w:rPr>
                <w:rFonts w:hint="eastAsia" w:ascii="宋体" w:hAnsi="宋体" w:cs="宋体"/>
                <w:b/>
                <w:bCs/>
              </w:rPr>
              <w:t>施工期</w:t>
            </w:r>
            <w:bookmarkEnd w:id="199"/>
            <w:bookmarkEnd w:id="200"/>
            <w:bookmarkEnd w:id="201"/>
          </w:p>
        </w:tc>
        <w:tc>
          <w:tcPr>
            <w:tcW w:w="4330" w:type="dxa"/>
            <w:gridSpan w:val="2"/>
            <w:vAlign w:val="center"/>
          </w:tcPr>
          <w:p w14:paraId="514B6EE8">
            <w:pPr>
              <w:pStyle w:val="12"/>
              <w:adjustRightInd w:val="0"/>
              <w:snapToGrid w:val="0"/>
              <w:spacing w:after="0"/>
              <w:ind w:left="0" w:leftChars="0"/>
              <w:jc w:val="center"/>
              <w:outlineLvl w:val="0"/>
              <w:rPr>
                <w:rFonts w:hint="eastAsia" w:ascii="宋体" w:hAnsi="宋体" w:cs="宋体"/>
                <w:b/>
                <w:bCs/>
              </w:rPr>
            </w:pPr>
            <w:bookmarkStart w:id="202" w:name="_Toc69118014"/>
            <w:bookmarkStart w:id="203" w:name="_Toc231571709"/>
            <w:bookmarkStart w:id="204" w:name="_Toc233036189"/>
            <w:r>
              <w:rPr>
                <w:rFonts w:hint="eastAsia" w:ascii="宋体" w:hAnsi="宋体" w:cs="宋体"/>
                <w:b/>
                <w:bCs/>
              </w:rPr>
              <w:t>运营期</w:t>
            </w:r>
            <w:bookmarkEnd w:id="202"/>
            <w:bookmarkEnd w:id="203"/>
            <w:bookmarkEnd w:id="204"/>
          </w:p>
        </w:tc>
      </w:tr>
      <w:tr w14:paraId="7A49FB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1" w:hRule="atLeast"/>
          <w:tblHeader/>
          <w:jc w:val="center"/>
        </w:trPr>
        <w:tc>
          <w:tcPr>
            <w:tcW w:w="1129" w:type="dxa"/>
            <w:vMerge w:val="continue"/>
          </w:tcPr>
          <w:p w14:paraId="7FCB1577">
            <w:pPr>
              <w:pStyle w:val="12"/>
              <w:adjustRightInd w:val="0"/>
              <w:snapToGrid w:val="0"/>
              <w:spacing w:after="0"/>
              <w:ind w:firstLine="840"/>
              <w:outlineLvl w:val="0"/>
              <w:rPr>
                <w:rFonts w:hint="eastAsia" w:ascii="宋体" w:hAnsi="宋体" w:cs="宋体"/>
                <w:b/>
                <w:bCs/>
              </w:rPr>
            </w:pPr>
          </w:p>
        </w:tc>
        <w:tc>
          <w:tcPr>
            <w:tcW w:w="2199" w:type="dxa"/>
            <w:vAlign w:val="center"/>
          </w:tcPr>
          <w:p w14:paraId="61A0E1FA">
            <w:pPr>
              <w:pStyle w:val="12"/>
              <w:adjustRightInd w:val="0"/>
              <w:snapToGrid w:val="0"/>
              <w:spacing w:after="0"/>
              <w:ind w:left="0" w:leftChars="0"/>
              <w:jc w:val="center"/>
              <w:outlineLvl w:val="0"/>
              <w:rPr>
                <w:rFonts w:hint="eastAsia" w:ascii="宋体" w:hAnsi="宋体" w:cs="宋体"/>
                <w:b/>
                <w:bCs/>
              </w:rPr>
            </w:pPr>
            <w:bookmarkStart w:id="205" w:name="_Toc231571710"/>
            <w:bookmarkStart w:id="206" w:name="_Toc233036190"/>
            <w:bookmarkStart w:id="207" w:name="_Toc69118015"/>
            <w:r>
              <w:rPr>
                <w:rFonts w:hint="eastAsia" w:ascii="宋体" w:hAnsi="宋体" w:cs="宋体"/>
                <w:b/>
                <w:bCs/>
              </w:rPr>
              <w:t>环境保护措施</w:t>
            </w:r>
            <w:bookmarkEnd w:id="205"/>
            <w:bookmarkEnd w:id="206"/>
            <w:bookmarkEnd w:id="207"/>
          </w:p>
        </w:tc>
        <w:tc>
          <w:tcPr>
            <w:tcW w:w="1629" w:type="dxa"/>
            <w:vAlign w:val="center"/>
          </w:tcPr>
          <w:p w14:paraId="06D452BE">
            <w:pPr>
              <w:pStyle w:val="12"/>
              <w:adjustRightInd w:val="0"/>
              <w:snapToGrid w:val="0"/>
              <w:spacing w:after="0"/>
              <w:ind w:left="0" w:leftChars="0"/>
              <w:jc w:val="center"/>
              <w:outlineLvl w:val="0"/>
              <w:rPr>
                <w:rFonts w:hint="eastAsia" w:ascii="宋体" w:hAnsi="宋体" w:cs="宋体"/>
                <w:b/>
                <w:bCs/>
              </w:rPr>
            </w:pPr>
            <w:bookmarkStart w:id="208" w:name="_Toc233036191"/>
            <w:bookmarkStart w:id="209" w:name="_Toc231571711"/>
            <w:bookmarkStart w:id="210" w:name="_Toc69118016"/>
            <w:r>
              <w:rPr>
                <w:rFonts w:hint="eastAsia" w:ascii="宋体" w:hAnsi="宋体" w:cs="宋体"/>
                <w:b/>
                <w:bCs/>
              </w:rPr>
              <w:t>验收要求</w:t>
            </w:r>
            <w:bookmarkEnd w:id="208"/>
            <w:bookmarkEnd w:id="209"/>
            <w:bookmarkEnd w:id="210"/>
          </w:p>
        </w:tc>
        <w:tc>
          <w:tcPr>
            <w:tcW w:w="2673" w:type="dxa"/>
            <w:vAlign w:val="center"/>
          </w:tcPr>
          <w:p w14:paraId="1A1B04F0">
            <w:pPr>
              <w:pStyle w:val="12"/>
              <w:adjustRightInd w:val="0"/>
              <w:snapToGrid w:val="0"/>
              <w:spacing w:after="0"/>
              <w:ind w:left="0" w:leftChars="0"/>
              <w:jc w:val="center"/>
              <w:outlineLvl w:val="0"/>
              <w:rPr>
                <w:rFonts w:hint="eastAsia" w:ascii="宋体" w:hAnsi="宋体" w:cs="宋体"/>
                <w:b/>
                <w:bCs/>
              </w:rPr>
            </w:pPr>
            <w:bookmarkStart w:id="211" w:name="_Toc231571712"/>
            <w:bookmarkStart w:id="212" w:name="_Toc233036192"/>
            <w:bookmarkStart w:id="213" w:name="_Toc69118017"/>
            <w:r>
              <w:rPr>
                <w:rFonts w:hint="eastAsia" w:ascii="宋体" w:hAnsi="宋体" w:cs="宋体"/>
                <w:b/>
                <w:bCs/>
              </w:rPr>
              <w:t>环境保护措施</w:t>
            </w:r>
            <w:bookmarkEnd w:id="211"/>
            <w:bookmarkEnd w:id="212"/>
            <w:bookmarkEnd w:id="213"/>
          </w:p>
        </w:tc>
        <w:tc>
          <w:tcPr>
            <w:tcW w:w="1657" w:type="dxa"/>
            <w:vAlign w:val="center"/>
          </w:tcPr>
          <w:p w14:paraId="1B2BBB86">
            <w:pPr>
              <w:pStyle w:val="12"/>
              <w:adjustRightInd w:val="0"/>
              <w:snapToGrid w:val="0"/>
              <w:spacing w:after="0"/>
              <w:ind w:left="0" w:leftChars="0"/>
              <w:jc w:val="center"/>
              <w:outlineLvl w:val="0"/>
              <w:rPr>
                <w:rFonts w:hint="eastAsia" w:ascii="宋体" w:hAnsi="宋体" w:cs="宋体"/>
                <w:b/>
                <w:bCs/>
              </w:rPr>
            </w:pPr>
            <w:bookmarkStart w:id="214" w:name="_Toc233036193"/>
            <w:bookmarkStart w:id="215" w:name="_Toc69118018"/>
            <w:bookmarkStart w:id="216" w:name="_Toc231571713"/>
            <w:r>
              <w:rPr>
                <w:rFonts w:hint="eastAsia" w:ascii="宋体" w:hAnsi="宋体" w:cs="宋体"/>
                <w:b/>
                <w:bCs/>
              </w:rPr>
              <w:t>验收要求</w:t>
            </w:r>
            <w:bookmarkEnd w:id="214"/>
            <w:bookmarkEnd w:id="215"/>
            <w:bookmarkEnd w:id="216"/>
          </w:p>
        </w:tc>
      </w:tr>
      <w:tr w14:paraId="1624AA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14:paraId="6E5F9B80">
            <w:pPr>
              <w:pStyle w:val="14"/>
              <w:ind w:firstLine="0"/>
              <w:jc w:val="center"/>
              <w:rPr>
                <w:rFonts w:ascii="Times New Roman"/>
              </w:rPr>
            </w:pPr>
            <w:r>
              <w:rPr>
                <w:rFonts w:ascii="Times New Roman"/>
              </w:rPr>
              <w:t>陆生生态</w:t>
            </w:r>
          </w:p>
        </w:tc>
        <w:tc>
          <w:tcPr>
            <w:tcW w:w="2199" w:type="dxa"/>
            <w:vAlign w:val="center"/>
          </w:tcPr>
          <w:p w14:paraId="0D08942A">
            <w:pPr>
              <w:autoSpaceDE w:val="0"/>
              <w:autoSpaceDN w:val="0"/>
              <w:adjustRightInd w:val="0"/>
              <w:snapToGrid w:val="0"/>
            </w:pPr>
            <w:r>
              <w:t>陆生动植物保护，优化场区布置，不超计划占用植被；严格执行水土保持措施，进行植被恢复；进行施工规划，尽量减少占用，保护好周边植被等</w:t>
            </w:r>
            <w:r>
              <w:rPr>
                <w:rFonts w:hint="eastAsia"/>
              </w:rPr>
              <w:t>。</w:t>
            </w:r>
          </w:p>
        </w:tc>
        <w:tc>
          <w:tcPr>
            <w:tcW w:w="1629" w:type="dxa"/>
            <w:vAlign w:val="center"/>
          </w:tcPr>
          <w:p w14:paraId="4759AE88">
            <w:pPr>
              <w:autoSpaceDE w:val="0"/>
              <w:autoSpaceDN w:val="0"/>
              <w:adjustRightInd w:val="0"/>
              <w:snapToGrid w:val="0"/>
            </w:pPr>
            <w:r>
              <w:t>施工期影像资料、环境监理报告；达到恢复效果、保护要求</w:t>
            </w:r>
            <w:r>
              <w:rPr>
                <w:rFonts w:hint="eastAsia"/>
              </w:rPr>
              <w:t>。</w:t>
            </w:r>
          </w:p>
        </w:tc>
        <w:tc>
          <w:tcPr>
            <w:tcW w:w="2673" w:type="dxa"/>
            <w:vAlign w:val="center"/>
          </w:tcPr>
          <w:p w14:paraId="3AA3F790">
            <w:pPr>
              <w:pStyle w:val="14"/>
              <w:ind w:firstLine="0"/>
              <w:rPr>
                <w:rFonts w:ascii="Times New Roman"/>
              </w:rPr>
            </w:pPr>
            <w:r>
              <w:t>动植物保护措施、生态恢复措施</w:t>
            </w:r>
            <w:r>
              <w:rPr>
                <w:rFonts w:hint="eastAsia"/>
              </w:rPr>
              <w:t>。</w:t>
            </w:r>
          </w:p>
        </w:tc>
        <w:tc>
          <w:tcPr>
            <w:tcW w:w="1657" w:type="dxa"/>
            <w:vAlign w:val="center"/>
          </w:tcPr>
          <w:p w14:paraId="6E0D043F">
            <w:pPr>
              <w:adjustRightInd w:val="0"/>
              <w:snapToGrid w:val="0"/>
              <w:jc w:val="center"/>
              <w:rPr>
                <w:snapToGrid w:val="0"/>
                <w:color w:val="000000"/>
                <w:kern w:val="0"/>
              </w:rPr>
            </w:pPr>
            <w:r>
              <w:t>绿化措施、生态恢复</w:t>
            </w:r>
            <w:r>
              <w:rPr>
                <w:rFonts w:hint="eastAsia"/>
              </w:rPr>
              <w:t>。</w:t>
            </w:r>
          </w:p>
        </w:tc>
      </w:tr>
      <w:tr w14:paraId="53540F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14:paraId="59E670AB">
            <w:pPr>
              <w:pStyle w:val="14"/>
              <w:ind w:firstLine="0"/>
              <w:jc w:val="center"/>
              <w:rPr>
                <w:rFonts w:ascii="Times New Roman"/>
              </w:rPr>
            </w:pPr>
            <w:r>
              <w:rPr>
                <w:rFonts w:hint="eastAsia" w:ascii="Times New Roman"/>
              </w:rPr>
              <w:t>大气环境</w:t>
            </w:r>
          </w:p>
        </w:tc>
        <w:tc>
          <w:tcPr>
            <w:tcW w:w="2199" w:type="dxa"/>
            <w:vAlign w:val="center"/>
          </w:tcPr>
          <w:p w14:paraId="546A684C">
            <w:pPr>
              <w:autoSpaceDE w:val="0"/>
              <w:autoSpaceDN w:val="0"/>
              <w:adjustRightInd w:val="0"/>
              <w:snapToGrid w:val="0"/>
              <w:rPr>
                <w:rFonts w:hint="eastAsia"/>
                <w:snapToGrid w:val="0"/>
                <w:color w:val="000000"/>
                <w:kern w:val="0"/>
              </w:rPr>
            </w:pPr>
            <w:r>
              <w:t>洒水降尘、粉状建筑材料及临时堆土采取覆盖措施，临时植物措施，表土堆场临时覆盖、洒水降尘。</w:t>
            </w:r>
          </w:p>
        </w:tc>
        <w:tc>
          <w:tcPr>
            <w:tcW w:w="1629" w:type="dxa"/>
            <w:vAlign w:val="center"/>
          </w:tcPr>
          <w:p w14:paraId="6488941B">
            <w:pPr>
              <w:topLinePunct/>
              <w:adjustRightInd w:val="0"/>
              <w:snapToGrid w:val="0"/>
              <w:rPr>
                <w:snapToGrid w:val="0"/>
                <w:color w:val="000000"/>
                <w:kern w:val="0"/>
              </w:rPr>
            </w:pPr>
            <w:r>
              <w:t>施工扬尘达到《大气污染物综合排放标准》（GB16297-1996）无组织排放控制要求，大气环境保护目标处颗粒物满足</w:t>
            </w:r>
            <w:r>
              <w:rPr>
                <w:color w:val="000000"/>
              </w:rPr>
              <w:t>《环境空气质量标准》（GB 3095-2026）</w:t>
            </w:r>
            <w:r>
              <w:rPr>
                <w:rFonts w:hint="eastAsia"/>
                <w:color w:val="000000"/>
              </w:rPr>
              <w:t>过渡阶段</w:t>
            </w:r>
            <w:r>
              <w:rPr>
                <w:color w:val="000000"/>
              </w:rPr>
              <w:t>二级标准，</w:t>
            </w:r>
            <w:r>
              <w:t>按照监测计划完成施工期监测并提供施工期监测报告。</w:t>
            </w:r>
          </w:p>
        </w:tc>
        <w:tc>
          <w:tcPr>
            <w:tcW w:w="2673" w:type="dxa"/>
            <w:vAlign w:val="center"/>
          </w:tcPr>
          <w:p w14:paraId="58BFB158">
            <w:pPr>
              <w:pStyle w:val="14"/>
              <w:ind w:firstLine="0"/>
              <w:jc w:val="center"/>
              <w:rPr>
                <w:rFonts w:hint="eastAsia" w:ascii="Times New Roman"/>
              </w:rPr>
            </w:pPr>
            <w:r>
              <w:rPr>
                <w:rFonts w:ascii="Times New Roman"/>
              </w:rPr>
              <w:t>保持</w:t>
            </w:r>
            <w:r>
              <w:rPr>
                <w:rFonts w:hint="eastAsia" w:ascii="Times New Roman"/>
              </w:rPr>
              <w:t>项目</w:t>
            </w:r>
            <w:r>
              <w:rPr>
                <w:rFonts w:ascii="Times New Roman"/>
              </w:rPr>
              <w:t>区内环境卫生，减少运营期地面扬尘和飘散物对环境空气质量的影响</w:t>
            </w:r>
            <w:r>
              <w:rPr>
                <w:rFonts w:hint="eastAsia" w:ascii="Times New Roman"/>
              </w:rPr>
              <w:t>；生活</w:t>
            </w:r>
            <w:r>
              <w:rPr>
                <w:rFonts w:ascii="Times New Roman"/>
              </w:rPr>
              <w:t>垃圾及时清运并对垃圾</w:t>
            </w:r>
            <w:r>
              <w:rPr>
                <w:rFonts w:hint="eastAsia" w:ascii="Times New Roman"/>
              </w:rPr>
              <w:t>收集及时清运，定时清掏化粪池及污水处理设施</w:t>
            </w:r>
            <w:r>
              <w:rPr>
                <w:rFonts w:ascii="Times New Roman"/>
              </w:rPr>
              <w:t>。</w:t>
            </w:r>
          </w:p>
        </w:tc>
        <w:tc>
          <w:tcPr>
            <w:tcW w:w="1657" w:type="dxa"/>
            <w:vAlign w:val="center"/>
          </w:tcPr>
          <w:p w14:paraId="2DC76999">
            <w:pPr>
              <w:adjustRightInd w:val="0"/>
              <w:snapToGrid w:val="0"/>
              <w:jc w:val="center"/>
              <w:rPr>
                <w:rFonts w:hint="eastAsia"/>
              </w:rPr>
            </w:pPr>
            <w:r>
              <w:rPr>
                <w:rFonts w:hint="eastAsia"/>
              </w:rPr>
              <w:t>/</w:t>
            </w:r>
          </w:p>
        </w:tc>
      </w:tr>
      <w:tr w14:paraId="6E14DB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14:paraId="1936EC5C">
            <w:pPr>
              <w:adjustRightInd w:val="0"/>
              <w:snapToGrid w:val="0"/>
              <w:jc w:val="center"/>
            </w:pPr>
            <w:r>
              <w:t>地表水环境</w:t>
            </w:r>
          </w:p>
        </w:tc>
        <w:tc>
          <w:tcPr>
            <w:tcW w:w="2199" w:type="dxa"/>
            <w:vAlign w:val="center"/>
          </w:tcPr>
          <w:p w14:paraId="154507EE">
            <w:pPr>
              <w:pStyle w:val="83"/>
              <w:topLinePunct/>
              <w:adjustRightInd/>
              <w:snapToGrid/>
              <w:spacing w:beforeLines="0" w:afterLines="0" w:line="240" w:lineRule="auto"/>
              <w:jc w:val="left"/>
              <w:rPr>
                <w:rFonts w:hint="eastAsia" w:ascii="Times New Roman"/>
              </w:rPr>
            </w:pPr>
            <w:r>
              <w:rPr>
                <w:rFonts w:ascii="Times New Roman"/>
              </w:rPr>
              <w:t>（1）施工生产设临时排水沟、沉淀池处置施工废水</w:t>
            </w:r>
            <w:r>
              <w:rPr>
                <w:rFonts w:hint="eastAsia" w:ascii="Times New Roman"/>
              </w:rPr>
              <w:t>。</w:t>
            </w:r>
          </w:p>
          <w:p w14:paraId="050A536F">
            <w:pPr>
              <w:pStyle w:val="83"/>
              <w:topLinePunct/>
              <w:adjustRightInd/>
              <w:snapToGrid/>
              <w:spacing w:beforeLines="0" w:afterLines="0" w:line="240" w:lineRule="auto"/>
              <w:jc w:val="left"/>
              <w:rPr>
                <w:rFonts w:ascii="Times New Roman"/>
              </w:rPr>
            </w:pPr>
            <w:r>
              <w:rPr>
                <w:rFonts w:ascii="Times New Roman"/>
              </w:rPr>
              <w:t>（2）施工生活区设防渗旱厕，旱厕粪便委托周围农户清掏做周边耕地农肥，施工结束后，旱厕全部运走，恢复植被。</w:t>
            </w:r>
          </w:p>
        </w:tc>
        <w:tc>
          <w:tcPr>
            <w:tcW w:w="1629" w:type="dxa"/>
            <w:vAlign w:val="center"/>
          </w:tcPr>
          <w:p w14:paraId="460DDA27">
            <w:pPr>
              <w:topLinePunct/>
              <w:jc w:val="center"/>
            </w:pPr>
            <w:r>
              <w:t>沉淀池施工记录、排水沟开挖记录、生活废水、施工废水不外排，提供环境监理报告</w:t>
            </w:r>
          </w:p>
        </w:tc>
        <w:tc>
          <w:tcPr>
            <w:tcW w:w="2673" w:type="dxa"/>
            <w:vAlign w:val="center"/>
          </w:tcPr>
          <w:p w14:paraId="461F56E7">
            <w:pPr>
              <w:topLinePunct/>
              <w:jc w:val="left"/>
            </w:pPr>
            <w:r>
              <w:t>（1）</w:t>
            </w:r>
            <w:r>
              <w:rPr>
                <w:rFonts w:hint="eastAsia"/>
              </w:rPr>
              <w:t>以礼河三级电站厂区</w:t>
            </w:r>
            <w:r>
              <w:t>内实行雨污分流，堂废水经1个1m</w:t>
            </w:r>
            <w:r>
              <w:rPr>
                <w:vertAlign w:val="superscript"/>
              </w:rPr>
              <w:t>3</w:t>
            </w:r>
            <w:r>
              <w:t>油水分离器隔油后，连同</w:t>
            </w:r>
            <w:r>
              <w:rPr>
                <w:rFonts w:hint="eastAsia"/>
              </w:rPr>
              <w:t>其他生活</w:t>
            </w:r>
            <w:r>
              <w:t>污水经1个4m</w:t>
            </w:r>
            <w:r>
              <w:rPr>
                <w:vertAlign w:val="superscript"/>
              </w:rPr>
              <w:t>3</w:t>
            </w:r>
            <w:r>
              <w:t>化粪池预处理后，进入1座处理能力为0.5m</w:t>
            </w:r>
            <w:r>
              <w:rPr>
                <w:vertAlign w:val="superscript"/>
              </w:rPr>
              <w:t>3</w:t>
            </w:r>
            <w:r>
              <w:t>/h的地埋式一体化污水</w:t>
            </w:r>
            <w:r>
              <w:rPr>
                <w:rFonts w:hint="eastAsia"/>
              </w:rPr>
              <w:t>处理达《污水综合排放标准》（GB 8978-1996）后进入中水池，不外排；回用于绿化、降尘时，应满足《城市污水再生利用 城市杂用水水质》（GB/T</w:t>
            </w:r>
            <w:r>
              <w:t xml:space="preserve"> </w:t>
            </w:r>
            <w:r>
              <w:rPr>
                <w:rFonts w:hint="eastAsia"/>
              </w:rPr>
              <w:t>18920-2020）绿化标准</w:t>
            </w:r>
            <w:r>
              <w:t>，雨天暂存在1个5m</w:t>
            </w:r>
            <w:r>
              <w:rPr>
                <w:vertAlign w:val="superscript"/>
              </w:rPr>
              <w:t>3</w:t>
            </w:r>
            <w:r>
              <w:t>的中水暂存池内，不外排。</w:t>
            </w:r>
          </w:p>
          <w:p w14:paraId="33069A24">
            <w:pPr>
              <w:topLinePunct/>
              <w:jc w:val="left"/>
            </w:pPr>
            <w:r>
              <w:t>（2）光伏板在旱季进行清洗，由于采用擦洗的方式，产生废水量很少，收集后散排于光伏板下。定期检查光伏场区的排水沟及清掏排水沟末端的沉砂池。</w:t>
            </w:r>
          </w:p>
          <w:p w14:paraId="057E4D57">
            <w:pPr>
              <w:topLinePunct/>
              <w:jc w:val="left"/>
            </w:pPr>
            <w:r>
              <w:t>（3）定期对化粪池、隔油池进行清掏；定期检修中水处理设施，建立污水处理设施管理制度，以保障污水处理设施的处理效果。</w:t>
            </w:r>
          </w:p>
        </w:tc>
        <w:tc>
          <w:tcPr>
            <w:tcW w:w="1657" w:type="dxa"/>
            <w:vAlign w:val="center"/>
          </w:tcPr>
          <w:p w14:paraId="60812B93">
            <w:pPr>
              <w:topLinePunct/>
              <w:jc w:val="left"/>
            </w:pPr>
            <w:r>
              <w:rPr>
                <w:rFonts w:hint="eastAsia"/>
                <w:spacing w:val="1"/>
              </w:rPr>
              <w:t>废水处理达《污水综合排放标准》（GB 8978-1996）后进入中水池，不外排；回用于绿化、降尘时，应满足《城市污水再生利用 城市杂用水水质》（GB/T18920-2020）绿化标准</w:t>
            </w:r>
            <w:r>
              <w:rPr>
                <w:spacing w:val="1"/>
              </w:rPr>
              <w:t>。</w:t>
            </w:r>
          </w:p>
        </w:tc>
      </w:tr>
      <w:tr w14:paraId="1D33A3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14:paraId="584DBF55">
            <w:pPr>
              <w:adjustRightInd w:val="0"/>
              <w:snapToGrid w:val="0"/>
              <w:jc w:val="center"/>
            </w:pPr>
            <w:r>
              <w:t>声环境</w:t>
            </w:r>
          </w:p>
        </w:tc>
        <w:tc>
          <w:tcPr>
            <w:tcW w:w="2199" w:type="dxa"/>
            <w:vAlign w:val="center"/>
          </w:tcPr>
          <w:p w14:paraId="59188350">
            <w:pPr>
              <w:adjustRightInd w:val="0"/>
              <w:snapToGrid w:val="0"/>
              <w:rPr>
                <w:rFonts w:hint="eastAsia"/>
              </w:rPr>
            </w:pPr>
            <w:r>
              <w:rPr>
                <w:rFonts w:hint="eastAsia"/>
              </w:rPr>
              <w:t>车辆限速禁鸣警示牌1</w:t>
            </w:r>
            <w:r>
              <w:t>0</w:t>
            </w:r>
            <w:r>
              <w:rPr>
                <w:rFonts w:hint="eastAsia"/>
              </w:rPr>
              <w:t>个，靠近环境敏感点一侧安装声屏障。采用低噪设备和工艺。</w:t>
            </w:r>
          </w:p>
        </w:tc>
        <w:tc>
          <w:tcPr>
            <w:tcW w:w="1629" w:type="dxa"/>
            <w:vAlign w:val="center"/>
          </w:tcPr>
          <w:p w14:paraId="70C447A0">
            <w:pPr>
              <w:topLinePunct/>
            </w:pPr>
            <w:r>
              <w:rPr>
                <w:rFonts w:hint="eastAsia"/>
              </w:rPr>
              <w:t>厂界</w:t>
            </w:r>
            <w:r>
              <w:t>噪声满足《</w:t>
            </w:r>
            <w:r>
              <w:rPr>
                <w:rFonts w:hint="eastAsia"/>
              </w:rPr>
              <w:t>建筑施工噪声排放标准</w:t>
            </w:r>
            <w:r>
              <w:t>》的要求</w:t>
            </w:r>
            <w:r>
              <w:rPr>
                <w:rFonts w:hint="eastAsia"/>
              </w:rPr>
              <w:t>，声环境保护目标满足</w:t>
            </w:r>
            <w:r>
              <w:t>《声环境质量标准》（GB</w:t>
            </w:r>
            <w:r>
              <w:rPr>
                <w:rFonts w:hint="eastAsia"/>
              </w:rPr>
              <w:t xml:space="preserve"> </w:t>
            </w:r>
            <w:r>
              <w:t>3096-2008）2类区标准。</w:t>
            </w:r>
            <w:r>
              <w:rPr>
                <w:rFonts w:hint="eastAsia"/>
              </w:rPr>
              <w:t>按照监测计划完成施工期监测并提供施工期监测报告。</w:t>
            </w:r>
          </w:p>
        </w:tc>
        <w:tc>
          <w:tcPr>
            <w:tcW w:w="2673" w:type="dxa"/>
            <w:vAlign w:val="center"/>
          </w:tcPr>
          <w:p w14:paraId="786BBFBB">
            <w:pPr>
              <w:adjustRightInd w:val="0"/>
              <w:snapToGrid w:val="0"/>
            </w:pPr>
            <w:r>
              <w:rPr>
                <w:rFonts w:hint="eastAsia"/>
              </w:rPr>
              <w:t>（1）从噪声源方面，</w:t>
            </w:r>
            <w:r>
              <w:t>选用低噪声设备，并加强设备维护</w:t>
            </w:r>
            <w:r>
              <w:rPr>
                <w:rFonts w:hint="eastAsia"/>
              </w:rPr>
              <w:t>，避免带病运营；加强巡视主变、逆变器、箱变等设备，对散热风扇等产生噪声设备进行特殊巡检，发现问题或故障，应及时对散热风扇等零部件进行维护更换，避免因设备老化或故障产生故障噪声，影响周围声环境质量；</w:t>
            </w:r>
          </w:p>
          <w:p w14:paraId="13F4FEED">
            <w:pPr>
              <w:adjustRightInd w:val="0"/>
              <w:snapToGrid w:val="0"/>
            </w:pPr>
            <w:r>
              <w:rPr>
                <w:rFonts w:hint="eastAsia"/>
              </w:rPr>
              <w:t>（2）从传播途径方面，</w:t>
            </w:r>
            <w:r>
              <w:t>采取</w:t>
            </w:r>
            <w:r>
              <w:rPr>
                <w:rFonts w:hint="eastAsia"/>
              </w:rPr>
              <w:t>箱式变压器</w:t>
            </w:r>
            <w:r>
              <w:t>设置于箱变房内，逆变器设置于逆变器箱内</w:t>
            </w:r>
            <w:r>
              <w:rPr>
                <w:rFonts w:hint="eastAsia"/>
              </w:rPr>
              <w:t>密闭</w:t>
            </w:r>
            <w:r>
              <w:t>隔声</w:t>
            </w:r>
            <w:r>
              <w:rPr>
                <w:rFonts w:hint="eastAsia"/>
              </w:rPr>
              <w:t>。</w:t>
            </w:r>
          </w:p>
        </w:tc>
        <w:tc>
          <w:tcPr>
            <w:tcW w:w="1657" w:type="dxa"/>
            <w:vAlign w:val="center"/>
          </w:tcPr>
          <w:p w14:paraId="5CEBDD36">
            <w:pPr>
              <w:adjustRightInd w:val="0"/>
              <w:snapToGrid w:val="0"/>
              <w:rPr>
                <w:rFonts w:hint="eastAsia"/>
              </w:rPr>
            </w:pPr>
            <w:r>
              <w:t>厂界噪声</w:t>
            </w:r>
            <w:r>
              <w:rPr>
                <w:rFonts w:hint="eastAsia"/>
              </w:rPr>
              <w:t>达到</w:t>
            </w:r>
            <w:r>
              <w:t>《工业企业厂界环境噪声排放标准》</w:t>
            </w:r>
            <w:r>
              <w:rPr>
                <w:rFonts w:hint="eastAsia"/>
              </w:rPr>
              <w:t>（</w:t>
            </w:r>
            <w:r>
              <w:t>GB</w:t>
            </w:r>
            <w:r>
              <w:rPr>
                <w:rFonts w:hint="eastAsia"/>
              </w:rPr>
              <w:t xml:space="preserve"> </w:t>
            </w:r>
            <w:r>
              <w:t>12348-2008</w:t>
            </w:r>
            <w:r>
              <w:rPr>
                <w:rFonts w:hint="eastAsia"/>
              </w:rPr>
              <w:t>）</w:t>
            </w:r>
            <w:r>
              <w:t>2类标准；</w:t>
            </w:r>
            <w:r>
              <w:rPr>
                <w:rFonts w:hint="eastAsia"/>
              </w:rPr>
              <w:t>声环境保护目标</w:t>
            </w:r>
            <w:r>
              <w:t>满足《声环境质量标准》（GB 3096-2008）2类区标准</w:t>
            </w:r>
            <w:r>
              <w:rPr>
                <w:rFonts w:hint="eastAsia"/>
              </w:rPr>
              <w:t>，按照监测计划完成验收监测并提供验收监测报告。</w:t>
            </w:r>
          </w:p>
        </w:tc>
      </w:tr>
      <w:tr w14:paraId="57E4F1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14:paraId="34AD1A78">
            <w:pPr>
              <w:adjustRightInd w:val="0"/>
              <w:snapToGrid w:val="0"/>
              <w:jc w:val="center"/>
            </w:pPr>
            <w:r>
              <w:t>固体废物</w:t>
            </w:r>
          </w:p>
        </w:tc>
        <w:tc>
          <w:tcPr>
            <w:tcW w:w="2199" w:type="dxa"/>
            <w:vAlign w:val="center"/>
          </w:tcPr>
          <w:p w14:paraId="0DDA51C1">
            <w:pPr>
              <w:adjustRightInd w:val="0"/>
              <w:snapToGrid w:val="0"/>
            </w:pPr>
            <w:r>
              <w:t>建筑垃圾能回收利用的回收利用，不能回收利用的运送至当地合法的建筑垃圾消纳场规范处置。生活垃圾委托</w:t>
            </w:r>
            <w:r>
              <w:rPr>
                <w:rFonts w:hint="eastAsia"/>
              </w:rPr>
              <w:t>官屯镇</w:t>
            </w:r>
            <w:r>
              <w:t>环卫部门清运处理；旱厕定期委托周围农户定期清掏。</w:t>
            </w:r>
          </w:p>
        </w:tc>
        <w:tc>
          <w:tcPr>
            <w:tcW w:w="1629" w:type="dxa"/>
            <w:vAlign w:val="center"/>
          </w:tcPr>
          <w:p w14:paraId="2B5BA094">
            <w:pPr>
              <w:adjustRightInd w:val="0"/>
              <w:snapToGrid w:val="0"/>
            </w:pPr>
            <w:r>
              <w:t>施工期影像资料、环境监理报告、处置率100%</w:t>
            </w:r>
            <w:r>
              <w:rPr>
                <w:rFonts w:hint="eastAsia"/>
              </w:rPr>
              <w:t>。</w:t>
            </w:r>
          </w:p>
        </w:tc>
        <w:tc>
          <w:tcPr>
            <w:tcW w:w="2673" w:type="dxa"/>
            <w:vAlign w:val="center"/>
          </w:tcPr>
          <w:p w14:paraId="1DFB521C">
            <w:pPr>
              <w:adjustRightInd w:val="0"/>
              <w:snapToGrid w:val="0"/>
            </w:pPr>
            <w:r>
              <w:rPr>
                <w:rFonts w:hint="eastAsia"/>
              </w:rPr>
              <w:t>生活垃圾委托清运至环卫部门；化粪池定期委托周围农户定期清掏；危险</w:t>
            </w:r>
            <w:r>
              <w:t>废物集中收集后委托</w:t>
            </w:r>
            <w:r>
              <w:rPr>
                <w:rFonts w:hint="eastAsia"/>
              </w:rPr>
              <w:t>有</w:t>
            </w:r>
            <w:r>
              <w:t>资质的单位处理。</w:t>
            </w:r>
          </w:p>
        </w:tc>
        <w:tc>
          <w:tcPr>
            <w:tcW w:w="1657" w:type="dxa"/>
            <w:vAlign w:val="center"/>
          </w:tcPr>
          <w:p w14:paraId="2197B0C2">
            <w:pPr>
              <w:topLinePunct/>
              <w:adjustRightInd w:val="0"/>
              <w:snapToGrid w:val="0"/>
            </w:pPr>
            <w:r>
              <w:t>固废处置率100%</w:t>
            </w:r>
            <w:r>
              <w:rPr>
                <w:rFonts w:hint="eastAsia"/>
              </w:rPr>
              <w:t>，提供危废处置协议，提供废旧电池板回收记录，提供危废台账。</w:t>
            </w:r>
          </w:p>
        </w:tc>
      </w:tr>
      <w:tr w14:paraId="5D4CC2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129" w:type="dxa"/>
            <w:vAlign w:val="center"/>
          </w:tcPr>
          <w:p w14:paraId="47907012">
            <w:pPr>
              <w:adjustRightInd w:val="0"/>
              <w:snapToGrid w:val="0"/>
              <w:jc w:val="center"/>
            </w:pPr>
            <w:r>
              <w:t>电磁环境</w:t>
            </w:r>
          </w:p>
        </w:tc>
        <w:tc>
          <w:tcPr>
            <w:tcW w:w="8158" w:type="dxa"/>
            <w:gridSpan w:val="4"/>
            <w:vAlign w:val="center"/>
          </w:tcPr>
          <w:p w14:paraId="0697DEEA">
            <w:pPr>
              <w:adjustRightInd w:val="0"/>
              <w:snapToGrid w:val="0"/>
            </w:pPr>
            <w:r>
              <w:t>本</w:t>
            </w:r>
            <w:r>
              <w:rPr>
                <w:rFonts w:hint="eastAsia"/>
              </w:rPr>
              <w:t>项目编制了</w:t>
            </w:r>
            <w:r>
              <w:t>电磁环境影响</w:t>
            </w:r>
            <w:r>
              <w:rPr>
                <w:rFonts w:hint="eastAsia"/>
              </w:rPr>
              <w:t>专项</w:t>
            </w:r>
            <w:r>
              <w:t>评价</w:t>
            </w:r>
          </w:p>
        </w:tc>
      </w:tr>
      <w:tr w14:paraId="15B927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14:paraId="15462805">
            <w:pPr>
              <w:adjustRightInd w:val="0"/>
              <w:snapToGrid w:val="0"/>
              <w:jc w:val="center"/>
            </w:pPr>
            <w:r>
              <w:t>环境风险</w:t>
            </w:r>
          </w:p>
        </w:tc>
        <w:tc>
          <w:tcPr>
            <w:tcW w:w="2199" w:type="dxa"/>
            <w:vAlign w:val="center"/>
          </w:tcPr>
          <w:p w14:paraId="16FA9400">
            <w:pPr>
              <w:adjustRightInd w:val="0"/>
              <w:snapToGrid w:val="0"/>
              <w:jc w:val="center"/>
            </w:pPr>
            <w:r>
              <w:t>加强燃油机械维修保养；暂存的汽柴油区应设置严禁烟火等禁火标识；燃油机械加油时应做好巡查工作；制定严格健全的安全管理制度和相关人员的培训制度，规范汽柴油运输、使用和储存的过程。</w:t>
            </w:r>
          </w:p>
        </w:tc>
        <w:tc>
          <w:tcPr>
            <w:tcW w:w="1629" w:type="dxa"/>
            <w:vAlign w:val="center"/>
          </w:tcPr>
          <w:p w14:paraId="1210D468">
            <w:pPr>
              <w:adjustRightInd w:val="0"/>
              <w:snapToGrid w:val="0"/>
              <w:jc w:val="center"/>
            </w:pPr>
            <w:r>
              <w:t>施工期影像资料、环境监理报告；无环境风险事故发生</w:t>
            </w:r>
            <w:r>
              <w:rPr>
                <w:rFonts w:hint="eastAsia"/>
              </w:rPr>
              <w:t>。</w:t>
            </w:r>
          </w:p>
        </w:tc>
        <w:tc>
          <w:tcPr>
            <w:tcW w:w="2673" w:type="dxa"/>
            <w:vAlign w:val="center"/>
          </w:tcPr>
          <w:p w14:paraId="7C6CF981">
            <w:pPr>
              <w:rPr>
                <w:rFonts w:hint="eastAsia"/>
              </w:rPr>
            </w:pPr>
            <w:r>
              <w:rPr>
                <w:rFonts w:hint="eastAsia"/>
              </w:rPr>
              <w:t>升压站主变压器所在区域地面硬化处理，同时四周设置集油坑和事故油池；在每台箱变靠近油箱一侧设置事故集油坑；确保设置足够容积事故油池或集油坑。根据可研，主变集油坑体积为10m</w:t>
            </w:r>
            <w:r>
              <w:rPr>
                <w:rFonts w:hint="eastAsia"/>
                <w:vertAlign w:val="superscript"/>
              </w:rPr>
              <w:t>3</w:t>
            </w:r>
            <w:r>
              <w:rPr>
                <w:rFonts w:hint="eastAsia"/>
              </w:rPr>
              <w:t>，主变事故油池容量为50m</w:t>
            </w:r>
            <w:r>
              <w:rPr>
                <w:rFonts w:hint="eastAsia"/>
                <w:vertAlign w:val="superscript"/>
              </w:rPr>
              <w:t>3</w:t>
            </w:r>
            <w:r>
              <w:rPr>
                <w:rFonts w:hint="eastAsia"/>
              </w:rPr>
              <w:t>，每个箱变事故油池为2.5m</w:t>
            </w:r>
            <w:r>
              <w:rPr>
                <w:rFonts w:hint="eastAsia"/>
                <w:vertAlign w:val="superscript"/>
              </w:rPr>
              <w:t>3</w:t>
            </w:r>
            <w:r>
              <w:rPr>
                <w:rFonts w:hint="eastAsia"/>
              </w:rPr>
              <w:t>，保证事故发生时能够容纳全部的事故油。</w:t>
            </w:r>
          </w:p>
        </w:tc>
        <w:tc>
          <w:tcPr>
            <w:tcW w:w="1657" w:type="dxa"/>
            <w:vAlign w:val="center"/>
          </w:tcPr>
          <w:p w14:paraId="2557859B">
            <w:pPr>
              <w:adjustRightInd w:val="0"/>
              <w:snapToGrid w:val="0"/>
            </w:pPr>
            <w:r>
              <w:t>主变压器、箱变等事故情况下，油料不外泄。</w:t>
            </w:r>
            <w:r>
              <w:rPr>
                <w:rFonts w:hint="eastAsia"/>
              </w:rPr>
              <w:t>并在日常维护检查中对集油坑积水进行检查，清理集油坑中的积水，提供日常检查、巡查记录。</w:t>
            </w:r>
          </w:p>
        </w:tc>
      </w:tr>
      <w:tr w14:paraId="19F1B7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29" w:type="dxa"/>
            <w:vAlign w:val="center"/>
          </w:tcPr>
          <w:p w14:paraId="3C9D1444">
            <w:pPr>
              <w:adjustRightInd w:val="0"/>
              <w:snapToGrid w:val="0"/>
              <w:jc w:val="center"/>
            </w:pPr>
            <w:r>
              <w:rPr>
                <w:rFonts w:hint="eastAsia"/>
              </w:rPr>
              <w:t>环境监测</w:t>
            </w:r>
          </w:p>
        </w:tc>
        <w:tc>
          <w:tcPr>
            <w:tcW w:w="2199" w:type="dxa"/>
            <w:vAlign w:val="center"/>
          </w:tcPr>
          <w:p w14:paraId="494BB317">
            <w:pPr>
              <w:topLinePunct/>
            </w:pPr>
            <w:r>
              <w:t>对施工扬尘</w:t>
            </w:r>
            <w:r>
              <w:rPr>
                <w:rFonts w:hint="eastAsia"/>
              </w:rPr>
              <w:t>、环境空气质量、噪声和</w:t>
            </w:r>
            <w:r>
              <w:t>声环境质量</w:t>
            </w:r>
            <w:r>
              <w:rPr>
                <w:rFonts w:hint="eastAsia"/>
              </w:rPr>
              <w:t>进行监测</w:t>
            </w:r>
          </w:p>
        </w:tc>
        <w:tc>
          <w:tcPr>
            <w:tcW w:w="1629" w:type="dxa"/>
            <w:vAlign w:val="center"/>
          </w:tcPr>
          <w:p w14:paraId="54A67FEC">
            <w:pPr>
              <w:pStyle w:val="227"/>
              <w:topLinePunct/>
              <w:jc w:val="both"/>
              <w:rPr>
                <w:szCs w:val="21"/>
              </w:rPr>
            </w:pPr>
            <w:r>
              <w:rPr>
                <w:rFonts w:hint="eastAsia"/>
                <w:szCs w:val="21"/>
              </w:rPr>
              <w:t>（1）</w:t>
            </w:r>
            <w:r>
              <w:rPr>
                <w:szCs w:val="21"/>
              </w:rPr>
              <w:t>扬尘满足《大气污染物综合排放标准》（GB 16297-1996）中大气污染物无组织排放浓度限值；</w:t>
            </w:r>
          </w:p>
          <w:p w14:paraId="44CEAC18">
            <w:pPr>
              <w:topLinePunct/>
              <w:rPr>
                <w:rFonts w:hint="eastAsia"/>
              </w:rPr>
            </w:pPr>
            <w:r>
              <w:rPr>
                <w:rFonts w:hint="eastAsia"/>
              </w:rPr>
              <w:t>（2）</w:t>
            </w:r>
            <w:r>
              <w:t>环境空气质量满足《环境空气质量标准》（GB 3095-2026）</w:t>
            </w:r>
            <w:r>
              <w:rPr>
                <w:rFonts w:hint="eastAsia"/>
              </w:rPr>
              <w:t>过渡阶段</w:t>
            </w:r>
            <w:r>
              <w:t>二级标准</w:t>
            </w:r>
            <w:r>
              <w:rPr>
                <w:rFonts w:hint="eastAsia"/>
              </w:rPr>
              <w:t>；</w:t>
            </w:r>
          </w:p>
          <w:p w14:paraId="6636636C">
            <w:pPr>
              <w:topLinePunct/>
            </w:pPr>
            <w:r>
              <w:rPr>
                <w:rFonts w:hint="eastAsia"/>
              </w:rPr>
              <w:t>（3）</w:t>
            </w:r>
            <w:r>
              <w:t>噪声满足《建筑施工噪声排放标准》（GB 12523-20</w:t>
            </w:r>
            <w:r>
              <w:rPr>
                <w:rFonts w:hint="eastAsia"/>
              </w:rPr>
              <w:t>25；</w:t>
            </w:r>
          </w:p>
          <w:p w14:paraId="26372AE4">
            <w:pPr>
              <w:pStyle w:val="227"/>
              <w:topLinePunct/>
              <w:jc w:val="both"/>
              <w:rPr>
                <w:szCs w:val="21"/>
              </w:rPr>
            </w:pPr>
            <w:r>
              <w:rPr>
                <w:rFonts w:hint="eastAsia"/>
                <w:szCs w:val="21"/>
              </w:rPr>
              <w:t>（4）</w:t>
            </w:r>
            <w:r>
              <w:rPr>
                <w:szCs w:val="21"/>
              </w:rPr>
              <w:t>声环境质量满足《声环境质量标准》（GB 3096-2008）</w:t>
            </w:r>
          </w:p>
        </w:tc>
        <w:tc>
          <w:tcPr>
            <w:tcW w:w="2673" w:type="dxa"/>
            <w:vAlign w:val="center"/>
          </w:tcPr>
          <w:p w14:paraId="16C99816">
            <w:pPr>
              <w:adjustRightInd w:val="0"/>
              <w:snapToGrid w:val="0"/>
              <w:jc w:val="center"/>
              <w:rPr>
                <w:rFonts w:hint="eastAsia"/>
              </w:rPr>
            </w:pPr>
            <w:r>
              <w:t>对</w:t>
            </w:r>
            <w:r>
              <w:rPr>
                <w:rFonts w:hint="eastAsia"/>
              </w:rPr>
              <w:t>噪声和</w:t>
            </w:r>
            <w:r>
              <w:t>声环境质量</w:t>
            </w:r>
            <w:r>
              <w:rPr>
                <w:rFonts w:hint="eastAsia"/>
              </w:rPr>
              <w:t>、生活污水、电磁环境进行监测</w:t>
            </w:r>
          </w:p>
        </w:tc>
        <w:tc>
          <w:tcPr>
            <w:tcW w:w="1657" w:type="dxa"/>
            <w:vAlign w:val="center"/>
          </w:tcPr>
          <w:p w14:paraId="2E737DFA">
            <w:pPr>
              <w:topLinePunct/>
              <w:rPr>
                <w:rFonts w:hint="eastAsia"/>
              </w:rPr>
            </w:pPr>
            <w:r>
              <w:rPr>
                <w:rFonts w:hint="eastAsia"/>
              </w:rPr>
              <w:t>（1）噪声满足《工业企业厂界环境噪声排放标准》（GB12348-2008）；</w:t>
            </w:r>
          </w:p>
          <w:p w14:paraId="1C763F6D">
            <w:pPr>
              <w:pStyle w:val="29"/>
              <w:topLinePunct/>
              <w:spacing w:after="0"/>
              <w:ind w:left="0" w:leftChars="0" w:firstLine="0" w:firstLineChars="0"/>
              <w:rPr>
                <w:rFonts w:hint="eastAsia"/>
                <w:szCs w:val="21"/>
              </w:rPr>
            </w:pPr>
            <w:r>
              <w:rPr>
                <w:rFonts w:hint="eastAsia"/>
                <w:szCs w:val="21"/>
              </w:rPr>
              <w:t>（2）</w:t>
            </w:r>
            <w:r>
              <w:rPr>
                <w:szCs w:val="21"/>
              </w:rPr>
              <w:t>声环境质量满足《声环境质量标准》（GB 3096-2008）</w:t>
            </w:r>
            <w:r>
              <w:rPr>
                <w:rFonts w:hint="eastAsia"/>
                <w:szCs w:val="21"/>
              </w:rPr>
              <w:t>；</w:t>
            </w:r>
          </w:p>
          <w:p w14:paraId="4FD11178">
            <w:pPr>
              <w:topLinePunct/>
              <w:rPr>
                <w:rFonts w:hint="eastAsia"/>
              </w:rPr>
            </w:pPr>
            <w:r>
              <w:rPr>
                <w:rFonts w:hint="eastAsia"/>
              </w:rPr>
              <w:t>（3）生活污水处理达《污水综合排放标准》（GB 8978-1996）后进入中水池，不外排；回用于绿化、降尘时，应满足《城市污水再生利用 城市杂用水水质》（GB/T18920-2020）绿化标准；</w:t>
            </w:r>
          </w:p>
          <w:p w14:paraId="3092B6B2">
            <w:pPr>
              <w:pStyle w:val="29"/>
              <w:topLinePunct/>
              <w:spacing w:after="0"/>
              <w:ind w:left="0" w:leftChars="0" w:firstLine="0" w:firstLineChars="0"/>
              <w:rPr>
                <w:szCs w:val="21"/>
              </w:rPr>
            </w:pPr>
            <w:r>
              <w:rPr>
                <w:rFonts w:hint="eastAsia"/>
                <w:szCs w:val="21"/>
              </w:rPr>
              <w:t>（4）电磁环境满足</w:t>
            </w:r>
            <w:r>
              <w:rPr>
                <w:szCs w:val="21"/>
              </w:rPr>
              <w:t>《电磁环境控制限值》（GB8702-2014）</w:t>
            </w:r>
          </w:p>
        </w:tc>
      </w:tr>
      <w:tr w14:paraId="5D76F5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14:paraId="3432BD35">
            <w:pPr>
              <w:adjustRightInd w:val="0"/>
              <w:snapToGrid w:val="0"/>
              <w:jc w:val="center"/>
            </w:pPr>
            <w:r>
              <w:t>其他</w:t>
            </w:r>
          </w:p>
        </w:tc>
        <w:tc>
          <w:tcPr>
            <w:tcW w:w="2199" w:type="dxa"/>
            <w:vAlign w:val="center"/>
          </w:tcPr>
          <w:p w14:paraId="527E2601">
            <w:pPr>
              <w:adjustRightInd w:val="0"/>
              <w:snapToGrid w:val="0"/>
              <w:jc w:val="center"/>
            </w:pPr>
            <w:r>
              <w:rPr>
                <w:rFonts w:hint="eastAsia"/>
              </w:rPr>
              <w:t>环境</w:t>
            </w:r>
            <w:r>
              <w:t>管理措施</w:t>
            </w:r>
          </w:p>
        </w:tc>
        <w:tc>
          <w:tcPr>
            <w:tcW w:w="1629" w:type="dxa"/>
            <w:vAlign w:val="center"/>
          </w:tcPr>
          <w:p w14:paraId="51639507">
            <w:pPr>
              <w:adjustRightInd w:val="0"/>
              <w:snapToGrid w:val="0"/>
              <w:jc w:val="center"/>
            </w:pPr>
            <w:r>
              <w:rPr>
                <w:rFonts w:hint="eastAsia"/>
              </w:rPr>
              <w:t>施工单位及时报送环境保护施工方案，建立环境管理机构，提交环境监理报告。</w:t>
            </w:r>
          </w:p>
        </w:tc>
        <w:tc>
          <w:tcPr>
            <w:tcW w:w="2673" w:type="dxa"/>
            <w:vAlign w:val="center"/>
          </w:tcPr>
          <w:p w14:paraId="2B0B3881">
            <w:pPr>
              <w:adjustRightInd w:val="0"/>
              <w:snapToGrid w:val="0"/>
              <w:jc w:val="center"/>
            </w:pPr>
            <w:r>
              <w:t>/</w:t>
            </w:r>
          </w:p>
        </w:tc>
        <w:tc>
          <w:tcPr>
            <w:tcW w:w="1657" w:type="dxa"/>
            <w:vAlign w:val="center"/>
          </w:tcPr>
          <w:p w14:paraId="0BCB7544">
            <w:pPr>
              <w:adjustRightInd w:val="0"/>
              <w:snapToGrid w:val="0"/>
              <w:jc w:val="center"/>
            </w:pPr>
            <w:r>
              <w:t>/</w:t>
            </w:r>
          </w:p>
        </w:tc>
      </w:tr>
    </w:tbl>
    <w:p w14:paraId="4C6FB241">
      <w:pPr>
        <w:pStyle w:val="26"/>
        <w:spacing w:before="0" w:beforeAutospacing="0" w:after="0" w:afterAutospacing="0" w:line="360" w:lineRule="auto"/>
        <w:jc w:val="center"/>
        <w:outlineLvl w:val="0"/>
        <w:rPr>
          <w:rFonts w:hint="eastAsia" w:ascii="黑体" w:hAnsi="黑体" w:eastAsia="黑体"/>
          <w:snapToGrid w:val="0"/>
          <w:sz w:val="30"/>
          <w:szCs w:val="30"/>
        </w:rPr>
        <w:sectPr>
          <w:headerReference r:id="rId8" w:type="default"/>
          <w:pgSz w:w="11905" w:h="16838"/>
          <w:pgMar w:top="1531" w:right="1417" w:bottom="1531" w:left="1417" w:header="851" w:footer="1077" w:gutter="0"/>
          <w:pgBorders>
            <w:top w:val="none" w:sz="0" w:space="0"/>
            <w:left w:val="none" w:sz="0" w:space="0"/>
            <w:bottom w:val="none" w:sz="0" w:space="0"/>
            <w:right w:val="none" w:sz="0" w:space="0"/>
          </w:pgBorders>
          <w:cols w:space="720" w:num="1"/>
          <w:docGrid w:linePitch="312" w:charSpace="0"/>
        </w:sectPr>
      </w:pPr>
      <w:bookmarkStart w:id="217" w:name="_Toc32398"/>
      <w:bookmarkStart w:id="218" w:name="_Toc12849"/>
      <w:bookmarkStart w:id="219" w:name="_Toc122040762"/>
      <w:bookmarkStart w:id="220" w:name="_Toc31419"/>
    </w:p>
    <w:p w14:paraId="55EA2FE9">
      <w:pPr>
        <w:spacing w:line="360" w:lineRule="auto"/>
        <w:ind w:firstLine="480" w:firstLineChars="200"/>
        <w:rPr>
          <w:snapToGrid w:val="0"/>
          <w:color w:val="000000"/>
          <w:kern w:val="0"/>
          <w:sz w:val="24"/>
        </w:rPr>
      </w:pPr>
    </w:p>
    <w:p w14:paraId="7B632641">
      <w:pPr>
        <w:spacing w:line="360" w:lineRule="auto"/>
        <w:ind w:firstLine="600" w:firstLineChars="200"/>
        <w:rPr>
          <w:rFonts w:hint="eastAsia" w:ascii="黑体" w:hAnsi="黑体" w:eastAsia="黑体"/>
          <w:snapToGrid w:val="0"/>
          <w:sz w:val="30"/>
          <w:szCs w:val="30"/>
        </w:rPr>
        <w:sectPr>
          <w:type w:val="continuous"/>
          <w:pgSz w:w="11905" w:h="16838"/>
          <w:pgMar w:top="1531" w:right="1417" w:bottom="1531" w:left="1417" w:header="851" w:footer="1077" w:gutter="0"/>
          <w:pgBorders>
            <w:top w:val="none" w:sz="0" w:space="0"/>
            <w:left w:val="none" w:sz="0" w:space="0"/>
            <w:bottom w:val="none" w:sz="0" w:space="0"/>
            <w:right w:val="none" w:sz="0" w:space="0"/>
          </w:pgBorders>
          <w:cols w:space="720" w:num="1"/>
          <w:docGrid w:linePitch="312" w:charSpace="0"/>
        </w:sectPr>
      </w:pPr>
    </w:p>
    <w:p w14:paraId="173A3D56">
      <w:pPr>
        <w:pStyle w:val="26"/>
        <w:spacing w:before="0" w:beforeAutospacing="0" w:after="0" w:afterAutospacing="0" w:line="360" w:lineRule="auto"/>
        <w:jc w:val="center"/>
        <w:outlineLvl w:val="0"/>
        <w:rPr>
          <w:rFonts w:ascii="黑体" w:hAnsi="黑体" w:eastAsia="黑体"/>
          <w:snapToGrid w:val="0"/>
          <w:sz w:val="30"/>
          <w:szCs w:val="30"/>
        </w:rPr>
      </w:pPr>
      <w:bookmarkStart w:id="221" w:name="_Toc233036194"/>
      <w:bookmarkStart w:id="222" w:name="_Toc231571714"/>
      <w:r>
        <w:rPr>
          <w:rFonts w:hint="eastAsia" w:ascii="黑体" w:hAnsi="黑体" w:eastAsia="黑体"/>
          <w:snapToGrid w:val="0"/>
          <w:sz w:val="30"/>
          <w:szCs w:val="30"/>
        </w:rPr>
        <w:t>七、结论</w:t>
      </w:r>
      <w:bookmarkEnd w:id="217"/>
      <w:bookmarkEnd w:id="218"/>
      <w:bookmarkEnd w:id="219"/>
      <w:bookmarkEnd w:id="220"/>
      <w:bookmarkEnd w:id="221"/>
      <w:bookmarkEnd w:id="222"/>
    </w:p>
    <w:tbl>
      <w:tblPr>
        <w:tblStyle w:val="30"/>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718D45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9289" w:type="dxa"/>
            <w:noWrap/>
          </w:tcPr>
          <w:p w14:paraId="0D02A9C7">
            <w:pPr>
              <w:autoSpaceDE w:val="0"/>
              <w:autoSpaceDN w:val="0"/>
              <w:spacing w:line="360" w:lineRule="auto"/>
              <w:rPr>
                <w:b/>
                <w:bCs/>
                <w:snapToGrid w:val="0"/>
                <w:color w:val="000000"/>
                <w:kern w:val="0"/>
                <w:sz w:val="24"/>
                <w:szCs w:val="24"/>
              </w:rPr>
            </w:pPr>
            <w:r>
              <w:rPr>
                <w:rFonts w:hint="eastAsia"/>
                <w:b/>
                <w:bCs/>
                <w:snapToGrid w:val="0"/>
                <w:color w:val="000000"/>
                <w:kern w:val="0"/>
                <w:sz w:val="24"/>
                <w:szCs w:val="24"/>
              </w:rPr>
              <w:t>7.1 评价结论</w:t>
            </w:r>
          </w:p>
          <w:p w14:paraId="547E8554">
            <w:pPr>
              <w:spacing w:line="360" w:lineRule="auto"/>
              <w:ind w:firstLine="480" w:firstLineChars="200"/>
              <w:rPr>
                <w:rFonts w:hint="eastAsia"/>
                <w:snapToGrid w:val="0"/>
                <w:color w:val="000000"/>
                <w:kern w:val="0"/>
                <w:sz w:val="24"/>
              </w:rPr>
            </w:pPr>
            <w:bookmarkStart w:id="223" w:name="OLE_LINK72"/>
            <w:r>
              <w:rPr>
                <w:rFonts w:hint="eastAsia"/>
                <w:snapToGrid w:val="0"/>
                <w:color w:val="000000"/>
                <w:kern w:val="0"/>
                <w:sz w:val="24"/>
              </w:rPr>
              <w:t>绿坪村光伏电站的建设符合《云南省主体功能区规划》《云南省生态功能区划》《曲靖市生态环境分区管控动态更新调整方案（2023年）》等光伏用地意见、环保政策要求。</w:t>
            </w:r>
          </w:p>
          <w:p w14:paraId="0DB3E8EE">
            <w:pPr>
              <w:adjustRightInd w:val="0"/>
              <w:snapToGrid w:val="0"/>
              <w:spacing w:line="360" w:lineRule="auto"/>
              <w:ind w:firstLine="480"/>
              <w:rPr>
                <w:snapToGrid w:val="0"/>
                <w:color w:val="000000"/>
                <w:kern w:val="0"/>
                <w:sz w:val="24"/>
              </w:rPr>
            </w:pPr>
            <w:r>
              <w:rPr>
                <w:rFonts w:hint="eastAsia"/>
                <w:snapToGrid w:val="0"/>
                <w:color w:val="000000"/>
                <w:kern w:val="0"/>
                <w:sz w:val="24"/>
              </w:rPr>
              <w:t>项目已取得会泽县自然资源局、水务局、林业和草原局、曲靖市生态环境局会泽分局等行政主管部门关于本项目的选址意见，均同意项目的选址方案。项目不涉及自然</w:t>
            </w:r>
            <w:r>
              <w:rPr>
                <w:snapToGrid w:val="0"/>
                <w:color w:val="000000"/>
                <w:kern w:val="0"/>
                <w:sz w:val="24"/>
              </w:rPr>
              <w:t>保护区、风景名胜区</w:t>
            </w:r>
            <w:r>
              <w:rPr>
                <w:rFonts w:hint="eastAsia"/>
                <w:snapToGrid w:val="0"/>
                <w:color w:val="000000"/>
                <w:kern w:val="0"/>
                <w:sz w:val="24"/>
              </w:rPr>
              <w:t>、森林</w:t>
            </w:r>
            <w:r>
              <w:rPr>
                <w:snapToGrid w:val="0"/>
                <w:color w:val="000000"/>
                <w:kern w:val="0"/>
                <w:sz w:val="24"/>
              </w:rPr>
              <w:t>公园、</w:t>
            </w:r>
            <w:r>
              <w:rPr>
                <w:rFonts w:hint="eastAsia"/>
                <w:snapToGrid w:val="0"/>
                <w:color w:val="000000"/>
                <w:kern w:val="0"/>
                <w:sz w:val="24"/>
              </w:rPr>
              <w:t>饮用水水源保护区</w:t>
            </w:r>
            <w:r>
              <w:rPr>
                <w:snapToGrid w:val="0"/>
                <w:color w:val="000000"/>
                <w:kern w:val="0"/>
                <w:sz w:val="24"/>
              </w:rPr>
              <w:t>、</w:t>
            </w:r>
            <w:r>
              <w:rPr>
                <w:rFonts w:hint="eastAsia"/>
                <w:snapToGrid w:val="0"/>
                <w:color w:val="000000"/>
                <w:kern w:val="0"/>
                <w:sz w:val="24"/>
              </w:rPr>
              <w:t>生态保护红线等各类环境敏感区，工程无重大环境制约因素，选址合理。</w:t>
            </w:r>
          </w:p>
          <w:p w14:paraId="156974D1">
            <w:pPr>
              <w:spacing w:line="360" w:lineRule="auto"/>
              <w:ind w:firstLine="480" w:firstLineChars="200"/>
              <w:rPr>
                <w:snapToGrid w:val="0"/>
                <w:color w:val="000000"/>
                <w:kern w:val="0"/>
                <w:sz w:val="24"/>
              </w:rPr>
            </w:pPr>
            <w:r>
              <w:rPr>
                <w:rFonts w:hint="eastAsia"/>
                <w:snapToGrid w:val="0"/>
                <w:color w:val="000000"/>
                <w:kern w:val="0"/>
                <w:sz w:val="24"/>
              </w:rPr>
              <w:t>本项目为光伏发电项目，采用的技术成熟、可靠，为清洁能源。项目在设计和施工过程中按环评及水土保持方案提出的生态保护和污染防治措施落实后，产生的环境影响满足相应环境保护标准要求，对当地生态环境、声环境、大气环境、水环境等的影响小，不会改变项目所在区域环境功能。</w:t>
            </w:r>
          </w:p>
          <w:p w14:paraId="17587F04">
            <w:pPr>
              <w:spacing w:line="360" w:lineRule="auto"/>
              <w:ind w:firstLine="480" w:firstLineChars="200"/>
              <w:rPr>
                <w:snapToGrid w:val="0"/>
                <w:color w:val="000000"/>
                <w:kern w:val="0"/>
                <w:sz w:val="24"/>
              </w:rPr>
            </w:pPr>
            <w:r>
              <w:rPr>
                <w:rFonts w:hint="eastAsia"/>
                <w:snapToGrid w:val="0"/>
                <w:color w:val="000000"/>
                <w:kern w:val="0"/>
                <w:sz w:val="24"/>
              </w:rPr>
              <w:t>从环保角度分析，本项目建设是可行的。</w:t>
            </w:r>
            <w:bookmarkEnd w:id="223"/>
          </w:p>
          <w:p w14:paraId="1C864468">
            <w:pPr>
              <w:autoSpaceDE w:val="0"/>
              <w:autoSpaceDN w:val="0"/>
              <w:spacing w:line="360" w:lineRule="auto"/>
              <w:rPr>
                <w:rFonts w:hint="eastAsia"/>
                <w:b/>
                <w:bCs/>
                <w:snapToGrid w:val="0"/>
                <w:color w:val="000000"/>
                <w:kern w:val="0"/>
                <w:sz w:val="24"/>
                <w:szCs w:val="24"/>
              </w:rPr>
            </w:pPr>
            <w:r>
              <w:rPr>
                <w:rFonts w:hint="eastAsia"/>
                <w:b/>
                <w:bCs/>
                <w:snapToGrid w:val="0"/>
                <w:color w:val="000000"/>
                <w:kern w:val="0"/>
                <w:sz w:val="24"/>
                <w:szCs w:val="24"/>
              </w:rPr>
              <w:t>7.2 建议</w:t>
            </w:r>
          </w:p>
          <w:p w14:paraId="51EFB2A0">
            <w:pPr>
              <w:spacing w:line="360" w:lineRule="auto"/>
              <w:ind w:firstLine="480" w:firstLineChars="200"/>
              <w:rPr>
                <w:snapToGrid w:val="0"/>
                <w:color w:val="000000"/>
                <w:kern w:val="0"/>
                <w:sz w:val="24"/>
                <w:szCs w:val="24"/>
              </w:rPr>
            </w:pPr>
            <w:r>
              <w:rPr>
                <w:snapToGrid w:val="0"/>
                <w:color w:val="000000"/>
                <w:kern w:val="0"/>
                <w:sz w:val="24"/>
                <w:szCs w:val="24"/>
              </w:rPr>
              <w:t>（1）环保设施与主体工程要求同时设计、同时施工、同时投产。</w:t>
            </w:r>
          </w:p>
          <w:p w14:paraId="4231A753">
            <w:pPr>
              <w:spacing w:line="360" w:lineRule="auto"/>
              <w:ind w:firstLine="480" w:firstLineChars="200"/>
              <w:rPr>
                <w:snapToGrid w:val="0"/>
                <w:color w:val="000000"/>
                <w:kern w:val="0"/>
                <w:sz w:val="24"/>
                <w:szCs w:val="24"/>
              </w:rPr>
            </w:pPr>
            <w:r>
              <w:rPr>
                <w:snapToGrid w:val="0"/>
                <w:color w:val="000000"/>
                <w:kern w:val="0"/>
                <w:sz w:val="24"/>
                <w:szCs w:val="24"/>
              </w:rPr>
              <w:t>（2）项目建设期间应加强与周边</w:t>
            </w:r>
            <w:r>
              <w:rPr>
                <w:rFonts w:hint="eastAsia"/>
                <w:snapToGrid w:val="0"/>
                <w:color w:val="000000"/>
                <w:kern w:val="0"/>
                <w:sz w:val="24"/>
                <w:szCs w:val="24"/>
              </w:rPr>
              <w:t>环境保护目标</w:t>
            </w:r>
            <w:r>
              <w:rPr>
                <w:snapToGrid w:val="0"/>
                <w:color w:val="000000"/>
                <w:kern w:val="0"/>
                <w:sz w:val="24"/>
                <w:szCs w:val="24"/>
              </w:rPr>
              <w:t>居民的沟通交流工作，消除周围居民担忧。</w:t>
            </w:r>
          </w:p>
          <w:p w14:paraId="38646BDE">
            <w:pPr>
              <w:spacing w:line="360" w:lineRule="auto"/>
              <w:ind w:firstLine="480" w:firstLineChars="200"/>
              <w:rPr>
                <w:snapToGrid w:val="0"/>
                <w:color w:val="000000"/>
                <w:kern w:val="0"/>
                <w:sz w:val="24"/>
              </w:rPr>
            </w:pPr>
            <w:r>
              <w:rPr>
                <w:snapToGrid w:val="0"/>
                <w:color w:val="000000"/>
                <w:kern w:val="0"/>
                <w:sz w:val="24"/>
              </w:rPr>
              <w:t>（</w:t>
            </w:r>
            <w:r>
              <w:rPr>
                <w:rFonts w:hint="eastAsia"/>
                <w:snapToGrid w:val="0"/>
                <w:color w:val="000000"/>
                <w:kern w:val="0"/>
                <w:sz w:val="24"/>
              </w:rPr>
              <w:t>3</w:t>
            </w:r>
            <w:r>
              <w:rPr>
                <w:snapToGrid w:val="0"/>
                <w:color w:val="000000"/>
                <w:kern w:val="0"/>
                <w:sz w:val="24"/>
              </w:rPr>
              <w:t>）</w:t>
            </w:r>
            <w:r>
              <w:rPr>
                <w:rFonts w:hint="eastAsia"/>
                <w:snapToGrid w:val="0"/>
                <w:color w:val="000000"/>
                <w:kern w:val="0"/>
                <w:sz w:val="24"/>
              </w:rPr>
              <w:t>加大</w:t>
            </w:r>
            <w:r>
              <w:rPr>
                <w:snapToGrid w:val="0"/>
                <w:color w:val="000000"/>
                <w:kern w:val="0"/>
                <w:sz w:val="24"/>
              </w:rPr>
              <w:t>企业环保管理力度，</w:t>
            </w:r>
            <w:r>
              <w:rPr>
                <w:rFonts w:hint="eastAsia"/>
                <w:snapToGrid w:val="0"/>
                <w:color w:val="000000"/>
                <w:kern w:val="0"/>
                <w:sz w:val="24"/>
              </w:rPr>
              <w:t>增加</w:t>
            </w:r>
            <w:r>
              <w:rPr>
                <w:snapToGrid w:val="0"/>
                <w:color w:val="000000"/>
                <w:kern w:val="0"/>
                <w:sz w:val="24"/>
              </w:rPr>
              <w:t>环保知识培训</w:t>
            </w:r>
            <w:r>
              <w:rPr>
                <w:rFonts w:hint="eastAsia"/>
                <w:snapToGrid w:val="0"/>
                <w:color w:val="000000"/>
                <w:kern w:val="0"/>
                <w:sz w:val="24"/>
              </w:rPr>
              <w:t>，增强员工环境保护意识</w:t>
            </w:r>
            <w:r>
              <w:rPr>
                <w:snapToGrid w:val="0"/>
                <w:color w:val="000000"/>
                <w:kern w:val="0"/>
                <w:sz w:val="24"/>
              </w:rPr>
              <w:t>。</w:t>
            </w:r>
          </w:p>
          <w:p w14:paraId="30518E5F">
            <w:pPr>
              <w:spacing w:line="360" w:lineRule="auto"/>
              <w:ind w:firstLine="480" w:firstLineChars="200"/>
              <w:rPr>
                <w:rFonts w:hint="eastAsia"/>
                <w:snapToGrid w:val="0"/>
                <w:color w:val="000000"/>
                <w:kern w:val="0"/>
                <w:sz w:val="24"/>
              </w:rPr>
            </w:pPr>
            <w:r>
              <w:rPr>
                <w:rFonts w:hint="eastAsia"/>
                <w:snapToGrid w:val="0"/>
                <w:color w:val="000000"/>
                <w:kern w:val="0"/>
                <w:sz w:val="24"/>
              </w:rPr>
              <w:t>（4）做好与依托项目的协商和衔接工作，确保依托的环境保护措施落实到位。</w:t>
            </w:r>
          </w:p>
        </w:tc>
      </w:tr>
    </w:tbl>
    <w:p w14:paraId="28538E6F">
      <w:pPr>
        <w:sectPr>
          <w:pgSz w:w="11905" w:h="16838"/>
          <w:pgMar w:top="1531" w:right="1417" w:bottom="1531" w:left="1417" w:header="851" w:footer="1077" w:gutter="0"/>
          <w:pgBorders>
            <w:top w:val="none" w:sz="0" w:space="0"/>
            <w:left w:val="none" w:sz="0" w:space="0"/>
            <w:bottom w:val="none" w:sz="0" w:space="0"/>
            <w:right w:val="none" w:sz="0" w:space="0"/>
          </w:pgBorders>
          <w:cols w:space="720" w:num="1"/>
          <w:docGrid w:linePitch="312" w:charSpace="0"/>
        </w:sectPr>
      </w:pPr>
    </w:p>
    <w:p w14:paraId="2A44F5B4">
      <w:pPr>
        <w:rPr>
          <w:rFonts w:hint="eastAsia"/>
        </w:rPr>
      </w:pPr>
    </w:p>
    <w:p w14:paraId="0615B9C5">
      <w:pPr>
        <w:rPr>
          <w:rFonts w:hint="eastAsia"/>
        </w:rPr>
      </w:pPr>
    </w:p>
    <w:p w14:paraId="6F3E9231">
      <w:pPr>
        <w:rPr>
          <w:rFonts w:hint="eastAsia"/>
        </w:rPr>
      </w:pPr>
    </w:p>
    <w:p w14:paraId="78EE4723">
      <w:pPr>
        <w:rPr>
          <w:rFonts w:hint="eastAsia"/>
        </w:rPr>
      </w:pPr>
    </w:p>
    <w:p w14:paraId="12233A7E">
      <w:pPr>
        <w:rPr>
          <w:rFonts w:hint="eastAsia"/>
        </w:rPr>
      </w:pPr>
    </w:p>
    <w:p w14:paraId="7DB0FA0B">
      <w:pPr>
        <w:keepNext/>
        <w:overflowPunct w:val="0"/>
        <w:snapToGrid w:val="0"/>
        <w:spacing w:before="120" w:after="160" w:line="259" w:lineRule="auto"/>
        <w:jc w:val="center"/>
        <w:rPr>
          <w:rFonts w:hint="eastAsia" w:ascii="宋体" w:hAnsi="宋体"/>
          <w:b/>
          <w:bCs/>
          <w:color w:val="000000"/>
          <w:kern w:val="44"/>
          <w:sz w:val="44"/>
          <w:szCs w:val="44"/>
        </w:rPr>
        <w:sectPr>
          <w:footerReference r:id="rId9" w:type="default"/>
          <w:pgSz w:w="11905" w:h="16838"/>
          <w:pgMar w:top="1531" w:right="1417" w:bottom="1531" w:left="1417" w:header="851" w:footer="1077" w:gutter="0"/>
          <w:pgBorders>
            <w:top w:val="none" w:sz="0" w:space="0"/>
            <w:left w:val="none" w:sz="0" w:space="0"/>
            <w:bottom w:val="none" w:sz="0" w:space="0"/>
            <w:right w:val="none" w:sz="0" w:space="0"/>
          </w:pgBorders>
          <w:cols w:space="720" w:num="1"/>
          <w:docGrid w:linePitch="312" w:charSpace="0"/>
        </w:sectPr>
      </w:pPr>
      <w:bookmarkStart w:id="224" w:name="_Toc17942"/>
      <w:bookmarkStart w:id="225" w:name="_Toc8509"/>
      <w:bookmarkStart w:id="226" w:name="_Toc4133"/>
    </w:p>
    <w:p w14:paraId="443A44E7">
      <w:pPr>
        <w:keepNext/>
        <w:overflowPunct w:val="0"/>
        <w:snapToGrid w:val="0"/>
        <w:spacing w:before="120" w:after="160" w:line="259" w:lineRule="auto"/>
        <w:jc w:val="center"/>
        <w:rPr>
          <w:rFonts w:hint="eastAsia" w:ascii="宋体" w:hAnsi="宋体"/>
          <w:b/>
          <w:bCs/>
          <w:color w:val="000000"/>
          <w:kern w:val="44"/>
          <w:sz w:val="44"/>
          <w:szCs w:val="44"/>
        </w:rPr>
      </w:pPr>
    </w:p>
    <w:p w14:paraId="156F4333">
      <w:pPr>
        <w:keepNext/>
        <w:overflowPunct w:val="0"/>
        <w:snapToGrid w:val="0"/>
        <w:spacing w:before="120" w:after="160" w:line="259" w:lineRule="auto"/>
        <w:jc w:val="center"/>
        <w:outlineLvl w:val="0"/>
        <w:rPr>
          <w:rFonts w:ascii="宋体" w:hAnsi="宋体"/>
          <w:b/>
          <w:bCs/>
          <w:color w:val="000000"/>
          <w:kern w:val="44"/>
          <w:sz w:val="44"/>
          <w:szCs w:val="44"/>
        </w:rPr>
      </w:pPr>
      <w:bookmarkStart w:id="227" w:name="_Toc231571715"/>
      <w:bookmarkStart w:id="228" w:name="_Toc233036195"/>
      <w:r>
        <w:rPr>
          <w:rFonts w:hint="eastAsia" w:ascii="宋体" w:hAnsi="宋体"/>
          <w:b/>
          <w:bCs/>
          <w:color w:val="000000"/>
          <w:kern w:val="44"/>
          <w:sz w:val="44"/>
          <w:szCs w:val="44"/>
        </w:rPr>
        <w:t>电磁环境影响专项评价</w:t>
      </w:r>
      <w:bookmarkEnd w:id="224"/>
      <w:bookmarkEnd w:id="225"/>
      <w:bookmarkEnd w:id="226"/>
      <w:bookmarkEnd w:id="227"/>
      <w:bookmarkEnd w:id="228"/>
    </w:p>
    <w:p w14:paraId="7F1583A2">
      <w:pPr>
        <w:spacing w:line="360" w:lineRule="auto"/>
        <w:rPr>
          <w:color w:val="000000"/>
          <w:sz w:val="24"/>
        </w:rPr>
      </w:pPr>
    </w:p>
    <w:p w14:paraId="4F8E575B">
      <w:pPr>
        <w:spacing w:line="360" w:lineRule="auto"/>
        <w:rPr>
          <w:color w:val="000000"/>
          <w:sz w:val="24"/>
        </w:rPr>
      </w:pPr>
    </w:p>
    <w:p w14:paraId="6F42D43C">
      <w:pPr>
        <w:spacing w:line="360" w:lineRule="auto"/>
        <w:rPr>
          <w:color w:val="000000"/>
          <w:sz w:val="24"/>
        </w:rPr>
      </w:pPr>
    </w:p>
    <w:p w14:paraId="1B0914F7">
      <w:pPr>
        <w:spacing w:line="360" w:lineRule="auto"/>
        <w:rPr>
          <w:color w:val="000000"/>
          <w:sz w:val="24"/>
        </w:rPr>
      </w:pPr>
    </w:p>
    <w:p w14:paraId="4F9B2B24">
      <w:pPr>
        <w:spacing w:line="360" w:lineRule="auto"/>
        <w:rPr>
          <w:color w:val="000000"/>
          <w:sz w:val="24"/>
        </w:rPr>
      </w:pPr>
    </w:p>
    <w:p w14:paraId="31D497BB">
      <w:pPr>
        <w:spacing w:line="360" w:lineRule="auto"/>
        <w:rPr>
          <w:color w:val="000000"/>
          <w:sz w:val="24"/>
        </w:rPr>
      </w:pPr>
    </w:p>
    <w:p w14:paraId="3E2E7C14">
      <w:pPr>
        <w:spacing w:line="360" w:lineRule="auto"/>
        <w:rPr>
          <w:color w:val="000000"/>
          <w:sz w:val="24"/>
        </w:rPr>
      </w:pPr>
    </w:p>
    <w:p w14:paraId="420F93B5">
      <w:pPr>
        <w:spacing w:line="360" w:lineRule="auto"/>
        <w:rPr>
          <w:color w:val="000000"/>
          <w:sz w:val="24"/>
        </w:rPr>
      </w:pPr>
    </w:p>
    <w:p w14:paraId="0FAD77A5">
      <w:pPr>
        <w:spacing w:line="360" w:lineRule="auto"/>
        <w:ind w:firstLine="480"/>
        <w:jc w:val="center"/>
        <w:rPr>
          <w:rFonts w:ascii="宋体" w:hAnsi="Courier New" w:cs="Courier New"/>
          <w:color w:val="000000"/>
          <w:kern w:val="44"/>
          <w:sz w:val="24"/>
        </w:rPr>
      </w:pPr>
    </w:p>
    <w:p w14:paraId="2AFB5623">
      <w:pPr>
        <w:spacing w:line="360" w:lineRule="auto"/>
        <w:rPr>
          <w:color w:val="000000"/>
          <w:sz w:val="24"/>
        </w:rPr>
      </w:pPr>
    </w:p>
    <w:p w14:paraId="50302DBF">
      <w:pPr>
        <w:spacing w:line="360" w:lineRule="auto"/>
        <w:ind w:firstLine="480"/>
        <w:jc w:val="center"/>
        <w:rPr>
          <w:rFonts w:ascii="宋体" w:hAnsi="Courier New" w:cs="Courier New"/>
          <w:color w:val="000000"/>
          <w:kern w:val="44"/>
          <w:sz w:val="24"/>
        </w:rPr>
      </w:pPr>
    </w:p>
    <w:p w14:paraId="4BD69AB5">
      <w:pPr>
        <w:spacing w:line="360" w:lineRule="auto"/>
        <w:rPr>
          <w:color w:val="000000"/>
          <w:sz w:val="24"/>
        </w:rPr>
      </w:pPr>
    </w:p>
    <w:p w14:paraId="7323BA85">
      <w:pPr>
        <w:spacing w:line="360" w:lineRule="auto"/>
        <w:ind w:firstLine="480"/>
        <w:jc w:val="center"/>
        <w:rPr>
          <w:rFonts w:ascii="宋体" w:hAnsi="Courier New" w:cs="Courier New"/>
          <w:color w:val="000000"/>
          <w:kern w:val="44"/>
          <w:sz w:val="24"/>
        </w:rPr>
      </w:pPr>
    </w:p>
    <w:p w14:paraId="36E6ACE1">
      <w:pPr>
        <w:spacing w:line="360" w:lineRule="auto"/>
        <w:rPr>
          <w:rFonts w:ascii="宋体" w:hAnsi="Courier New" w:cs="Courier New"/>
          <w:color w:val="000000"/>
          <w:kern w:val="44"/>
          <w:sz w:val="24"/>
        </w:rPr>
      </w:pPr>
    </w:p>
    <w:p w14:paraId="20260C78">
      <w:pPr>
        <w:spacing w:line="360" w:lineRule="auto"/>
        <w:rPr>
          <w:color w:val="000000"/>
          <w:sz w:val="24"/>
        </w:rPr>
      </w:pPr>
    </w:p>
    <w:p w14:paraId="35AE7ACA">
      <w:pPr>
        <w:spacing w:line="360" w:lineRule="auto"/>
        <w:rPr>
          <w:color w:val="000000"/>
          <w:sz w:val="24"/>
        </w:rPr>
      </w:pPr>
    </w:p>
    <w:p w14:paraId="1E3E42A0">
      <w:pPr>
        <w:spacing w:line="360" w:lineRule="auto"/>
        <w:rPr>
          <w:color w:val="000000"/>
          <w:sz w:val="24"/>
        </w:rPr>
      </w:pPr>
    </w:p>
    <w:p w14:paraId="33D2B551">
      <w:pPr>
        <w:pStyle w:val="29"/>
      </w:pPr>
    </w:p>
    <w:p w14:paraId="23378705">
      <w:pPr>
        <w:spacing w:line="360" w:lineRule="auto"/>
        <w:rPr>
          <w:color w:val="000000"/>
          <w:sz w:val="24"/>
        </w:rPr>
      </w:pPr>
    </w:p>
    <w:p w14:paraId="197A35A6">
      <w:pPr>
        <w:spacing w:line="360" w:lineRule="auto"/>
        <w:rPr>
          <w:color w:val="000000"/>
          <w:sz w:val="24"/>
        </w:rPr>
      </w:pPr>
    </w:p>
    <w:p w14:paraId="0E7F46EC">
      <w:pPr>
        <w:spacing w:line="360" w:lineRule="auto"/>
        <w:rPr>
          <w:color w:val="000000"/>
          <w:sz w:val="24"/>
        </w:rPr>
      </w:pPr>
    </w:p>
    <w:p w14:paraId="59D0046F">
      <w:pPr>
        <w:spacing w:line="360" w:lineRule="auto"/>
        <w:jc w:val="center"/>
        <w:rPr>
          <w:b/>
          <w:bCs/>
          <w:color w:val="000000"/>
          <w:sz w:val="36"/>
          <w:szCs w:val="36"/>
        </w:rPr>
      </w:pPr>
      <w:r>
        <w:rPr>
          <w:rFonts w:hint="eastAsia"/>
          <w:b/>
          <w:bCs/>
          <w:color w:val="000000"/>
          <w:sz w:val="30"/>
          <w:szCs w:val="30"/>
        </w:rPr>
        <w:t>中国电建集团昆明勘测设计研究院有限公司</w:t>
      </w:r>
    </w:p>
    <w:p w14:paraId="7A81002C">
      <w:pPr>
        <w:spacing w:line="360" w:lineRule="auto"/>
        <w:jc w:val="center"/>
        <w:rPr>
          <w:rFonts w:eastAsia="黑体"/>
          <w:color w:val="000000"/>
          <w:kern w:val="44"/>
          <w:sz w:val="30"/>
          <w:szCs w:val="30"/>
        </w:rPr>
      </w:pPr>
      <w:r>
        <w:rPr>
          <w:rFonts w:hint="eastAsia" w:eastAsia="黑体"/>
          <w:color w:val="000000"/>
          <w:kern w:val="44"/>
          <w:sz w:val="30"/>
          <w:szCs w:val="30"/>
        </w:rPr>
        <w:t>2026年</w:t>
      </w:r>
      <w:r>
        <w:rPr>
          <w:rFonts w:eastAsia="黑体"/>
          <w:color w:val="000000"/>
          <w:kern w:val="44"/>
          <w:sz w:val="30"/>
          <w:szCs w:val="30"/>
        </w:rPr>
        <w:t>8</w:t>
      </w:r>
      <w:r>
        <w:rPr>
          <w:rFonts w:hint="eastAsia" w:eastAsia="黑体"/>
          <w:color w:val="000000"/>
          <w:kern w:val="44"/>
          <w:sz w:val="30"/>
          <w:szCs w:val="30"/>
        </w:rPr>
        <w:t>月</w:t>
      </w:r>
    </w:p>
    <w:p w14:paraId="17C97979">
      <w:pPr>
        <w:spacing w:line="360" w:lineRule="auto"/>
        <w:rPr>
          <w:color w:val="000000"/>
          <w:sz w:val="24"/>
        </w:rPr>
      </w:pPr>
    </w:p>
    <w:p w14:paraId="59EA2FD4">
      <w:pPr>
        <w:spacing w:line="360" w:lineRule="auto"/>
        <w:rPr>
          <w:color w:val="000000"/>
          <w:sz w:val="24"/>
        </w:rPr>
      </w:pPr>
    </w:p>
    <w:p w14:paraId="349E3E92">
      <w:pPr>
        <w:spacing w:line="360" w:lineRule="auto"/>
        <w:rPr>
          <w:color w:val="000000"/>
          <w:sz w:val="24"/>
        </w:rPr>
        <w:sectPr>
          <w:type w:val="continuous"/>
          <w:pgSz w:w="11905" w:h="16838"/>
          <w:pgMar w:top="1531" w:right="1417" w:bottom="1531" w:left="1417" w:header="851" w:footer="1077" w:gutter="0"/>
          <w:pgBorders>
            <w:top w:val="none" w:sz="0" w:space="0"/>
            <w:left w:val="none" w:sz="0" w:space="0"/>
            <w:bottom w:val="none" w:sz="0" w:space="0"/>
            <w:right w:val="none" w:sz="0" w:space="0"/>
          </w:pgBorders>
          <w:cols w:space="720" w:num="1"/>
          <w:docGrid w:linePitch="312" w:charSpace="0"/>
        </w:sectPr>
      </w:pPr>
    </w:p>
    <w:p w14:paraId="10E0D14E">
      <w:pPr>
        <w:spacing w:line="360" w:lineRule="auto"/>
        <w:jc w:val="center"/>
        <w:rPr>
          <w:lang w:val="en-US" w:eastAsia="zh-CN"/>
        </w:rPr>
      </w:pPr>
      <w:bookmarkStart w:id="229" w:name="_Toc27822_WPSOffice_Level1"/>
      <w:bookmarkStart w:id="230" w:name="_Toc10263_WPSOffice_Level1"/>
      <w:r>
        <w:rPr>
          <w:rFonts w:ascii="宋体" w:hAnsi="宋体"/>
          <w:b/>
          <w:bCs/>
          <w:color w:val="000000"/>
          <w:sz w:val="28"/>
          <w:szCs w:val="28"/>
        </w:rPr>
        <w:t>目</w:t>
      </w:r>
      <w:r>
        <w:rPr>
          <w:rFonts w:hint="eastAsia" w:ascii="宋体" w:hAnsi="宋体"/>
          <w:b/>
          <w:bCs/>
          <w:color w:val="000000"/>
          <w:sz w:val="28"/>
          <w:szCs w:val="28"/>
        </w:rPr>
        <w:t xml:space="preserve"> </w:t>
      </w:r>
      <w:r>
        <w:rPr>
          <w:rFonts w:ascii="宋体" w:hAnsi="宋体"/>
          <w:b/>
          <w:bCs/>
          <w:color w:val="000000"/>
          <w:sz w:val="28"/>
          <w:szCs w:val="28"/>
        </w:rPr>
        <w:t xml:space="preserve"> 录</w:t>
      </w:r>
      <w:bookmarkEnd w:id="229"/>
      <w:bookmarkEnd w:id="230"/>
      <w:r>
        <w:rPr>
          <w:color w:val="000000"/>
          <w:sz w:val="24"/>
        </w:rPr>
        <w:fldChar w:fldCharType="begin"/>
      </w:r>
      <w:r>
        <w:rPr>
          <w:color w:val="000000"/>
          <w:sz w:val="24"/>
        </w:rPr>
        <w:instrText xml:space="preserve">TOC\o"1-3"\h\u</w:instrText>
      </w:r>
      <w:r>
        <w:rPr>
          <w:color w:val="000000"/>
          <w:sz w:val="24"/>
        </w:rPr>
        <w:fldChar w:fldCharType="separate"/>
      </w:r>
    </w:p>
    <w:p w14:paraId="2C5E0914">
      <w:pPr>
        <w:pStyle w:val="23"/>
        <w:tabs>
          <w:tab w:val="right" w:leader="dot" w:pos="9061"/>
        </w:tabs>
        <w:spacing w:line="360" w:lineRule="auto"/>
        <w:ind w:left="0" w:leftChars="0"/>
        <w:rPr>
          <w:b/>
          <w:bCs/>
          <w:sz w:val="24"/>
          <w:szCs w:val="24"/>
          <w:lang w:val="en-US" w:eastAsia="zh-CN"/>
        </w:rPr>
      </w:pPr>
      <w:r>
        <w:fldChar w:fldCharType="begin"/>
      </w:r>
      <w:r>
        <w:instrText xml:space="preserve"> HYPERLINK \l "_Toc231571716" </w:instrText>
      </w:r>
      <w:r>
        <w:fldChar w:fldCharType="separate"/>
      </w:r>
      <w:r>
        <w:rPr>
          <w:rStyle w:val="39"/>
          <w:b/>
          <w:bCs/>
          <w:sz w:val="24"/>
          <w:szCs w:val="24"/>
          <w:lang w:val="en-US" w:eastAsia="zh-CN"/>
        </w:rPr>
        <w:t>1 总则</w:t>
      </w:r>
      <w:r>
        <w:rPr>
          <w:b/>
          <w:bCs/>
          <w:sz w:val="24"/>
          <w:szCs w:val="24"/>
          <w:lang w:val="en-US" w:eastAsia="zh-CN"/>
        </w:rPr>
        <w:tab/>
      </w:r>
      <w:r>
        <w:rPr>
          <w:b/>
          <w:bCs/>
          <w:sz w:val="24"/>
          <w:szCs w:val="24"/>
          <w:lang w:val="en-US" w:eastAsia="zh-CN"/>
        </w:rPr>
        <w:fldChar w:fldCharType="begin"/>
      </w:r>
      <w:r>
        <w:rPr>
          <w:b/>
          <w:bCs/>
          <w:sz w:val="24"/>
          <w:szCs w:val="24"/>
          <w:lang w:val="en-US" w:eastAsia="zh-CN"/>
        </w:rPr>
        <w:instrText xml:space="preserve"> PAGEREF _Toc231571716 \h </w:instrText>
      </w:r>
      <w:r>
        <w:rPr>
          <w:b/>
          <w:bCs/>
          <w:sz w:val="24"/>
          <w:szCs w:val="24"/>
          <w:lang w:val="en-US" w:eastAsia="zh-CN"/>
        </w:rPr>
        <w:fldChar w:fldCharType="separate"/>
      </w:r>
      <w:r>
        <w:rPr>
          <w:b/>
          <w:bCs/>
          <w:sz w:val="24"/>
          <w:szCs w:val="24"/>
          <w:lang w:val="en-US" w:eastAsia="zh-CN"/>
        </w:rPr>
        <w:t>1</w:t>
      </w:r>
      <w:r>
        <w:rPr>
          <w:b/>
          <w:bCs/>
          <w:sz w:val="24"/>
          <w:szCs w:val="24"/>
          <w:lang w:val="en-US" w:eastAsia="zh-CN"/>
        </w:rPr>
        <w:fldChar w:fldCharType="end"/>
      </w:r>
      <w:r>
        <w:rPr>
          <w:b/>
          <w:bCs/>
          <w:sz w:val="24"/>
          <w:szCs w:val="24"/>
          <w:lang w:val="en-US" w:eastAsia="zh-CN"/>
        </w:rPr>
        <w:fldChar w:fldCharType="end"/>
      </w:r>
    </w:p>
    <w:p w14:paraId="05C1A02A">
      <w:pPr>
        <w:pStyle w:val="13"/>
        <w:tabs>
          <w:tab w:val="right" w:leader="dot" w:pos="9061"/>
        </w:tabs>
        <w:spacing w:line="360" w:lineRule="auto"/>
        <w:ind w:left="420" w:leftChars="200"/>
        <w:rPr>
          <w:sz w:val="24"/>
          <w:szCs w:val="24"/>
          <w:lang w:val="en-US" w:eastAsia="zh-CN"/>
        </w:rPr>
      </w:pPr>
      <w:r>
        <w:fldChar w:fldCharType="begin"/>
      </w:r>
      <w:r>
        <w:instrText xml:space="preserve"> HYPERLINK \l "_Toc231571717" </w:instrText>
      </w:r>
      <w:r>
        <w:fldChar w:fldCharType="separate"/>
      </w:r>
      <w:r>
        <w:rPr>
          <w:rStyle w:val="39"/>
          <w:sz w:val="24"/>
          <w:szCs w:val="24"/>
          <w:lang w:val="en-US" w:eastAsia="zh-CN"/>
        </w:rPr>
        <w:t>1.1 编制依据</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_Toc231571717 \h </w:instrText>
      </w:r>
      <w:r>
        <w:rPr>
          <w:sz w:val="24"/>
          <w:szCs w:val="24"/>
          <w:lang w:val="en-US" w:eastAsia="zh-CN"/>
        </w:rPr>
        <w:fldChar w:fldCharType="separate"/>
      </w:r>
      <w:r>
        <w:rPr>
          <w:sz w:val="24"/>
          <w:szCs w:val="24"/>
          <w:lang w:val="en-US" w:eastAsia="zh-CN"/>
        </w:rPr>
        <w:t>1</w:t>
      </w:r>
      <w:r>
        <w:rPr>
          <w:sz w:val="24"/>
          <w:szCs w:val="24"/>
          <w:lang w:val="en-US" w:eastAsia="zh-CN"/>
        </w:rPr>
        <w:fldChar w:fldCharType="end"/>
      </w:r>
      <w:r>
        <w:rPr>
          <w:sz w:val="24"/>
          <w:szCs w:val="24"/>
          <w:lang w:val="en-US" w:eastAsia="zh-CN"/>
        </w:rPr>
        <w:fldChar w:fldCharType="end"/>
      </w:r>
    </w:p>
    <w:p w14:paraId="22627CDC">
      <w:pPr>
        <w:pStyle w:val="13"/>
        <w:tabs>
          <w:tab w:val="right" w:leader="dot" w:pos="9061"/>
        </w:tabs>
        <w:spacing w:line="360" w:lineRule="auto"/>
        <w:ind w:left="420" w:leftChars="200"/>
        <w:rPr>
          <w:sz w:val="24"/>
          <w:szCs w:val="24"/>
          <w:lang w:val="en-US" w:eastAsia="zh-CN"/>
        </w:rPr>
      </w:pPr>
      <w:r>
        <w:fldChar w:fldCharType="begin"/>
      </w:r>
      <w:r>
        <w:instrText xml:space="preserve"> HYPERLINK \l "_Toc231571720" </w:instrText>
      </w:r>
      <w:r>
        <w:fldChar w:fldCharType="separate"/>
      </w:r>
      <w:r>
        <w:rPr>
          <w:rStyle w:val="39"/>
          <w:sz w:val="24"/>
          <w:szCs w:val="24"/>
          <w:lang w:val="en-US" w:eastAsia="zh-CN"/>
        </w:rPr>
        <w:t>1.2 评价因子和评价标准</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_Toc231571720 \h </w:instrText>
      </w:r>
      <w:r>
        <w:rPr>
          <w:sz w:val="24"/>
          <w:szCs w:val="24"/>
          <w:lang w:val="en-US" w:eastAsia="zh-CN"/>
        </w:rPr>
        <w:fldChar w:fldCharType="separate"/>
      </w:r>
      <w:r>
        <w:rPr>
          <w:sz w:val="24"/>
          <w:szCs w:val="24"/>
          <w:lang w:val="en-US" w:eastAsia="zh-CN"/>
        </w:rPr>
        <w:t>1</w:t>
      </w:r>
      <w:r>
        <w:rPr>
          <w:sz w:val="24"/>
          <w:szCs w:val="24"/>
          <w:lang w:val="en-US" w:eastAsia="zh-CN"/>
        </w:rPr>
        <w:fldChar w:fldCharType="end"/>
      </w:r>
      <w:r>
        <w:rPr>
          <w:sz w:val="24"/>
          <w:szCs w:val="24"/>
          <w:lang w:val="en-US" w:eastAsia="zh-CN"/>
        </w:rPr>
        <w:fldChar w:fldCharType="end"/>
      </w:r>
    </w:p>
    <w:p w14:paraId="65C0F924">
      <w:pPr>
        <w:pStyle w:val="13"/>
        <w:tabs>
          <w:tab w:val="right" w:leader="dot" w:pos="9061"/>
        </w:tabs>
        <w:spacing w:line="360" w:lineRule="auto"/>
        <w:ind w:left="420" w:leftChars="200"/>
        <w:rPr>
          <w:sz w:val="24"/>
          <w:szCs w:val="24"/>
          <w:lang w:val="en-US" w:eastAsia="zh-CN"/>
        </w:rPr>
      </w:pPr>
      <w:r>
        <w:fldChar w:fldCharType="begin"/>
      </w:r>
      <w:r>
        <w:instrText xml:space="preserve"> HYPERLINK \l "_Toc231571723" </w:instrText>
      </w:r>
      <w:r>
        <w:fldChar w:fldCharType="separate"/>
      </w:r>
      <w:r>
        <w:rPr>
          <w:rStyle w:val="39"/>
          <w:sz w:val="24"/>
          <w:szCs w:val="24"/>
          <w:lang w:val="en-US" w:eastAsia="zh-CN"/>
        </w:rPr>
        <w:t>1.3 评价等级及评价范围</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_Toc231571723 \h </w:instrText>
      </w:r>
      <w:r>
        <w:rPr>
          <w:sz w:val="24"/>
          <w:szCs w:val="24"/>
          <w:lang w:val="en-US" w:eastAsia="zh-CN"/>
        </w:rPr>
        <w:fldChar w:fldCharType="separate"/>
      </w:r>
      <w:r>
        <w:rPr>
          <w:sz w:val="24"/>
          <w:szCs w:val="24"/>
          <w:lang w:val="en-US" w:eastAsia="zh-CN"/>
        </w:rPr>
        <w:t>2</w:t>
      </w:r>
      <w:r>
        <w:rPr>
          <w:sz w:val="24"/>
          <w:szCs w:val="24"/>
          <w:lang w:val="en-US" w:eastAsia="zh-CN"/>
        </w:rPr>
        <w:fldChar w:fldCharType="end"/>
      </w:r>
      <w:r>
        <w:rPr>
          <w:sz w:val="24"/>
          <w:szCs w:val="24"/>
          <w:lang w:val="en-US" w:eastAsia="zh-CN"/>
        </w:rPr>
        <w:fldChar w:fldCharType="end"/>
      </w:r>
    </w:p>
    <w:p w14:paraId="53D71D82">
      <w:pPr>
        <w:pStyle w:val="13"/>
        <w:tabs>
          <w:tab w:val="right" w:leader="dot" w:pos="9061"/>
        </w:tabs>
        <w:spacing w:line="360" w:lineRule="auto"/>
        <w:ind w:left="420" w:leftChars="200"/>
        <w:rPr>
          <w:sz w:val="24"/>
          <w:szCs w:val="24"/>
          <w:lang w:val="en-US" w:eastAsia="zh-CN"/>
        </w:rPr>
      </w:pPr>
      <w:r>
        <w:fldChar w:fldCharType="begin"/>
      </w:r>
      <w:r>
        <w:instrText xml:space="preserve"> HYPERLINK \l "_Toc231571726" </w:instrText>
      </w:r>
      <w:r>
        <w:fldChar w:fldCharType="separate"/>
      </w:r>
      <w:r>
        <w:rPr>
          <w:rStyle w:val="39"/>
          <w:sz w:val="24"/>
          <w:szCs w:val="24"/>
          <w:lang w:val="en-US" w:eastAsia="zh-CN"/>
        </w:rPr>
        <w:t>1.4 环境保护目标</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_Toc231571726 \h </w:instrText>
      </w:r>
      <w:r>
        <w:rPr>
          <w:sz w:val="24"/>
          <w:szCs w:val="24"/>
          <w:lang w:val="en-US" w:eastAsia="zh-CN"/>
        </w:rPr>
        <w:fldChar w:fldCharType="separate"/>
      </w:r>
      <w:r>
        <w:rPr>
          <w:sz w:val="24"/>
          <w:szCs w:val="24"/>
          <w:lang w:val="en-US" w:eastAsia="zh-CN"/>
        </w:rPr>
        <w:t>2</w:t>
      </w:r>
      <w:r>
        <w:rPr>
          <w:sz w:val="24"/>
          <w:szCs w:val="24"/>
          <w:lang w:val="en-US" w:eastAsia="zh-CN"/>
        </w:rPr>
        <w:fldChar w:fldCharType="end"/>
      </w:r>
      <w:r>
        <w:rPr>
          <w:sz w:val="24"/>
          <w:szCs w:val="24"/>
          <w:lang w:val="en-US" w:eastAsia="zh-CN"/>
        </w:rPr>
        <w:fldChar w:fldCharType="end"/>
      </w:r>
    </w:p>
    <w:p w14:paraId="2B85DA2A">
      <w:pPr>
        <w:pStyle w:val="23"/>
        <w:tabs>
          <w:tab w:val="right" w:leader="dot" w:pos="9061"/>
        </w:tabs>
        <w:spacing w:line="360" w:lineRule="auto"/>
        <w:ind w:left="0" w:leftChars="0"/>
        <w:rPr>
          <w:rStyle w:val="39"/>
        </w:rPr>
      </w:pPr>
      <w:r>
        <w:fldChar w:fldCharType="begin"/>
      </w:r>
      <w:r>
        <w:instrText xml:space="preserve"> HYPERLINK \l "_Toc231571727" </w:instrText>
      </w:r>
      <w:r>
        <w:fldChar w:fldCharType="separate"/>
      </w:r>
      <w:r>
        <w:rPr>
          <w:rStyle w:val="39"/>
          <w:b/>
          <w:bCs/>
          <w:sz w:val="24"/>
          <w:szCs w:val="24"/>
          <w:lang w:val="en-US" w:eastAsia="zh-CN"/>
        </w:rPr>
        <w:t>2 电磁环境现状评价</w:t>
      </w:r>
      <w:r>
        <w:rPr>
          <w:rStyle w:val="39"/>
        </w:rPr>
        <w:tab/>
      </w:r>
      <w:r>
        <w:rPr>
          <w:rStyle w:val="39"/>
        </w:rPr>
        <w:fldChar w:fldCharType="begin"/>
      </w:r>
      <w:r>
        <w:rPr>
          <w:rStyle w:val="39"/>
        </w:rPr>
        <w:instrText xml:space="preserve"> PAGEREF _Toc231571727 \h </w:instrText>
      </w:r>
      <w:r>
        <w:rPr>
          <w:rStyle w:val="39"/>
        </w:rPr>
        <w:fldChar w:fldCharType="separate"/>
      </w:r>
      <w:r>
        <w:rPr>
          <w:rStyle w:val="39"/>
          <w:lang w:val="en-US" w:eastAsia="zh-CN"/>
        </w:rPr>
        <w:t>3</w:t>
      </w:r>
      <w:r>
        <w:rPr>
          <w:rStyle w:val="39"/>
        </w:rPr>
        <w:fldChar w:fldCharType="end"/>
      </w:r>
      <w:r>
        <w:rPr>
          <w:rStyle w:val="39"/>
        </w:rPr>
        <w:fldChar w:fldCharType="end"/>
      </w:r>
    </w:p>
    <w:p w14:paraId="240DE34D">
      <w:pPr>
        <w:pStyle w:val="13"/>
        <w:tabs>
          <w:tab w:val="right" w:leader="dot" w:pos="9061"/>
        </w:tabs>
        <w:spacing w:line="360" w:lineRule="auto"/>
        <w:ind w:left="420" w:leftChars="200"/>
        <w:rPr>
          <w:rStyle w:val="39"/>
        </w:rPr>
      </w:pPr>
      <w:r>
        <w:fldChar w:fldCharType="begin"/>
      </w:r>
      <w:r>
        <w:instrText xml:space="preserve"> HYPERLINK \l "_Toc231571728" </w:instrText>
      </w:r>
      <w:r>
        <w:fldChar w:fldCharType="separate"/>
      </w:r>
      <w:r>
        <w:rPr>
          <w:rStyle w:val="39"/>
          <w:sz w:val="24"/>
          <w:szCs w:val="24"/>
          <w:lang w:val="en-US" w:eastAsia="zh-CN"/>
        </w:rPr>
        <w:t>2.1 监测布点</w:t>
      </w:r>
      <w:r>
        <w:rPr>
          <w:rStyle w:val="39"/>
        </w:rPr>
        <w:tab/>
      </w:r>
      <w:r>
        <w:rPr>
          <w:rStyle w:val="39"/>
        </w:rPr>
        <w:fldChar w:fldCharType="begin"/>
      </w:r>
      <w:r>
        <w:rPr>
          <w:rStyle w:val="39"/>
        </w:rPr>
        <w:instrText xml:space="preserve"> PAGEREF _Toc231571728 \h </w:instrText>
      </w:r>
      <w:r>
        <w:rPr>
          <w:rStyle w:val="39"/>
        </w:rPr>
        <w:fldChar w:fldCharType="separate"/>
      </w:r>
      <w:r>
        <w:rPr>
          <w:rStyle w:val="39"/>
          <w:lang w:val="en-US" w:eastAsia="zh-CN"/>
        </w:rPr>
        <w:t>3</w:t>
      </w:r>
      <w:r>
        <w:rPr>
          <w:rStyle w:val="39"/>
        </w:rPr>
        <w:fldChar w:fldCharType="end"/>
      </w:r>
      <w:r>
        <w:rPr>
          <w:rStyle w:val="39"/>
        </w:rPr>
        <w:fldChar w:fldCharType="end"/>
      </w:r>
    </w:p>
    <w:p w14:paraId="1F93C411">
      <w:pPr>
        <w:pStyle w:val="13"/>
        <w:tabs>
          <w:tab w:val="right" w:leader="dot" w:pos="9061"/>
        </w:tabs>
        <w:spacing w:line="360" w:lineRule="auto"/>
        <w:ind w:left="420" w:leftChars="200"/>
        <w:rPr>
          <w:rStyle w:val="39"/>
        </w:rPr>
      </w:pPr>
      <w:r>
        <w:fldChar w:fldCharType="begin"/>
      </w:r>
      <w:r>
        <w:instrText xml:space="preserve"> HYPERLINK \l "_Toc231571729" </w:instrText>
      </w:r>
      <w:r>
        <w:fldChar w:fldCharType="separate"/>
      </w:r>
      <w:r>
        <w:rPr>
          <w:rStyle w:val="39"/>
          <w:sz w:val="24"/>
          <w:szCs w:val="24"/>
          <w:lang w:val="en-US" w:eastAsia="zh-CN"/>
        </w:rPr>
        <w:t>2.2 监测期间气象条件</w:t>
      </w:r>
      <w:r>
        <w:rPr>
          <w:rStyle w:val="39"/>
        </w:rPr>
        <w:tab/>
      </w:r>
      <w:r>
        <w:rPr>
          <w:rStyle w:val="39"/>
        </w:rPr>
        <w:fldChar w:fldCharType="begin"/>
      </w:r>
      <w:r>
        <w:rPr>
          <w:rStyle w:val="39"/>
        </w:rPr>
        <w:instrText xml:space="preserve"> PAGEREF _Toc231571729 \h </w:instrText>
      </w:r>
      <w:r>
        <w:rPr>
          <w:rStyle w:val="39"/>
        </w:rPr>
        <w:fldChar w:fldCharType="separate"/>
      </w:r>
      <w:r>
        <w:rPr>
          <w:rStyle w:val="39"/>
          <w:lang w:val="en-US" w:eastAsia="zh-CN"/>
        </w:rPr>
        <w:t>3</w:t>
      </w:r>
      <w:r>
        <w:rPr>
          <w:rStyle w:val="39"/>
        </w:rPr>
        <w:fldChar w:fldCharType="end"/>
      </w:r>
      <w:r>
        <w:rPr>
          <w:rStyle w:val="39"/>
        </w:rPr>
        <w:fldChar w:fldCharType="end"/>
      </w:r>
    </w:p>
    <w:p w14:paraId="5E71468F">
      <w:pPr>
        <w:pStyle w:val="13"/>
        <w:tabs>
          <w:tab w:val="right" w:leader="dot" w:pos="9061"/>
        </w:tabs>
        <w:spacing w:line="360" w:lineRule="auto"/>
        <w:ind w:left="420" w:leftChars="200"/>
        <w:rPr>
          <w:rStyle w:val="39"/>
        </w:rPr>
      </w:pPr>
      <w:r>
        <w:fldChar w:fldCharType="begin"/>
      </w:r>
      <w:r>
        <w:instrText xml:space="preserve"> HYPERLINK \l "_Toc231571730" </w:instrText>
      </w:r>
      <w:r>
        <w:fldChar w:fldCharType="separate"/>
      </w:r>
      <w:r>
        <w:rPr>
          <w:rStyle w:val="39"/>
          <w:sz w:val="24"/>
          <w:szCs w:val="24"/>
          <w:lang w:val="en-US" w:eastAsia="zh-CN"/>
        </w:rPr>
        <w:t>2.3 监测方法及依据</w:t>
      </w:r>
      <w:r>
        <w:rPr>
          <w:rStyle w:val="39"/>
        </w:rPr>
        <w:tab/>
      </w:r>
      <w:r>
        <w:rPr>
          <w:rStyle w:val="39"/>
        </w:rPr>
        <w:fldChar w:fldCharType="begin"/>
      </w:r>
      <w:r>
        <w:rPr>
          <w:rStyle w:val="39"/>
        </w:rPr>
        <w:instrText xml:space="preserve"> PAGEREF _Toc231571730 \h </w:instrText>
      </w:r>
      <w:r>
        <w:rPr>
          <w:rStyle w:val="39"/>
        </w:rPr>
        <w:fldChar w:fldCharType="separate"/>
      </w:r>
      <w:r>
        <w:rPr>
          <w:rStyle w:val="39"/>
          <w:lang w:val="en-US" w:eastAsia="zh-CN"/>
        </w:rPr>
        <w:t>4</w:t>
      </w:r>
      <w:r>
        <w:rPr>
          <w:rStyle w:val="39"/>
        </w:rPr>
        <w:fldChar w:fldCharType="end"/>
      </w:r>
      <w:r>
        <w:rPr>
          <w:rStyle w:val="39"/>
        </w:rPr>
        <w:fldChar w:fldCharType="end"/>
      </w:r>
    </w:p>
    <w:p w14:paraId="6E4461B8">
      <w:pPr>
        <w:pStyle w:val="13"/>
        <w:tabs>
          <w:tab w:val="right" w:leader="dot" w:pos="9061"/>
        </w:tabs>
        <w:spacing w:line="360" w:lineRule="auto"/>
        <w:ind w:left="420" w:leftChars="200"/>
        <w:rPr>
          <w:rStyle w:val="39"/>
        </w:rPr>
      </w:pPr>
      <w:r>
        <w:fldChar w:fldCharType="begin"/>
      </w:r>
      <w:r>
        <w:instrText xml:space="preserve"> HYPERLINK \l "_Toc231571731" </w:instrText>
      </w:r>
      <w:r>
        <w:fldChar w:fldCharType="separate"/>
      </w:r>
      <w:r>
        <w:rPr>
          <w:rStyle w:val="39"/>
          <w:sz w:val="24"/>
          <w:szCs w:val="24"/>
          <w:lang w:val="en-US" w:eastAsia="zh-CN"/>
        </w:rPr>
        <w:t>2.4 监测结果</w:t>
      </w:r>
      <w:r>
        <w:rPr>
          <w:rStyle w:val="39"/>
        </w:rPr>
        <w:tab/>
      </w:r>
      <w:r>
        <w:rPr>
          <w:rStyle w:val="39"/>
        </w:rPr>
        <w:fldChar w:fldCharType="begin"/>
      </w:r>
      <w:r>
        <w:rPr>
          <w:rStyle w:val="39"/>
        </w:rPr>
        <w:instrText xml:space="preserve"> PAGEREF _Toc231571731 \h </w:instrText>
      </w:r>
      <w:r>
        <w:rPr>
          <w:rStyle w:val="39"/>
        </w:rPr>
        <w:fldChar w:fldCharType="separate"/>
      </w:r>
      <w:r>
        <w:rPr>
          <w:rStyle w:val="39"/>
          <w:lang w:val="en-US" w:eastAsia="zh-CN"/>
        </w:rPr>
        <w:t>4</w:t>
      </w:r>
      <w:r>
        <w:rPr>
          <w:rStyle w:val="39"/>
        </w:rPr>
        <w:fldChar w:fldCharType="end"/>
      </w:r>
      <w:r>
        <w:rPr>
          <w:rStyle w:val="39"/>
        </w:rPr>
        <w:fldChar w:fldCharType="end"/>
      </w:r>
    </w:p>
    <w:p w14:paraId="2B8C1516">
      <w:pPr>
        <w:pStyle w:val="23"/>
        <w:tabs>
          <w:tab w:val="right" w:leader="dot" w:pos="9061"/>
        </w:tabs>
        <w:spacing w:line="360" w:lineRule="auto"/>
        <w:ind w:left="0" w:leftChars="0"/>
        <w:rPr>
          <w:rStyle w:val="39"/>
        </w:rPr>
      </w:pPr>
      <w:r>
        <w:fldChar w:fldCharType="begin"/>
      </w:r>
      <w:r>
        <w:instrText xml:space="preserve"> HYPERLINK \l "_Toc231571732" </w:instrText>
      </w:r>
      <w:r>
        <w:fldChar w:fldCharType="separate"/>
      </w:r>
      <w:r>
        <w:rPr>
          <w:rStyle w:val="39"/>
          <w:b/>
          <w:bCs/>
          <w:sz w:val="24"/>
          <w:szCs w:val="24"/>
          <w:lang w:val="en-US" w:eastAsia="zh-CN"/>
        </w:rPr>
        <w:t>3 电磁环境预测与评价</w:t>
      </w:r>
      <w:r>
        <w:rPr>
          <w:rStyle w:val="39"/>
        </w:rPr>
        <w:tab/>
      </w:r>
      <w:r>
        <w:rPr>
          <w:rStyle w:val="39"/>
        </w:rPr>
        <w:fldChar w:fldCharType="begin"/>
      </w:r>
      <w:r>
        <w:rPr>
          <w:rStyle w:val="39"/>
        </w:rPr>
        <w:instrText xml:space="preserve"> PAGEREF _Toc231571732 \h </w:instrText>
      </w:r>
      <w:r>
        <w:rPr>
          <w:rStyle w:val="39"/>
        </w:rPr>
        <w:fldChar w:fldCharType="separate"/>
      </w:r>
      <w:r>
        <w:rPr>
          <w:rStyle w:val="39"/>
          <w:lang w:val="en-US" w:eastAsia="zh-CN"/>
        </w:rPr>
        <w:t>4</w:t>
      </w:r>
      <w:r>
        <w:rPr>
          <w:rStyle w:val="39"/>
        </w:rPr>
        <w:fldChar w:fldCharType="end"/>
      </w:r>
      <w:r>
        <w:rPr>
          <w:rStyle w:val="39"/>
        </w:rPr>
        <w:fldChar w:fldCharType="end"/>
      </w:r>
    </w:p>
    <w:p w14:paraId="7F42EBD3">
      <w:pPr>
        <w:pStyle w:val="13"/>
        <w:tabs>
          <w:tab w:val="right" w:leader="dot" w:pos="9061"/>
        </w:tabs>
        <w:spacing w:line="360" w:lineRule="auto"/>
        <w:ind w:left="420" w:leftChars="200"/>
        <w:rPr>
          <w:rStyle w:val="39"/>
        </w:rPr>
      </w:pPr>
      <w:r>
        <w:fldChar w:fldCharType="begin"/>
      </w:r>
      <w:r>
        <w:instrText xml:space="preserve"> HYPERLINK \l "_Toc231571733" </w:instrText>
      </w:r>
      <w:r>
        <w:fldChar w:fldCharType="separate"/>
      </w:r>
      <w:r>
        <w:rPr>
          <w:rStyle w:val="39"/>
          <w:sz w:val="24"/>
          <w:szCs w:val="24"/>
          <w:lang w:val="en-US" w:eastAsia="zh-CN"/>
        </w:rPr>
        <w:t>3.1 类比可行性分析</w:t>
      </w:r>
      <w:r>
        <w:rPr>
          <w:rStyle w:val="39"/>
        </w:rPr>
        <w:tab/>
      </w:r>
      <w:r>
        <w:rPr>
          <w:rStyle w:val="39"/>
        </w:rPr>
        <w:fldChar w:fldCharType="begin"/>
      </w:r>
      <w:r>
        <w:rPr>
          <w:rStyle w:val="39"/>
        </w:rPr>
        <w:instrText xml:space="preserve"> PAGEREF _Toc231571733 \h </w:instrText>
      </w:r>
      <w:r>
        <w:rPr>
          <w:rStyle w:val="39"/>
        </w:rPr>
        <w:fldChar w:fldCharType="separate"/>
      </w:r>
      <w:r>
        <w:rPr>
          <w:rStyle w:val="39"/>
          <w:lang w:val="en-US" w:eastAsia="zh-CN"/>
        </w:rPr>
        <w:t>4</w:t>
      </w:r>
      <w:r>
        <w:rPr>
          <w:rStyle w:val="39"/>
        </w:rPr>
        <w:fldChar w:fldCharType="end"/>
      </w:r>
      <w:r>
        <w:rPr>
          <w:rStyle w:val="39"/>
        </w:rPr>
        <w:fldChar w:fldCharType="end"/>
      </w:r>
    </w:p>
    <w:p w14:paraId="4C2A8344">
      <w:pPr>
        <w:pStyle w:val="13"/>
        <w:tabs>
          <w:tab w:val="right" w:leader="dot" w:pos="9061"/>
        </w:tabs>
        <w:spacing w:line="360" w:lineRule="auto"/>
        <w:ind w:left="420" w:leftChars="200"/>
        <w:rPr>
          <w:rStyle w:val="39"/>
        </w:rPr>
      </w:pPr>
      <w:r>
        <w:fldChar w:fldCharType="begin"/>
      </w:r>
      <w:r>
        <w:instrText xml:space="preserve"> HYPERLINK \l "_Toc231571734" </w:instrText>
      </w:r>
      <w:r>
        <w:fldChar w:fldCharType="separate"/>
      </w:r>
      <w:r>
        <w:rPr>
          <w:rStyle w:val="39"/>
          <w:sz w:val="24"/>
          <w:szCs w:val="24"/>
          <w:lang w:val="en-US" w:eastAsia="zh-CN"/>
        </w:rPr>
        <w:t>3.2 类比监测结果与评价</w:t>
      </w:r>
      <w:r>
        <w:rPr>
          <w:rStyle w:val="39"/>
        </w:rPr>
        <w:tab/>
      </w:r>
      <w:r>
        <w:rPr>
          <w:rStyle w:val="39"/>
        </w:rPr>
        <w:fldChar w:fldCharType="begin"/>
      </w:r>
      <w:r>
        <w:rPr>
          <w:rStyle w:val="39"/>
        </w:rPr>
        <w:instrText xml:space="preserve"> PAGEREF _Toc231571734 \h </w:instrText>
      </w:r>
      <w:r>
        <w:rPr>
          <w:rStyle w:val="39"/>
        </w:rPr>
        <w:fldChar w:fldCharType="separate"/>
      </w:r>
      <w:r>
        <w:rPr>
          <w:rStyle w:val="39"/>
          <w:lang w:val="en-US" w:eastAsia="zh-CN"/>
        </w:rPr>
        <w:t>5</w:t>
      </w:r>
      <w:r>
        <w:rPr>
          <w:rStyle w:val="39"/>
        </w:rPr>
        <w:fldChar w:fldCharType="end"/>
      </w:r>
      <w:r>
        <w:rPr>
          <w:rStyle w:val="39"/>
        </w:rPr>
        <w:fldChar w:fldCharType="end"/>
      </w:r>
    </w:p>
    <w:p w14:paraId="6D8339FE">
      <w:pPr>
        <w:pStyle w:val="23"/>
        <w:tabs>
          <w:tab w:val="right" w:leader="dot" w:pos="9061"/>
        </w:tabs>
        <w:spacing w:line="360" w:lineRule="auto"/>
        <w:ind w:left="0" w:leftChars="0"/>
        <w:rPr>
          <w:rStyle w:val="39"/>
        </w:rPr>
      </w:pPr>
      <w:r>
        <w:fldChar w:fldCharType="begin"/>
      </w:r>
      <w:r>
        <w:instrText xml:space="preserve"> HYPERLINK \l "_Toc231571735" </w:instrText>
      </w:r>
      <w:r>
        <w:fldChar w:fldCharType="separate"/>
      </w:r>
      <w:r>
        <w:rPr>
          <w:rStyle w:val="39"/>
          <w:b/>
          <w:bCs/>
          <w:sz w:val="24"/>
          <w:szCs w:val="24"/>
          <w:lang w:val="en-US" w:eastAsia="zh-CN"/>
        </w:rPr>
        <w:t>4 电磁环境保护措施</w:t>
      </w:r>
      <w:r>
        <w:rPr>
          <w:rStyle w:val="39"/>
        </w:rPr>
        <w:tab/>
      </w:r>
      <w:r>
        <w:rPr>
          <w:rStyle w:val="39"/>
        </w:rPr>
        <w:fldChar w:fldCharType="begin"/>
      </w:r>
      <w:r>
        <w:rPr>
          <w:rStyle w:val="39"/>
        </w:rPr>
        <w:instrText xml:space="preserve"> PAGEREF _Toc231571735 \h </w:instrText>
      </w:r>
      <w:r>
        <w:rPr>
          <w:rStyle w:val="39"/>
        </w:rPr>
        <w:fldChar w:fldCharType="separate"/>
      </w:r>
      <w:r>
        <w:rPr>
          <w:rStyle w:val="39"/>
          <w:lang w:val="en-US" w:eastAsia="zh-CN"/>
        </w:rPr>
        <w:t>6</w:t>
      </w:r>
      <w:r>
        <w:rPr>
          <w:rStyle w:val="39"/>
        </w:rPr>
        <w:fldChar w:fldCharType="end"/>
      </w:r>
      <w:r>
        <w:rPr>
          <w:rStyle w:val="39"/>
        </w:rPr>
        <w:fldChar w:fldCharType="end"/>
      </w:r>
    </w:p>
    <w:p w14:paraId="4B9DC600">
      <w:pPr>
        <w:pStyle w:val="23"/>
        <w:tabs>
          <w:tab w:val="right" w:leader="dot" w:pos="9061"/>
        </w:tabs>
        <w:spacing w:line="360" w:lineRule="auto"/>
        <w:ind w:left="0" w:leftChars="0"/>
        <w:rPr>
          <w:rStyle w:val="39"/>
        </w:rPr>
      </w:pPr>
      <w:r>
        <w:fldChar w:fldCharType="begin"/>
      </w:r>
      <w:r>
        <w:instrText xml:space="preserve"> HYPERLINK \l "_Toc231571736" </w:instrText>
      </w:r>
      <w:r>
        <w:fldChar w:fldCharType="separate"/>
      </w:r>
      <w:r>
        <w:rPr>
          <w:rStyle w:val="39"/>
          <w:b/>
          <w:bCs/>
          <w:sz w:val="24"/>
          <w:szCs w:val="24"/>
          <w:lang w:val="en-US" w:eastAsia="zh-CN"/>
        </w:rPr>
        <w:t>5 电磁环境监测计划</w:t>
      </w:r>
      <w:r>
        <w:rPr>
          <w:rStyle w:val="39"/>
        </w:rPr>
        <w:tab/>
      </w:r>
      <w:r>
        <w:rPr>
          <w:rStyle w:val="39"/>
        </w:rPr>
        <w:fldChar w:fldCharType="begin"/>
      </w:r>
      <w:r>
        <w:rPr>
          <w:rStyle w:val="39"/>
        </w:rPr>
        <w:instrText xml:space="preserve"> PAGEREF _Toc231571736 \h </w:instrText>
      </w:r>
      <w:r>
        <w:rPr>
          <w:rStyle w:val="39"/>
        </w:rPr>
        <w:fldChar w:fldCharType="separate"/>
      </w:r>
      <w:r>
        <w:rPr>
          <w:rStyle w:val="39"/>
          <w:lang w:val="en-US" w:eastAsia="zh-CN"/>
        </w:rPr>
        <w:t>7</w:t>
      </w:r>
      <w:r>
        <w:rPr>
          <w:rStyle w:val="39"/>
        </w:rPr>
        <w:fldChar w:fldCharType="end"/>
      </w:r>
      <w:r>
        <w:rPr>
          <w:rStyle w:val="39"/>
        </w:rPr>
        <w:fldChar w:fldCharType="end"/>
      </w:r>
    </w:p>
    <w:p w14:paraId="4E7BF17C">
      <w:pPr>
        <w:pStyle w:val="23"/>
        <w:tabs>
          <w:tab w:val="right" w:leader="dot" w:pos="9061"/>
        </w:tabs>
        <w:spacing w:line="360" w:lineRule="auto"/>
        <w:ind w:left="0" w:leftChars="0"/>
        <w:rPr>
          <w:rStyle w:val="39"/>
          <w:b/>
          <w:bCs/>
        </w:rPr>
      </w:pPr>
      <w:r>
        <w:fldChar w:fldCharType="begin"/>
      </w:r>
      <w:r>
        <w:instrText xml:space="preserve"> HYPERLINK \l "_Toc231571737" </w:instrText>
      </w:r>
      <w:r>
        <w:fldChar w:fldCharType="separate"/>
      </w:r>
      <w:r>
        <w:rPr>
          <w:rStyle w:val="39"/>
          <w:b/>
          <w:bCs/>
          <w:sz w:val="24"/>
          <w:szCs w:val="24"/>
          <w:lang w:val="en-US" w:eastAsia="zh-CN"/>
        </w:rPr>
        <w:t>6 电磁环境影响评价结论</w:t>
      </w:r>
      <w:r>
        <w:rPr>
          <w:rStyle w:val="39"/>
        </w:rPr>
        <w:tab/>
      </w:r>
      <w:r>
        <w:rPr>
          <w:rStyle w:val="39"/>
        </w:rPr>
        <w:fldChar w:fldCharType="begin"/>
      </w:r>
      <w:r>
        <w:rPr>
          <w:rStyle w:val="39"/>
        </w:rPr>
        <w:instrText xml:space="preserve"> PAGEREF _Toc231571737 \h </w:instrText>
      </w:r>
      <w:r>
        <w:rPr>
          <w:rStyle w:val="39"/>
        </w:rPr>
        <w:fldChar w:fldCharType="separate"/>
      </w:r>
      <w:r>
        <w:rPr>
          <w:rStyle w:val="39"/>
          <w:lang w:val="en-US" w:eastAsia="zh-CN"/>
        </w:rPr>
        <w:t>7</w:t>
      </w:r>
      <w:r>
        <w:rPr>
          <w:rStyle w:val="39"/>
        </w:rPr>
        <w:fldChar w:fldCharType="end"/>
      </w:r>
      <w:r>
        <w:rPr>
          <w:rStyle w:val="39"/>
        </w:rPr>
        <w:fldChar w:fldCharType="end"/>
      </w:r>
    </w:p>
    <w:p w14:paraId="0823DBD7">
      <w:pPr>
        <w:pStyle w:val="13"/>
        <w:tabs>
          <w:tab w:val="right" w:leader="dot" w:pos="9061"/>
        </w:tabs>
        <w:spacing w:line="360" w:lineRule="auto"/>
        <w:ind w:left="420" w:leftChars="200"/>
        <w:rPr>
          <w:rStyle w:val="39"/>
        </w:rPr>
      </w:pPr>
      <w:r>
        <w:fldChar w:fldCharType="begin"/>
      </w:r>
      <w:r>
        <w:instrText xml:space="preserve"> HYPERLINK \l "_Toc231571738" </w:instrText>
      </w:r>
      <w:r>
        <w:fldChar w:fldCharType="separate"/>
      </w:r>
      <w:r>
        <w:rPr>
          <w:rStyle w:val="39"/>
          <w:sz w:val="24"/>
          <w:szCs w:val="24"/>
          <w:lang w:val="en-US" w:eastAsia="zh-CN"/>
        </w:rPr>
        <w:t>6.1 电磁环境影响预测评价</w:t>
      </w:r>
      <w:r>
        <w:rPr>
          <w:rStyle w:val="39"/>
        </w:rPr>
        <w:tab/>
      </w:r>
      <w:r>
        <w:rPr>
          <w:rStyle w:val="39"/>
        </w:rPr>
        <w:fldChar w:fldCharType="begin"/>
      </w:r>
      <w:r>
        <w:rPr>
          <w:rStyle w:val="39"/>
        </w:rPr>
        <w:instrText xml:space="preserve"> PAGEREF _Toc231571738 \h </w:instrText>
      </w:r>
      <w:r>
        <w:rPr>
          <w:rStyle w:val="39"/>
        </w:rPr>
        <w:fldChar w:fldCharType="separate"/>
      </w:r>
      <w:r>
        <w:rPr>
          <w:rStyle w:val="39"/>
          <w:lang w:val="en-US" w:eastAsia="zh-CN"/>
        </w:rPr>
        <w:t>7</w:t>
      </w:r>
      <w:r>
        <w:rPr>
          <w:rStyle w:val="39"/>
        </w:rPr>
        <w:fldChar w:fldCharType="end"/>
      </w:r>
      <w:r>
        <w:rPr>
          <w:rStyle w:val="39"/>
        </w:rPr>
        <w:fldChar w:fldCharType="end"/>
      </w:r>
    </w:p>
    <w:p w14:paraId="7FD00B24">
      <w:pPr>
        <w:pStyle w:val="13"/>
        <w:tabs>
          <w:tab w:val="right" w:leader="dot" w:pos="9061"/>
        </w:tabs>
        <w:spacing w:line="360" w:lineRule="auto"/>
        <w:ind w:left="420" w:leftChars="200"/>
        <w:rPr>
          <w:color w:val="000000"/>
          <w:sz w:val="24"/>
        </w:rPr>
      </w:pPr>
      <w:r>
        <w:fldChar w:fldCharType="begin"/>
      </w:r>
      <w:r>
        <w:instrText xml:space="preserve"> HYPERLINK \l "_Toc231571739" </w:instrText>
      </w:r>
      <w:r>
        <w:fldChar w:fldCharType="separate"/>
      </w:r>
      <w:r>
        <w:rPr>
          <w:rStyle w:val="39"/>
          <w:sz w:val="24"/>
          <w:szCs w:val="24"/>
          <w:lang w:val="en-US" w:eastAsia="zh-CN"/>
        </w:rPr>
        <w:t>6.2 电磁环境影响专章评价结论</w:t>
      </w:r>
      <w:r>
        <w:rPr>
          <w:rStyle w:val="39"/>
        </w:rPr>
        <w:tab/>
      </w:r>
      <w:r>
        <w:rPr>
          <w:rStyle w:val="39"/>
        </w:rPr>
        <w:fldChar w:fldCharType="begin"/>
      </w:r>
      <w:r>
        <w:rPr>
          <w:rStyle w:val="39"/>
        </w:rPr>
        <w:instrText xml:space="preserve"> PAGEREF _Toc231571739 \h </w:instrText>
      </w:r>
      <w:r>
        <w:rPr>
          <w:rStyle w:val="39"/>
        </w:rPr>
        <w:fldChar w:fldCharType="separate"/>
      </w:r>
      <w:r>
        <w:rPr>
          <w:rStyle w:val="39"/>
          <w:lang w:val="en-US" w:eastAsia="zh-CN"/>
        </w:rPr>
        <w:t>7</w:t>
      </w:r>
      <w:r>
        <w:rPr>
          <w:rStyle w:val="39"/>
        </w:rPr>
        <w:fldChar w:fldCharType="end"/>
      </w:r>
      <w:r>
        <w:rPr>
          <w:rStyle w:val="39"/>
        </w:rPr>
        <w:fldChar w:fldCharType="end"/>
      </w:r>
      <w:r>
        <w:rPr>
          <w:color w:val="000000"/>
          <w:sz w:val="24"/>
        </w:rPr>
        <w:fldChar w:fldCharType="end"/>
      </w:r>
    </w:p>
    <w:p w14:paraId="3348E829">
      <w:pPr>
        <w:spacing w:line="360" w:lineRule="auto"/>
        <w:jc w:val="center"/>
        <w:rPr>
          <w:color w:val="000000"/>
          <w:sz w:val="24"/>
        </w:rPr>
        <w:sectPr>
          <w:headerReference r:id="rId10" w:type="default"/>
          <w:footerReference r:id="rId11" w:type="default"/>
          <w:pgSz w:w="11905" w:h="16838"/>
          <w:pgMar w:top="1531" w:right="1417" w:bottom="1531" w:left="1417" w:header="851" w:footer="1077" w:gutter="0"/>
          <w:pgBorders>
            <w:top w:val="none" w:sz="0" w:space="0"/>
            <w:left w:val="none" w:sz="0" w:space="0"/>
            <w:bottom w:val="none" w:sz="0" w:space="0"/>
            <w:right w:val="none" w:sz="0" w:space="0"/>
          </w:pgBorders>
          <w:cols w:space="720" w:num="1"/>
          <w:docGrid w:linePitch="312" w:charSpace="0"/>
        </w:sectPr>
      </w:pPr>
    </w:p>
    <w:p w14:paraId="5309DD5F">
      <w:pPr>
        <w:pStyle w:val="3"/>
        <w:spacing w:before="0" w:after="0" w:line="360" w:lineRule="auto"/>
        <w:rPr>
          <w:rFonts w:ascii="Times New Roman" w:hAnsi="Times New Roman" w:eastAsia="黑体"/>
          <w:b w:val="0"/>
          <w:bCs w:val="0"/>
          <w:sz w:val="30"/>
          <w:szCs w:val="30"/>
        </w:rPr>
      </w:pPr>
      <w:bookmarkStart w:id="231" w:name="_Toc2281"/>
      <w:bookmarkStart w:id="232" w:name="_Toc32158"/>
      <w:bookmarkStart w:id="233" w:name="_Toc231571716"/>
      <w:bookmarkStart w:id="234" w:name="_Toc233036196"/>
      <w:bookmarkStart w:id="235" w:name="_Toc3726"/>
      <w:r>
        <w:rPr>
          <w:rFonts w:ascii="Times New Roman" w:hAnsi="Times New Roman" w:eastAsia="黑体"/>
          <w:b w:val="0"/>
          <w:bCs w:val="0"/>
          <w:sz w:val="30"/>
          <w:szCs w:val="30"/>
        </w:rPr>
        <w:t>1</w:t>
      </w:r>
      <w:r>
        <w:rPr>
          <w:rFonts w:hint="eastAsia" w:ascii="Times New Roman" w:hAnsi="Times New Roman" w:eastAsia="黑体"/>
          <w:b w:val="0"/>
          <w:bCs w:val="0"/>
          <w:sz w:val="30"/>
          <w:szCs w:val="30"/>
        </w:rPr>
        <w:t xml:space="preserve"> </w:t>
      </w:r>
      <w:r>
        <w:rPr>
          <w:rFonts w:ascii="Times New Roman" w:hAnsi="Times New Roman" w:eastAsia="黑体"/>
          <w:b w:val="0"/>
          <w:bCs w:val="0"/>
          <w:sz w:val="30"/>
          <w:szCs w:val="30"/>
        </w:rPr>
        <w:t>总则</w:t>
      </w:r>
      <w:bookmarkEnd w:id="231"/>
      <w:bookmarkEnd w:id="232"/>
      <w:bookmarkEnd w:id="233"/>
      <w:bookmarkEnd w:id="234"/>
      <w:bookmarkEnd w:id="235"/>
    </w:p>
    <w:p w14:paraId="326D4894">
      <w:pPr>
        <w:pStyle w:val="5"/>
        <w:spacing w:before="0" w:after="0" w:line="360" w:lineRule="auto"/>
        <w:rPr>
          <w:rFonts w:eastAsia="黑体"/>
          <w:b w:val="0"/>
          <w:bCs w:val="0"/>
          <w:sz w:val="28"/>
          <w:szCs w:val="28"/>
        </w:rPr>
      </w:pPr>
      <w:bookmarkStart w:id="236" w:name="_Toc21499"/>
      <w:bookmarkStart w:id="237" w:name="_Toc3153"/>
      <w:bookmarkStart w:id="238" w:name="_Toc231571717"/>
      <w:bookmarkStart w:id="239" w:name="_Toc233036197"/>
      <w:bookmarkStart w:id="240" w:name="_Toc18671"/>
      <w:r>
        <w:rPr>
          <w:rFonts w:eastAsia="黑体"/>
          <w:b w:val="0"/>
          <w:bCs w:val="0"/>
          <w:sz w:val="28"/>
          <w:szCs w:val="28"/>
        </w:rPr>
        <w:t>1.1</w:t>
      </w:r>
      <w:r>
        <w:rPr>
          <w:rFonts w:hint="eastAsia" w:eastAsia="黑体"/>
          <w:b w:val="0"/>
          <w:bCs w:val="0"/>
          <w:sz w:val="28"/>
          <w:szCs w:val="28"/>
        </w:rPr>
        <w:t xml:space="preserve"> </w:t>
      </w:r>
      <w:r>
        <w:rPr>
          <w:rFonts w:eastAsia="黑体"/>
          <w:b w:val="0"/>
          <w:bCs w:val="0"/>
          <w:sz w:val="28"/>
          <w:szCs w:val="28"/>
        </w:rPr>
        <w:t>编制依据</w:t>
      </w:r>
      <w:bookmarkEnd w:id="236"/>
      <w:bookmarkEnd w:id="237"/>
      <w:bookmarkEnd w:id="238"/>
      <w:bookmarkEnd w:id="239"/>
      <w:bookmarkEnd w:id="240"/>
    </w:p>
    <w:p w14:paraId="243E56DF">
      <w:pPr>
        <w:pStyle w:val="6"/>
        <w:spacing w:line="360" w:lineRule="auto"/>
        <w:rPr>
          <w:rFonts w:ascii="Times New Roman" w:hAnsi="Times New Roman" w:eastAsia="宋体"/>
          <w:sz w:val="24"/>
          <w:szCs w:val="24"/>
        </w:rPr>
      </w:pPr>
      <w:bookmarkStart w:id="241" w:name="_Toc233036198"/>
      <w:bookmarkStart w:id="242" w:name="_Toc231571718"/>
      <w:r>
        <w:rPr>
          <w:rFonts w:ascii="Times New Roman" w:hAnsi="Times New Roman" w:eastAsia="宋体"/>
          <w:sz w:val="24"/>
          <w:szCs w:val="24"/>
        </w:rPr>
        <w:t>1.1.1</w:t>
      </w:r>
      <w:r>
        <w:rPr>
          <w:rFonts w:hint="eastAsia" w:ascii="Times New Roman" w:hAnsi="Times New Roman" w:eastAsia="宋体"/>
          <w:sz w:val="24"/>
          <w:szCs w:val="24"/>
        </w:rPr>
        <w:t xml:space="preserve"> </w:t>
      </w:r>
      <w:r>
        <w:rPr>
          <w:rFonts w:ascii="Times New Roman" w:hAnsi="Times New Roman" w:eastAsia="宋体"/>
          <w:sz w:val="24"/>
          <w:szCs w:val="24"/>
        </w:rPr>
        <w:t>相关法律法规</w:t>
      </w:r>
      <w:r>
        <w:rPr>
          <w:rFonts w:hint="eastAsia" w:ascii="Times New Roman" w:hAnsi="Times New Roman" w:eastAsia="宋体"/>
          <w:sz w:val="24"/>
          <w:szCs w:val="24"/>
        </w:rPr>
        <w:t>及规范性文件</w:t>
      </w:r>
      <w:bookmarkEnd w:id="241"/>
      <w:bookmarkEnd w:id="242"/>
    </w:p>
    <w:p w14:paraId="761DA5EA">
      <w:pPr>
        <w:spacing w:line="360" w:lineRule="auto"/>
        <w:ind w:firstLine="480" w:firstLineChars="200"/>
        <w:rPr>
          <w:sz w:val="24"/>
          <w:szCs w:val="24"/>
        </w:rPr>
      </w:pPr>
      <w:r>
        <w:rPr>
          <w:sz w:val="24"/>
          <w:szCs w:val="24"/>
        </w:rPr>
        <w:t>（1）《中华人民共和国环境保护法》（2014年修订），2015年1月1日起施行；</w:t>
      </w:r>
    </w:p>
    <w:p w14:paraId="16ADEC9A">
      <w:pPr>
        <w:spacing w:line="360" w:lineRule="auto"/>
        <w:ind w:firstLine="480" w:firstLineChars="200"/>
        <w:rPr>
          <w:sz w:val="24"/>
          <w:szCs w:val="24"/>
        </w:rPr>
      </w:pPr>
      <w:r>
        <w:rPr>
          <w:sz w:val="24"/>
          <w:szCs w:val="24"/>
        </w:rPr>
        <w:t>（2）《中华人民共和国环境影响评价法》（2018年修订），2018年12月29日起施行；</w:t>
      </w:r>
    </w:p>
    <w:p w14:paraId="57567FAA">
      <w:pPr>
        <w:spacing w:line="360" w:lineRule="auto"/>
        <w:ind w:firstLine="480" w:firstLineChars="200"/>
        <w:rPr>
          <w:sz w:val="24"/>
          <w:szCs w:val="24"/>
        </w:rPr>
      </w:pPr>
      <w:r>
        <w:rPr>
          <w:rFonts w:hint="eastAsia"/>
          <w:sz w:val="24"/>
          <w:szCs w:val="24"/>
        </w:rPr>
        <w:t>（3）《中华人民共和国电力法》（1996年4月1日起施行）；</w:t>
      </w:r>
    </w:p>
    <w:p w14:paraId="3BC3EBDB">
      <w:pPr>
        <w:spacing w:line="360" w:lineRule="auto"/>
        <w:ind w:firstLine="480" w:firstLineChars="200"/>
        <w:rPr>
          <w:sz w:val="24"/>
          <w:szCs w:val="24"/>
        </w:rPr>
      </w:pPr>
      <w:r>
        <w:rPr>
          <w:rFonts w:hint="eastAsia"/>
          <w:sz w:val="24"/>
          <w:szCs w:val="24"/>
        </w:rPr>
        <w:t>（</w:t>
      </w:r>
      <w:r>
        <w:rPr>
          <w:sz w:val="24"/>
          <w:szCs w:val="24"/>
        </w:rPr>
        <w:t>4</w:t>
      </w:r>
      <w:r>
        <w:rPr>
          <w:rFonts w:hint="eastAsia"/>
          <w:sz w:val="24"/>
          <w:szCs w:val="24"/>
        </w:rPr>
        <w:t>）《建设项目环境保护管理条例》（中华人民共和国国务院令第682号，2017年10月1日施行）；</w:t>
      </w:r>
    </w:p>
    <w:p w14:paraId="7F0630D7">
      <w:pPr>
        <w:spacing w:line="360" w:lineRule="auto"/>
        <w:ind w:firstLine="480" w:firstLineChars="200"/>
        <w:rPr>
          <w:sz w:val="24"/>
          <w:szCs w:val="24"/>
        </w:rPr>
      </w:pPr>
      <w:r>
        <w:rPr>
          <w:rFonts w:hint="eastAsia"/>
          <w:sz w:val="24"/>
          <w:szCs w:val="24"/>
        </w:rPr>
        <w:t>（5）《电力设施保护条例》（</w:t>
      </w:r>
      <w:r>
        <w:rPr>
          <w:sz w:val="24"/>
          <w:szCs w:val="24"/>
        </w:rPr>
        <w:t>2011</w:t>
      </w:r>
      <w:r>
        <w:rPr>
          <w:rFonts w:hint="eastAsia"/>
          <w:sz w:val="24"/>
          <w:szCs w:val="24"/>
        </w:rPr>
        <w:t>年1月</w:t>
      </w:r>
      <w:r>
        <w:rPr>
          <w:sz w:val="24"/>
          <w:szCs w:val="24"/>
        </w:rPr>
        <w:t>8</w:t>
      </w:r>
      <w:r>
        <w:rPr>
          <w:rFonts w:hint="eastAsia"/>
          <w:sz w:val="24"/>
          <w:szCs w:val="24"/>
        </w:rPr>
        <w:t>日修订）；</w:t>
      </w:r>
    </w:p>
    <w:p w14:paraId="0044396E">
      <w:pPr>
        <w:spacing w:line="360" w:lineRule="auto"/>
        <w:ind w:firstLine="480" w:firstLineChars="200"/>
        <w:rPr>
          <w:sz w:val="24"/>
          <w:szCs w:val="24"/>
        </w:rPr>
      </w:pPr>
      <w:r>
        <w:rPr>
          <w:rFonts w:hint="eastAsia"/>
          <w:sz w:val="24"/>
          <w:szCs w:val="24"/>
        </w:rPr>
        <w:t>（6）《建设项目环境影响评价分类管理名录（2021年版）》。</w:t>
      </w:r>
    </w:p>
    <w:p w14:paraId="75DDBEE4">
      <w:pPr>
        <w:pStyle w:val="6"/>
        <w:spacing w:line="360" w:lineRule="auto"/>
        <w:rPr>
          <w:rFonts w:ascii="Times New Roman" w:hAnsi="Times New Roman" w:eastAsia="宋体"/>
          <w:sz w:val="24"/>
          <w:szCs w:val="24"/>
        </w:rPr>
      </w:pPr>
      <w:bookmarkStart w:id="243" w:name="_Toc231571719"/>
      <w:bookmarkStart w:id="244" w:name="_Toc233036199"/>
      <w:r>
        <w:rPr>
          <w:rFonts w:ascii="Times New Roman" w:hAnsi="Times New Roman" w:eastAsia="宋体"/>
          <w:sz w:val="24"/>
          <w:szCs w:val="24"/>
        </w:rPr>
        <w:t>1.1.2</w:t>
      </w:r>
      <w:r>
        <w:rPr>
          <w:rFonts w:hint="eastAsia" w:ascii="Times New Roman" w:hAnsi="Times New Roman" w:eastAsia="宋体"/>
          <w:sz w:val="24"/>
          <w:szCs w:val="24"/>
        </w:rPr>
        <w:t xml:space="preserve"> </w:t>
      </w:r>
      <w:r>
        <w:rPr>
          <w:rFonts w:ascii="Times New Roman" w:hAnsi="Times New Roman" w:eastAsia="宋体"/>
          <w:sz w:val="24"/>
          <w:szCs w:val="24"/>
        </w:rPr>
        <w:t>技术规范</w:t>
      </w:r>
      <w:bookmarkEnd w:id="243"/>
      <w:bookmarkEnd w:id="244"/>
    </w:p>
    <w:p w14:paraId="640070DD">
      <w:pPr>
        <w:adjustRightInd w:val="0"/>
        <w:snapToGrid w:val="0"/>
        <w:spacing w:line="360" w:lineRule="auto"/>
        <w:ind w:firstLine="480" w:firstLineChars="200"/>
        <w:rPr>
          <w:sz w:val="24"/>
          <w:szCs w:val="24"/>
        </w:rPr>
      </w:pPr>
      <w:r>
        <w:rPr>
          <w:sz w:val="24"/>
          <w:szCs w:val="24"/>
        </w:rPr>
        <w:t>（1）</w:t>
      </w:r>
      <w:r>
        <w:rPr>
          <w:rFonts w:hint="eastAsia"/>
          <w:sz w:val="24"/>
          <w:szCs w:val="24"/>
        </w:rPr>
        <w:t>《建设项目环境影响评价技术导则 总纲》（HJ2.1-2016）</w:t>
      </w:r>
    </w:p>
    <w:p w14:paraId="08634F7B">
      <w:pPr>
        <w:adjustRightInd w:val="0"/>
        <w:snapToGrid w:val="0"/>
        <w:spacing w:line="360" w:lineRule="auto"/>
        <w:ind w:firstLine="480" w:firstLineChars="200"/>
        <w:rPr>
          <w:sz w:val="24"/>
          <w:szCs w:val="24"/>
        </w:rPr>
      </w:pPr>
      <w:r>
        <w:rPr>
          <w:rFonts w:hint="eastAsia"/>
          <w:sz w:val="24"/>
          <w:szCs w:val="24"/>
        </w:rPr>
        <w:t>（2）</w:t>
      </w:r>
      <w:r>
        <w:rPr>
          <w:sz w:val="24"/>
          <w:szCs w:val="24"/>
        </w:rPr>
        <w:t>《环境影响评价技术导则</w:t>
      </w:r>
      <w:r>
        <w:rPr>
          <w:rFonts w:hint="eastAsia"/>
          <w:sz w:val="24"/>
          <w:szCs w:val="24"/>
        </w:rPr>
        <w:t xml:space="preserve"> </w:t>
      </w:r>
      <w:r>
        <w:rPr>
          <w:sz w:val="24"/>
          <w:szCs w:val="24"/>
        </w:rPr>
        <w:t>输变电》（HJ24-2020）；</w:t>
      </w:r>
    </w:p>
    <w:p w14:paraId="2E39A732">
      <w:pPr>
        <w:pStyle w:val="11"/>
        <w:adjustRightInd w:val="0"/>
        <w:spacing w:before="0" w:after="0" w:line="360" w:lineRule="auto"/>
        <w:ind w:right="0" w:firstLine="480" w:firstLineChars="200"/>
        <w:rPr>
          <w:rFonts w:hint="eastAsia"/>
        </w:rPr>
      </w:pPr>
      <w:r>
        <w:rPr>
          <w:rFonts w:hint="eastAsia"/>
          <w:sz w:val="24"/>
          <w:szCs w:val="24"/>
        </w:rPr>
        <w:t>（3）《输变电建设项目环境保护技术要求》（HJ1113-2020）；</w:t>
      </w:r>
    </w:p>
    <w:p w14:paraId="684FF4B1">
      <w:pPr>
        <w:adjustRightInd w:val="0"/>
        <w:snapToGrid w:val="0"/>
        <w:spacing w:line="360" w:lineRule="auto"/>
        <w:ind w:firstLine="480" w:firstLineChars="200"/>
        <w:rPr>
          <w:sz w:val="24"/>
          <w:szCs w:val="24"/>
        </w:rPr>
      </w:pPr>
      <w:r>
        <w:rPr>
          <w:sz w:val="24"/>
          <w:szCs w:val="24"/>
        </w:rPr>
        <w:t>（</w:t>
      </w:r>
      <w:r>
        <w:rPr>
          <w:rFonts w:hint="eastAsia"/>
          <w:sz w:val="24"/>
          <w:szCs w:val="24"/>
        </w:rPr>
        <w:t>4</w:t>
      </w:r>
      <w:r>
        <w:rPr>
          <w:sz w:val="24"/>
          <w:szCs w:val="24"/>
        </w:rPr>
        <w:t>）《电磁环境控制限值》（GB</w:t>
      </w:r>
      <w:r>
        <w:rPr>
          <w:rFonts w:hint="eastAsia"/>
          <w:sz w:val="24"/>
          <w:szCs w:val="24"/>
        </w:rPr>
        <w:t xml:space="preserve"> </w:t>
      </w:r>
      <w:r>
        <w:rPr>
          <w:sz w:val="24"/>
          <w:szCs w:val="24"/>
        </w:rPr>
        <w:t>8702-2014）；</w:t>
      </w:r>
    </w:p>
    <w:p w14:paraId="48A18D1C">
      <w:pPr>
        <w:adjustRightInd w:val="0"/>
        <w:snapToGrid w:val="0"/>
        <w:spacing w:line="360" w:lineRule="auto"/>
        <w:ind w:firstLine="480" w:firstLineChars="200"/>
        <w:rPr>
          <w:sz w:val="24"/>
          <w:szCs w:val="24"/>
        </w:rPr>
      </w:pPr>
      <w:r>
        <w:rPr>
          <w:sz w:val="24"/>
          <w:szCs w:val="24"/>
        </w:rPr>
        <w:t>（</w:t>
      </w:r>
      <w:r>
        <w:rPr>
          <w:rFonts w:hint="eastAsia"/>
          <w:sz w:val="24"/>
          <w:szCs w:val="24"/>
        </w:rPr>
        <w:t>5</w:t>
      </w:r>
      <w:r>
        <w:rPr>
          <w:sz w:val="24"/>
          <w:szCs w:val="24"/>
        </w:rPr>
        <w:t>）《交流输变电工程电磁环境监测方法》（HJ681-2013）。</w:t>
      </w:r>
    </w:p>
    <w:p w14:paraId="37ADDB6B">
      <w:pPr>
        <w:pStyle w:val="5"/>
        <w:spacing w:before="0" w:after="0" w:line="360" w:lineRule="auto"/>
        <w:rPr>
          <w:rFonts w:eastAsia="黑体"/>
          <w:b w:val="0"/>
          <w:bCs w:val="0"/>
          <w:sz w:val="28"/>
          <w:szCs w:val="28"/>
        </w:rPr>
      </w:pPr>
      <w:bookmarkStart w:id="245" w:name="_Toc231571720"/>
      <w:bookmarkStart w:id="246" w:name="_Toc233036200"/>
      <w:bookmarkStart w:id="247" w:name="_Toc19322"/>
      <w:bookmarkStart w:id="248" w:name="_Toc21382"/>
      <w:bookmarkStart w:id="249" w:name="_Toc25273"/>
      <w:r>
        <w:rPr>
          <w:rFonts w:eastAsia="黑体"/>
          <w:b w:val="0"/>
          <w:bCs w:val="0"/>
          <w:sz w:val="28"/>
          <w:szCs w:val="28"/>
        </w:rPr>
        <w:t>1.2</w:t>
      </w:r>
      <w:r>
        <w:rPr>
          <w:rFonts w:hint="eastAsia" w:eastAsia="黑体"/>
          <w:b w:val="0"/>
          <w:bCs w:val="0"/>
          <w:sz w:val="28"/>
          <w:szCs w:val="28"/>
        </w:rPr>
        <w:t xml:space="preserve"> </w:t>
      </w:r>
      <w:r>
        <w:rPr>
          <w:rFonts w:eastAsia="黑体"/>
          <w:b w:val="0"/>
          <w:bCs w:val="0"/>
          <w:sz w:val="28"/>
          <w:szCs w:val="28"/>
        </w:rPr>
        <w:t>评价因子和评价标准</w:t>
      </w:r>
      <w:bookmarkEnd w:id="245"/>
      <w:bookmarkEnd w:id="246"/>
      <w:bookmarkEnd w:id="247"/>
      <w:bookmarkEnd w:id="248"/>
      <w:bookmarkEnd w:id="249"/>
    </w:p>
    <w:p w14:paraId="04FDD4D7">
      <w:pPr>
        <w:pStyle w:val="6"/>
        <w:spacing w:line="360" w:lineRule="auto"/>
        <w:rPr>
          <w:rFonts w:ascii="Times New Roman" w:hAnsi="Times New Roman" w:eastAsia="宋体"/>
          <w:sz w:val="24"/>
          <w:szCs w:val="24"/>
        </w:rPr>
      </w:pPr>
      <w:bookmarkStart w:id="250" w:name="_Toc231571721"/>
      <w:bookmarkStart w:id="251" w:name="_Toc233036201"/>
      <w:r>
        <w:rPr>
          <w:rFonts w:ascii="Times New Roman" w:hAnsi="Times New Roman" w:eastAsia="宋体"/>
          <w:sz w:val="24"/>
          <w:szCs w:val="24"/>
        </w:rPr>
        <w:t>1.2.1</w:t>
      </w:r>
      <w:r>
        <w:rPr>
          <w:rFonts w:hint="eastAsia" w:ascii="Times New Roman" w:hAnsi="Times New Roman" w:eastAsia="宋体"/>
          <w:sz w:val="24"/>
          <w:szCs w:val="24"/>
        </w:rPr>
        <w:t xml:space="preserve"> </w:t>
      </w:r>
      <w:r>
        <w:rPr>
          <w:rFonts w:ascii="Times New Roman" w:hAnsi="Times New Roman" w:eastAsia="宋体"/>
          <w:sz w:val="24"/>
          <w:szCs w:val="24"/>
        </w:rPr>
        <w:t>评价因子</w:t>
      </w:r>
      <w:bookmarkEnd w:id="250"/>
      <w:bookmarkEnd w:id="251"/>
    </w:p>
    <w:p w14:paraId="270C9B69">
      <w:pPr>
        <w:pStyle w:val="11"/>
        <w:snapToGrid/>
        <w:spacing w:before="0" w:after="0" w:line="360" w:lineRule="auto"/>
        <w:ind w:right="0" w:firstLine="476" w:firstLineChars="200"/>
        <w:rPr>
          <w:spacing w:val="-1"/>
          <w:sz w:val="24"/>
          <w:szCs w:val="24"/>
        </w:rPr>
      </w:pPr>
      <w:r>
        <w:rPr>
          <w:spacing w:val="-1"/>
          <w:sz w:val="24"/>
          <w:szCs w:val="24"/>
        </w:rPr>
        <w:t>根据项目特点，本</w:t>
      </w:r>
      <w:r>
        <w:rPr>
          <w:rFonts w:hint="eastAsia"/>
          <w:spacing w:val="-1"/>
          <w:sz w:val="24"/>
          <w:szCs w:val="24"/>
        </w:rPr>
        <w:t>项目运行期电磁环境评价因子见表1.2</w:t>
      </w:r>
      <w:r>
        <w:rPr>
          <w:spacing w:val="-1"/>
          <w:sz w:val="24"/>
          <w:szCs w:val="24"/>
        </w:rPr>
        <w:t>.1-1</w:t>
      </w:r>
      <w:r>
        <w:rPr>
          <w:rFonts w:hint="eastAsia"/>
          <w:spacing w:val="-1"/>
          <w:sz w:val="24"/>
          <w:szCs w:val="24"/>
        </w:rPr>
        <w:t>。</w:t>
      </w:r>
    </w:p>
    <w:p w14:paraId="17254BB0">
      <w:pPr>
        <w:spacing w:line="360" w:lineRule="auto"/>
        <w:jc w:val="center"/>
        <w:rPr>
          <w:b/>
          <w:bCs/>
          <w:sz w:val="24"/>
          <w:szCs w:val="24"/>
        </w:rPr>
      </w:pPr>
      <w:r>
        <w:rPr>
          <w:rFonts w:hint="eastAsia"/>
          <w:b/>
          <w:bCs/>
          <w:sz w:val="24"/>
          <w:szCs w:val="24"/>
        </w:rPr>
        <w:t>表1</w:t>
      </w:r>
      <w:r>
        <w:rPr>
          <w:b/>
          <w:bCs/>
          <w:sz w:val="24"/>
          <w:szCs w:val="24"/>
        </w:rPr>
        <w:t>.2.1-1</w:t>
      </w:r>
      <w:r>
        <w:rPr>
          <w:rFonts w:hint="eastAsia"/>
          <w:b/>
          <w:bCs/>
          <w:sz w:val="24"/>
          <w:szCs w:val="24"/>
        </w:rPr>
        <w:t xml:space="preserve">  项目环境影响评价内容和评价因子</w:t>
      </w:r>
    </w:p>
    <w:tbl>
      <w:tblPr>
        <w:tblStyle w:val="30"/>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8"/>
        <w:gridCol w:w="1899"/>
        <w:gridCol w:w="3148"/>
        <w:gridCol w:w="3152"/>
      </w:tblGrid>
      <w:tr w14:paraId="13D9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6" w:type="pct"/>
            <w:vMerge w:val="restart"/>
            <w:vAlign w:val="center"/>
          </w:tcPr>
          <w:p w14:paraId="449CF447">
            <w:pPr>
              <w:pStyle w:val="83"/>
              <w:spacing w:before="24" w:after="24"/>
              <w:rPr>
                <w:b/>
                <w:bCs/>
                <w:color w:val="000000"/>
              </w:rPr>
            </w:pPr>
            <w:r>
              <w:rPr>
                <w:b/>
                <w:bCs/>
                <w:color w:val="000000"/>
              </w:rPr>
              <w:t>时段</w:t>
            </w:r>
          </w:p>
        </w:tc>
        <w:tc>
          <w:tcPr>
            <w:tcW w:w="1022" w:type="pct"/>
            <w:vMerge w:val="restart"/>
            <w:vAlign w:val="center"/>
          </w:tcPr>
          <w:p w14:paraId="0F804FD8">
            <w:pPr>
              <w:pStyle w:val="83"/>
              <w:spacing w:before="24" w:after="24"/>
              <w:rPr>
                <w:b/>
                <w:bCs/>
                <w:color w:val="000000"/>
              </w:rPr>
            </w:pPr>
            <w:r>
              <w:rPr>
                <w:b/>
                <w:bCs/>
                <w:color w:val="000000"/>
              </w:rPr>
              <w:t>环境要素</w:t>
            </w:r>
          </w:p>
        </w:tc>
        <w:tc>
          <w:tcPr>
            <w:tcW w:w="3390" w:type="pct"/>
            <w:gridSpan w:val="2"/>
            <w:vAlign w:val="center"/>
          </w:tcPr>
          <w:p w14:paraId="3B1D0EB4">
            <w:pPr>
              <w:pStyle w:val="83"/>
              <w:spacing w:before="24" w:after="24"/>
              <w:rPr>
                <w:b/>
                <w:bCs/>
                <w:color w:val="000000"/>
              </w:rPr>
            </w:pPr>
            <w:r>
              <w:rPr>
                <w:b/>
                <w:bCs/>
                <w:color w:val="000000"/>
              </w:rPr>
              <w:t>评价因子</w:t>
            </w:r>
          </w:p>
        </w:tc>
      </w:tr>
      <w:tr w14:paraId="00C3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6" w:type="pct"/>
            <w:vMerge w:val="continue"/>
            <w:vAlign w:val="center"/>
          </w:tcPr>
          <w:p w14:paraId="60AA8988">
            <w:pPr>
              <w:pStyle w:val="83"/>
              <w:spacing w:before="24" w:after="24"/>
              <w:rPr>
                <w:b/>
                <w:bCs/>
                <w:color w:val="000000"/>
              </w:rPr>
            </w:pPr>
          </w:p>
        </w:tc>
        <w:tc>
          <w:tcPr>
            <w:tcW w:w="1022" w:type="pct"/>
            <w:vMerge w:val="continue"/>
            <w:vAlign w:val="center"/>
          </w:tcPr>
          <w:p w14:paraId="424B8E50">
            <w:pPr>
              <w:pStyle w:val="83"/>
              <w:spacing w:before="24" w:after="24"/>
              <w:rPr>
                <w:b/>
                <w:bCs/>
                <w:color w:val="000000"/>
              </w:rPr>
            </w:pPr>
          </w:p>
        </w:tc>
        <w:tc>
          <w:tcPr>
            <w:tcW w:w="1694" w:type="pct"/>
            <w:vAlign w:val="center"/>
          </w:tcPr>
          <w:p w14:paraId="7BE953F9">
            <w:pPr>
              <w:pStyle w:val="83"/>
              <w:spacing w:before="24" w:after="24"/>
              <w:rPr>
                <w:b/>
                <w:bCs/>
                <w:color w:val="000000"/>
              </w:rPr>
            </w:pPr>
            <w:r>
              <w:rPr>
                <w:b/>
                <w:bCs/>
                <w:color w:val="000000"/>
              </w:rPr>
              <w:t>现状评价因子</w:t>
            </w:r>
          </w:p>
        </w:tc>
        <w:tc>
          <w:tcPr>
            <w:tcW w:w="1695" w:type="pct"/>
            <w:vAlign w:val="center"/>
          </w:tcPr>
          <w:p w14:paraId="6E59C879">
            <w:pPr>
              <w:pStyle w:val="83"/>
              <w:spacing w:before="24" w:after="24"/>
              <w:rPr>
                <w:b/>
                <w:bCs/>
                <w:color w:val="000000"/>
              </w:rPr>
            </w:pPr>
            <w:r>
              <w:rPr>
                <w:b/>
                <w:bCs/>
                <w:color w:val="000000"/>
              </w:rPr>
              <w:t>预测评价因子</w:t>
            </w:r>
          </w:p>
        </w:tc>
      </w:tr>
      <w:tr w14:paraId="3046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6" w:type="pct"/>
            <w:vAlign w:val="center"/>
          </w:tcPr>
          <w:p w14:paraId="14DEC6A4">
            <w:pPr>
              <w:pStyle w:val="83"/>
              <w:spacing w:before="24" w:after="24"/>
              <w:rPr>
                <w:color w:val="000000"/>
              </w:rPr>
            </w:pPr>
            <w:r>
              <w:rPr>
                <w:color w:val="000000"/>
              </w:rPr>
              <w:t>运营期</w:t>
            </w:r>
          </w:p>
        </w:tc>
        <w:tc>
          <w:tcPr>
            <w:tcW w:w="1022" w:type="pct"/>
            <w:vAlign w:val="center"/>
          </w:tcPr>
          <w:p w14:paraId="1FE3AC3D">
            <w:pPr>
              <w:pStyle w:val="83"/>
              <w:spacing w:before="24" w:after="24"/>
              <w:rPr>
                <w:color w:val="000000"/>
              </w:rPr>
            </w:pPr>
            <w:r>
              <w:rPr>
                <w:color w:val="000000"/>
              </w:rPr>
              <w:t>电磁环境</w:t>
            </w:r>
          </w:p>
        </w:tc>
        <w:tc>
          <w:tcPr>
            <w:tcW w:w="1694" w:type="pct"/>
            <w:vAlign w:val="center"/>
          </w:tcPr>
          <w:p w14:paraId="3D712F14">
            <w:pPr>
              <w:pStyle w:val="83"/>
              <w:spacing w:before="24" w:after="24"/>
              <w:rPr>
                <w:rFonts w:ascii="Times New Roman"/>
                <w:color w:val="000000"/>
              </w:rPr>
            </w:pPr>
            <w:r>
              <w:rPr>
                <w:rFonts w:ascii="Times New Roman"/>
                <w:color w:val="000000"/>
              </w:rPr>
              <w:t>工频电场强度（V/m）</w:t>
            </w:r>
          </w:p>
          <w:p w14:paraId="065AF727">
            <w:pPr>
              <w:pStyle w:val="83"/>
              <w:spacing w:before="24" w:after="24"/>
              <w:rPr>
                <w:rFonts w:ascii="Times New Roman"/>
                <w:color w:val="000000"/>
              </w:rPr>
            </w:pPr>
            <w:r>
              <w:rPr>
                <w:rFonts w:ascii="Times New Roman"/>
                <w:color w:val="000000"/>
              </w:rPr>
              <w:t>工频磁感应强度（μT）</w:t>
            </w:r>
          </w:p>
        </w:tc>
        <w:tc>
          <w:tcPr>
            <w:tcW w:w="1695" w:type="pct"/>
            <w:vAlign w:val="center"/>
          </w:tcPr>
          <w:p w14:paraId="2C5BA813">
            <w:pPr>
              <w:pStyle w:val="83"/>
              <w:spacing w:before="24" w:after="24"/>
              <w:rPr>
                <w:rFonts w:ascii="Times New Roman"/>
                <w:color w:val="000000"/>
              </w:rPr>
            </w:pPr>
            <w:r>
              <w:rPr>
                <w:rFonts w:ascii="Times New Roman"/>
                <w:color w:val="000000"/>
              </w:rPr>
              <w:t>工频电场强度（V/m）</w:t>
            </w:r>
          </w:p>
          <w:p w14:paraId="6C53DF7D">
            <w:pPr>
              <w:pStyle w:val="83"/>
              <w:spacing w:before="24" w:after="24"/>
              <w:rPr>
                <w:rFonts w:ascii="Times New Roman"/>
                <w:color w:val="000000"/>
              </w:rPr>
            </w:pPr>
            <w:r>
              <w:rPr>
                <w:rFonts w:ascii="Times New Roman"/>
                <w:color w:val="000000"/>
              </w:rPr>
              <w:t>工频磁感应强度（μT）</w:t>
            </w:r>
          </w:p>
        </w:tc>
      </w:tr>
    </w:tbl>
    <w:p w14:paraId="112770B8">
      <w:pPr>
        <w:pStyle w:val="6"/>
        <w:spacing w:before="120" w:beforeLines="50" w:line="360" w:lineRule="auto"/>
        <w:rPr>
          <w:rFonts w:ascii="Times New Roman" w:hAnsi="Times New Roman" w:eastAsia="宋体"/>
          <w:sz w:val="24"/>
          <w:szCs w:val="24"/>
        </w:rPr>
      </w:pPr>
      <w:bookmarkStart w:id="252" w:name="_Toc233036202"/>
      <w:bookmarkStart w:id="253" w:name="_Toc231571722"/>
      <w:r>
        <w:rPr>
          <w:rFonts w:ascii="Times New Roman" w:hAnsi="Times New Roman" w:eastAsia="宋体"/>
          <w:sz w:val="24"/>
          <w:szCs w:val="24"/>
        </w:rPr>
        <w:t>1.2.2</w:t>
      </w:r>
      <w:r>
        <w:rPr>
          <w:rFonts w:hint="eastAsia" w:ascii="Times New Roman" w:hAnsi="Times New Roman" w:eastAsia="宋体"/>
          <w:sz w:val="24"/>
          <w:szCs w:val="24"/>
        </w:rPr>
        <w:t xml:space="preserve"> </w:t>
      </w:r>
      <w:r>
        <w:rPr>
          <w:rFonts w:ascii="Times New Roman" w:hAnsi="Times New Roman" w:eastAsia="宋体"/>
          <w:sz w:val="24"/>
          <w:szCs w:val="24"/>
        </w:rPr>
        <w:t>评价标准</w:t>
      </w:r>
      <w:bookmarkEnd w:id="252"/>
      <w:bookmarkEnd w:id="253"/>
    </w:p>
    <w:p w14:paraId="046E8478">
      <w:pPr>
        <w:pStyle w:val="11"/>
        <w:snapToGrid/>
        <w:spacing w:before="0" w:after="0" w:line="360" w:lineRule="auto"/>
        <w:ind w:right="0" w:firstLine="468" w:firstLineChars="200"/>
        <w:rPr>
          <w:spacing w:val="-2"/>
          <w:sz w:val="24"/>
          <w:szCs w:val="24"/>
        </w:rPr>
      </w:pPr>
      <w:r>
        <w:rPr>
          <w:spacing w:val="-3"/>
          <w:sz w:val="24"/>
          <w:szCs w:val="24"/>
        </w:rPr>
        <w:t>本工程运行期工频电</w:t>
      </w:r>
      <w:r>
        <w:rPr>
          <w:rFonts w:hint="eastAsia"/>
          <w:spacing w:val="-3"/>
          <w:sz w:val="24"/>
          <w:szCs w:val="24"/>
        </w:rPr>
        <w:t>场、</w:t>
      </w:r>
      <w:r>
        <w:rPr>
          <w:spacing w:val="-3"/>
          <w:sz w:val="24"/>
          <w:szCs w:val="24"/>
        </w:rPr>
        <w:t>工频磁场环境执行《电磁环境控制限值》（</w:t>
      </w:r>
      <w:r>
        <w:rPr>
          <w:rFonts w:eastAsia="Times New Roman"/>
          <w:spacing w:val="-3"/>
          <w:sz w:val="24"/>
          <w:szCs w:val="24"/>
        </w:rPr>
        <w:t>GB</w:t>
      </w:r>
      <w:r>
        <w:rPr>
          <w:rFonts w:eastAsia="Times New Roman"/>
          <w:spacing w:val="-4"/>
          <w:sz w:val="24"/>
          <w:szCs w:val="24"/>
        </w:rPr>
        <w:t>8702-2014</w:t>
      </w:r>
      <w:r>
        <w:rPr>
          <w:spacing w:val="-4"/>
          <w:sz w:val="24"/>
          <w:szCs w:val="24"/>
        </w:rPr>
        <w:t>）公众曝露控</w:t>
      </w:r>
      <w:r>
        <w:rPr>
          <w:spacing w:val="-2"/>
          <w:sz w:val="24"/>
          <w:szCs w:val="24"/>
        </w:rPr>
        <w:t>制限值，详见表</w:t>
      </w:r>
      <w:r>
        <w:rPr>
          <w:rFonts w:eastAsia="Times New Roman"/>
          <w:spacing w:val="-2"/>
          <w:sz w:val="24"/>
          <w:szCs w:val="24"/>
        </w:rPr>
        <w:t>1.2.2-1</w:t>
      </w:r>
      <w:r>
        <w:rPr>
          <w:spacing w:val="-2"/>
          <w:sz w:val="24"/>
          <w:szCs w:val="24"/>
        </w:rPr>
        <w:t>。</w:t>
      </w:r>
    </w:p>
    <w:p w14:paraId="64D43306">
      <w:pPr>
        <w:pStyle w:val="11"/>
        <w:snapToGrid/>
        <w:spacing w:before="0" w:after="0" w:line="360" w:lineRule="auto"/>
        <w:ind w:right="0" w:firstLine="472" w:firstLineChars="200"/>
        <w:rPr>
          <w:spacing w:val="-2"/>
          <w:sz w:val="24"/>
          <w:szCs w:val="24"/>
        </w:rPr>
      </w:pPr>
    </w:p>
    <w:p w14:paraId="666C0E05">
      <w:pPr>
        <w:pStyle w:val="11"/>
        <w:snapToGrid/>
        <w:spacing w:before="0" w:after="0" w:line="360" w:lineRule="auto"/>
        <w:ind w:right="0" w:firstLine="474" w:firstLineChars="200"/>
        <w:rPr>
          <w:rFonts w:hint="eastAsia"/>
          <w:b/>
          <w:bCs/>
          <w:spacing w:val="-2"/>
          <w:sz w:val="24"/>
          <w:szCs w:val="24"/>
        </w:rPr>
      </w:pPr>
    </w:p>
    <w:p w14:paraId="1FD14127">
      <w:pPr>
        <w:spacing w:line="360" w:lineRule="auto"/>
        <w:jc w:val="center"/>
        <w:rPr>
          <w:rFonts w:hint="eastAsia"/>
          <w:b/>
          <w:bCs/>
          <w:sz w:val="24"/>
          <w:szCs w:val="24"/>
        </w:rPr>
      </w:pPr>
      <w:r>
        <w:rPr>
          <w:rFonts w:hint="eastAsia"/>
          <w:b/>
          <w:bCs/>
          <w:sz w:val="24"/>
          <w:szCs w:val="24"/>
        </w:rPr>
        <w:t>表1</w:t>
      </w:r>
      <w:r>
        <w:rPr>
          <w:b/>
          <w:bCs/>
          <w:sz w:val="24"/>
          <w:szCs w:val="24"/>
        </w:rPr>
        <w:t>.2.2-1</w:t>
      </w:r>
      <w:r>
        <w:rPr>
          <w:rFonts w:hint="eastAsia"/>
          <w:b/>
          <w:bCs/>
          <w:sz w:val="24"/>
          <w:szCs w:val="24"/>
        </w:rPr>
        <w:t xml:space="preserve">  项目执行的工频电、磁场标准明细表</w:t>
      </w:r>
    </w:p>
    <w:tbl>
      <w:tblPr>
        <w:tblStyle w:val="30"/>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4"/>
        <w:gridCol w:w="2125"/>
        <w:gridCol w:w="851"/>
        <w:gridCol w:w="1700"/>
        <w:gridCol w:w="1419"/>
        <w:gridCol w:w="1984"/>
      </w:tblGrid>
      <w:tr w14:paraId="31030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restart"/>
            <w:tcBorders>
              <w:bottom w:val="nil"/>
            </w:tcBorders>
            <w:vAlign w:val="center"/>
          </w:tcPr>
          <w:p w14:paraId="2E1768BD">
            <w:pPr>
              <w:pStyle w:val="208"/>
              <w:jc w:val="center"/>
              <w:rPr>
                <w:b/>
                <w:bCs/>
                <w:sz w:val="21"/>
                <w:szCs w:val="21"/>
              </w:rPr>
            </w:pPr>
            <w:r>
              <w:rPr>
                <w:rFonts w:hint="eastAsia" w:ascii="宋体" w:hAnsi="宋体" w:eastAsia="宋体" w:cs="宋体"/>
                <w:b/>
                <w:bCs/>
                <w:spacing w:val="4"/>
                <w:sz w:val="21"/>
                <w:szCs w:val="21"/>
              </w:rPr>
              <w:t>要素</w:t>
            </w:r>
            <w:r>
              <w:rPr>
                <w:rFonts w:hint="eastAsia" w:ascii="宋体" w:hAnsi="宋体" w:eastAsia="宋体" w:cs="宋体"/>
                <w:b/>
                <w:bCs/>
                <w:spacing w:val="3"/>
                <w:sz w:val="21"/>
                <w:szCs w:val="21"/>
              </w:rPr>
              <w:t>分类</w:t>
            </w:r>
          </w:p>
        </w:tc>
        <w:tc>
          <w:tcPr>
            <w:tcW w:w="1171" w:type="pct"/>
            <w:vMerge w:val="restart"/>
            <w:tcBorders>
              <w:bottom w:val="nil"/>
            </w:tcBorders>
            <w:vAlign w:val="center"/>
          </w:tcPr>
          <w:p w14:paraId="4E99DD3F">
            <w:pPr>
              <w:pStyle w:val="208"/>
              <w:jc w:val="center"/>
              <w:rPr>
                <w:b/>
                <w:bCs/>
                <w:sz w:val="21"/>
                <w:szCs w:val="21"/>
              </w:rPr>
            </w:pPr>
            <w:r>
              <w:rPr>
                <w:rFonts w:hint="eastAsia" w:ascii="宋体" w:hAnsi="宋体" w:eastAsia="宋体" w:cs="宋体"/>
                <w:b/>
                <w:bCs/>
                <w:spacing w:val="7"/>
                <w:sz w:val="21"/>
                <w:szCs w:val="21"/>
              </w:rPr>
              <w:t>标</w:t>
            </w:r>
            <w:r>
              <w:rPr>
                <w:b/>
                <w:bCs/>
                <w:spacing w:val="7"/>
                <w:sz w:val="21"/>
                <w:szCs w:val="21"/>
              </w:rPr>
              <w:t>准名称</w:t>
            </w:r>
          </w:p>
        </w:tc>
        <w:tc>
          <w:tcPr>
            <w:tcW w:w="469" w:type="pct"/>
            <w:vMerge w:val="restart"/>
            <w:tcBorders>
              <w:bottom w:val="nil"/>
            </w:tcBorders>
            <w:vAlign w:val="center"/>
          </w:tcPr>
          <w:p w14:paraId="2DCC0657">
            <w:pPr>
              <w:pStyle w:val="208"/>
              <w:jc w:val="center"/>
              <w:rPr>
                <w:b/>
                <w:bCs/>
                <w:sz w:val="21"/>
                <w:szCs w:val="21"/>
              </w:rPr>
            </w:pPr>
            <w:r>
              <w:rPr>
                <w:rFonts w:hint="eastAsia" w:ascii="宋体" w:hAnsi="宋体" w:eastAsia="宋体" w:cs="宋体"/>
                <w:b/>
                <w:bCs/>
                <w:spacing w:val="4"/>
                <w:sz w:val="21"/>
                <w:szCs w:val="21"/>
              </w:rPr>
              <w:t>适用类别</w:t>
            </w:r>
          </w:p>
        </w:tc>
        <w:tc>
          <w:tcPr>
            <w:tcW w:w="1719" w:type="pct"/>
            <w:gridSpan w:val="2"/>
            <w:vAlign w:val="center"/>
          </w:tcPr>
          <w:p w14:paraId="470F1683">
            <w:pPr>
              <w:pStyle w:val="208"/>
              <w:jc w:val="center"/>
              <w:rPr>
                <w:b/>
                <w:bCs/>
                <w:sz w:val="21"/>
                <w:szCs w:val="21"/>
              </w:rPr>
            </w:pPr>
            <w:r>
              <w:rPr>
                <w:rFonts w:hint="eastAsia" w:ascii="宋体" w:hAnsi="宋体" w:eastAsia="宋体" w:cs="宋体"/>
                <w:b/>
                <w:bCs/>
                <w:spacing w:val="7"/>
                <w:sz w:val="21"/>
                <w:szCs w:val="21"/>
              </w:rPr>
              <w:t>标</w:t>
            </w:r>
            <w:r>
              <w:rPr>
                <w:b/>
                <w:bCs/>
                <w:spacing w:val="7"/>
                <w:sz w:val="21"/>
                <w:szCs w:val="21"/>
              </w:rPr>
              <w:t>准限值</w:t>
            </w:r>
          </w:p>
        </w:tc>
        <w:tc>
          <w:tcPr>
            <w:tcW w:w="1093" w:type="pct"/>
            <w:vMerge w:val="restart"/>
            <w:tcBorders>
              <w:bottom w:val="nil"/>
            </w:tcBorders>
            <w:vAlign w:val="center"/>
          </w:tcPr>
          <w:p w14:paraId="30C6FC61">
            <w:pPr>
              <w:pStyle w:val="208"/>
              <w:jc w:val="center"/>
              <w:rPr>
                <w:sz w:val="21"/>
                <w:szCs w:val="21"/>
              </w:rPr>
            </w:pPr>
            <w:r>
              <w:rPr>
                <w:b/>
                <w:bCs/>
                <w:spacing w:val="7"/>
                <w:sz w:val="21"/>
                <w:szCs w:val="21"/>
              </w:rPr>
              <w:t>评价对象</w:t>
            </w:r>
          </w:p>
        </w:tc>
      </w:tr>
      <w:tr w14:paraId="21AEF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continue"/>
            <w:tcBorders>
              <w:top w:val="nil"/>
            </w:tcBorders>
            <w:vAlign w:val="center"/>
          </w:tcPr>
          <w:p w14:paraId="00A71441">
            <w:pPr>
              <w:jc w:val="center"/>
              <w:rPr>
                <w:rFonts w:ascii="Arial"/>
                <w:b/>
                <w:bCs/>
              </w:rPr>
            </w:pPr>
          </w:p>
        </w:tc>
        <w:tc>
          <w:tcPr>
            <w:tcW w:w="1171" w:type="pct"/>
            <w:vMerge w:val="continue"/>
            <w:tcBorders>
              <w:top w:val="nil"/>
            </w:tcBorders>
            <w:vAlign w:val="center"/>
          </w:tcPr>
          <w:p w14:paraId="60867A50">
            <w:pPr>
              <w:jc w:val="center"/>
              <w:rPr>
                <w:rFonts w:ascii="Arial"/>
                <w:b/>
                <w:bCs/>
              </w:rPr>
            </w:pPr>
          </w:p>
        </w:tc>
        <w:tc>
          <w:tcPr>
            <w:tcW w:w="469" w:type="pct"/>
            <w:vMerge w:val="continue"/>
            <w:tcBorders>
              <w:top w:val="nil"/>
            </w:tcBorders>
            <w:vAlign w:val="center"/>
          </w:tcPr>
          <w:p w14:paraId="64FAA4B5">
            <w:pPr>
              <w:jc w:val="center"/>
              <w:rPr>
                <w:rFonts w:ascii="Arial"/>
                <w:b/>
                <w:bCs/>
              </w:rPr>
            </w:pPr>
          </w:p>
        </w:tc>
        <w:tc>
          <w:tcPr>
            <w:tcW w:w="937" w:type="pct"/>
            <w:vAlign w:val="center"/>
          </w:tcPr>
          <w:p w14:paraId="5452B810">
            <w:pPr>
              <w:pStyle w:val="208"/>
              <w:jc w:val="center"/>
              <w:rPr>
                <w:b/>
                <w:bCs/>
                <w:sz w:val="21"/>
                <w:szCs w:val="21"/>
              </w:rPr>
            </w:pPr>
            <w:r>
              <w:rPr>
                <w:b/>
                <w:bCs/>
                <w:spacing w:val="6"/>
                <w:sz w:val="21"/>
                <w:szCs w:val="21"/>
              </w:rPr>
              <w:t>参数名称</w:t>
            </w:r>
          </w:p>
        </w:tc>
        <w:tc>
          <w:tcPr>
            <w:tcW w:w="782" w:type="pct"/>
            <w:vAlign w:val="center"/>
          </w:tcPr>
          <w:p w14:paraId="7244CE82">
            <w:pPr>
              <w:pStyle w:val="208"/>
              <w:jc w:val="center"/>
              <w:rPr>
                <w:b/>
                <w:bCs/>
                <w:sz w:val="21"/>
                <w:szCs w:val="21"/>
              </w:rPr>
            </w:pPr>
            <w:r>
              <w:rPr>
                <w:b/>
                <w:bCs/>
                <w:spacing w:val="-3"/>
                <w:sz w:val="21"/>
                <w:szCs w:val="21"/>
              </w:rPr>
              <w:t>限值</w:t>
            </w:r>
          </w:p>
        </w:tc>
        <w:tc>
          <w:tcPr>
            <w:tcW w:w="1093" w:type="pct"/>
            <w:vMerge w:val="continue"/>
            <w:tcBorders>
              <w:top w:val="nil"/>
            </w:tcBorders>
            <w:vAlign w:val="center"/>
          </w:tcPr>
          <w:p w14:paraId="66679160">
            <w:pPr>
              <w:jc w:val="center"/>
              <w:rPr>
                <w:rFonts w:ascii="Arial"/>
              </w:rPr>
            </w:pPr>
          </w:p>
        </w:tc>
      </w:tr>
      <w:tr w14:paraId="71EFD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restart"/>
            <w:tcBorders>
              <w:bottom w:val="nil"/>
            </w:tcBorders>
            <w:vAlign w:val="center"/>
          </w:tcPr>
          <w:p w14:paraId="411CD81B">
            <w:pPr>
              <w:pStyle w:val="208"/>
              <w:jc w:val="center"/>
              <w:rPr>
                <w:sz w:val="21"/>
                <w:szCs w:val="21"/>
              </w:rPr>
            </w:pPr>
            <w:r>
              <w:rPr>
                <w:rFonts w:hint="eastAsia" w:ascii="宋体" w:hAnsi="宋体" w:eastAsia="宋体" w:cs="宋体"/>
                <w:spacing w:val="-8"/>
                <w:sz w:val="21"/>
                <w:szCs w:val="21"/>
              </w:rPr>
              <w:t>电磁</w:t>
            </w:r>
            <w:r>
              <w:rPr>
                <w:rFonts w:hint="eastAsia" w:ascii="宋体" w:hAnsi="宋体" w:eastAsia="宋体" w:cs="宋体"/>
                <w:spacing w:val="4"/>
                <w:sz w:val="21"/>
                <w:szCs w:val="21"/>
              </w:rPr>
              <w:t>环境</w:t>
            </w:r>
          </w:p>
        </w:tc>
        <w:tc>
          <w:tcPr>
            <w:tcW w:w="1171" w:type="pct"/>
            <w:vMerge w:val="restart"/>
            <w:tcBorders>
              <w:bottom w:val="nil"/>
            </w:tcBorders>
            <w:vAlign w:val="center"/>
          </w:tcPr>
          <w:p w14:paraId="14EB0FF2">
            <w:pPr>
              <w:pStyle w:val="208"/>
              <w:jc w:val="center"/>
              <w:rPr>
                <w:sz w:val="21"/>
                <w:szCs w:val="21"/>
                <w:lang w:eastAsia="zh-CN"/>
              </w:rPr>
            </w:pPr>
            <w:r>
              <w:rPr>
                <w:rFonts w:hint="eastAsia" w:ascii="宋体" w:hAnsi="宋体" w:eastAsia="宋体" w:cs="宋体"/>
                <w:spacing w:val="8"/>
                <w:sz w:val="21"/>
                <w:szCs w:val="21"/>
                <w:lang w:eastAsia="zh-CN"/>
              </w:rPr>
              <w:t>《</w:t>
            </w:r>
            <w:r>
              <w:rPr>
                <w:spacing w:val="8"/>
                <w:sz w:val="21"/>
                <w:szCs w:val="21"/>
                <w:lang w:eastAsia="zh-CN"/>
              </w:rPr>
              <w:t>电磁环境控制限</w:t>
            </w:r>
            <w:r>
              <w:rPr>
                <w:spacing w:val="-5"/>
                <w:sz w:val="21"/>
                <w:szCs w:val="21"/>
                <w:lang w:eastAsia="zh-CN"/>
              </w:rPr>
              <w:t>值》（GB</w:t>
            </w:r>
            <w:r>
              <w:rPr>
                <w:spacing w:val="26"/>
                <w:sz w:val="21"/>
                <w:szCs w:val="21"/>
                <w:lang w:eastAsia="zh-CN"/>
              </w:rPr>
              <w:t xml:space="preserve"> </w:t>
            </w:r>
            <w:r>
              <w:rPr>
                <w:spacing w:val="-5"/>
                <w:sz w:val="21"/>
                <w:szCs w:val="21"/>
                <w:lang w:eastAsia="zh-CN"/>
              </w:rPr>
              <w:t>8702-2014）</w:t>
            </w:r>
          </w:p>
        </w:tc>
        <w:tc>
          <w:tcPr>
            <w:tcW w:w="469" w:type="pct"/>
            <w:vMerge w:val="restart"/>
            <w:tcBorders>
              <w:bottom w:val="nil"/>
            </w:tcBorders>
            <w:vAlign w:val="center"/>
          </w:tcPr>
          <w:p w14:paraId="206200C6">
            <w:pPr>
              <w:jc w:val="center"/>
              <w:rPr>
                <w:rFonts w:eastAsia="Times New Roman"/>
              </w:rPr>
            </w:pPr>
            <w:r>
              <w:rPr>
                <w:rFonts w:eastAsia="Times New Roman"/>
                <w:spacing w:val="5"/>
              </w:rPr>
              <w:t>50</w:t>
            </w:r>
            <w:r>
              <w:rPr>
                <w:rFonts w:eastAsia="Times New Roman"/>
              </w:rPr>
              <w:t>Hz</w:t>
            </w:r>
          </w:p>
        </w:tc>
        <w:tc>
          <w:tcPr>
            <w:tcW w:w="937" w:type="pct"/>
            <w:vAlign w:val="center"/>
          </w:tcPr>
          <w:p w14:paraId="56156278">
            <w:pPr>
              <w:pStyle w:val="208"/>
              <w:jc w:val="center"/>
              <w:rPr>
                <w:sz w:val="21"/>
                <w:szCs w:val="21"/>
              </w:rPr>
            </w:pPr>
            <w:r>
              <w:rPr>
                <w:spacing w:val="7"/>
                <w:sz w:val="21"/>
                <w:szCs w:val="21"/>
              </w:rPr>
              <w:t>工频电场强度</w:t>
            </w:r>
          </w:p>
        </w:tc>
        <w:tc>
          <w:tcPr>
            <w:tcW w:w="782" w:type="pct"/>
            <w:vAlign w:val="center"/>
          </w:tcPr>
          <w:p w14:paraId="52C97BAD">
            <w:pPr>
              <w:jc w:val="center"/>
              <w:rPr>
                <w:rFonts w:eastAsia="Times New Roman"/>
              </w:rPr>
            </w:pPr>
            <w:r>
              <w:rPr>
                <w:rFonts w:eastAsia="Times New Roman"/>
                <w:spacing w:val="4"/>
              </w:rPr>
              <w:t>4000V/m</w:t>
            </w:r>
          </w:p>
        </w:tc>
        <w:tc>
          <w:tcPr>
            <w:tcW w:w="1093" w:type="pct"/>
            <w:vMerge w:val="restart"/>
            <w:tcBorders>
              <w:bottom w:val="nil"/>
            </w:tcBorders>
            <w:vAlign w:val="center"/>
          </w:tcPr>
          <w:p w14:paraId="52B55236">
            <w:pPr>
              <w:pStyle w:val="208"/>
              <w:jc w:val="center"/>
              <w:rPr>
                <w:sz w:val="21"/>
                <w:szCs w:val="21"/>
                <w:lang w:eastAsia="zh-CN"/>
              </w:rPr>
            </w:pPr>
            <w:r>
              <w:rPr>
                <w:spacing w:val="9"/>
                <w:sz w:val="21"/>
                <w:szCs w:val="21"/>
                <w:lang w:eastAsia="zh-CN"/>
              </w:rPr>
              <w:t>评价范围内公众曝露区域电磁环境</w:t>
            </w:r>
          </w:p>
        </w:tc>
      </w:tr>
      <w:tr w14:paraId="7C279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continue"/>
            <w:tcBorders>
              <w:top w:val="nil"/>
            </w:tcBorders>
            <w:vAlign w:val="center"/>
          </w:tcPr>
          <w:p w14:paraId="4B1ABC51">
            <w:pPr>
              <w:jc w:val="center"/>
              <w:rPr>
                <w:rFonts w:ascii="Arial"/>
              </w:rPr>
            </w:pPr>
          </w:p>
        </w:tc>
        <w:tc>
          <w:tcPr>
            <w:tcW w:w="1171" w:type="pct"/>
            <w:vMerge w:val="continue"/>
            <w:tcBorders>
              <w:top w:val="nil"/>
            </w:tcBorders>
            <w:vAlign w:val="center"/>
          </w:tcPr>
          <w:p w14:paraId="690A604D">
            <w:pPr>
              <w:jc w:val="center"/>
              <w:rPr>
                <w:rFonts w:ascii="Arial"/>
              </w:rPr>
            </w:pPr>
          </w:p>
        </w:tc>
        <w:tc>
          <w:tcPr>
            <w:tcW w:w="469" w:type="pct"/>
            <w:vMerge w:val="continue"/>
            <w:tcBorders>
              <w:top w:val="nil"/>
            </w:tcBorders>
            <w:vAlign w:val="center"/>
          </w:tcPr>
          <w:p w14:paraId="51C1728E">
            <w:pPr>
              <w:jc w:val="center"/>
              <w:rPr>
                <w:rFonts w:ascii="Arial"/>
              </w:rPr>
            </w:pPr>
          </w:p>
        </w:tc>
        <w:tc>
          <w:tcPr>
            <w:tcW w:w="937" w:type="pct"/>
            <w:vAlign w:val="center"/>
          </w:tcPr>
          <w:p w14:paraId="22290372">
            <w:pPr>
              <w:pStyle w:val="208"/>
              <w:jc w:val="center"/>
              <w:rPr>
                <w:sz w:val="21"/>
                <w:szCs w:val="21"/>
              </w:rPr>
            </w:pPr>
            <w:r>
              <w:rPr>
                <w:spacing w:val="8"/>
                <w:sz w:val="21"/>
                <w:szCs w:val="21"/>
              </w:rPr>
              <w:t>工频磁感应强度</w:t>
            </w:r>
          </w:p>
        </w:tc>
        <w:tc>
          <w:tcPr>
            <w:tcW w:w="782" w:type="pct"/>
            <w:vAlign w:val="center"/>
          </w:tcPr>
          <w:p w14:paraId="6A058063">
            <w:pPr>
              <w:jc w:val="center"/>
              <w:rPr>
                <w:rFonts w:eastAsia="Times New Roman"/>
              </w:rPr>
            </w:pPr>
            <w:r>
              <w:rPr>
                <w:rFonts w:eastAsia="Times New Roman"/>
              </w:rPr>
              <w:t>100μT</w:t>
            </w:r>
          </w:p>
        </w:tc>
        <w:tc>
          <w:tcPr>
            <w:tcW w:w="1093" w:type="pct"/>
            <w:vMerge w:val="continue"/>
            <w:tcBorders>
              <w:top w:val="nil"/>
            </w:tcBorders>
            <w:vAlign w:val="center"/>
          </w:tcPr>
          <w:p w14:paraId="0A2685D0">
            <w:pPr>
              <w:jc w:val="center"/>
              <w:rPr>
                <w:rFonts w:ascii="Arial"/>
              </w:rPr>
            </w:pPr>
          </w:p>
        </w:tc>
      </w:tr>
    </w:tbl>
    <w:p w14:paraId="7D99BCF6">
      <w:pPr>
        <w:pStyle w:val="5"/>
        <w:spacing w:before="0" w:after="0" w:line="360" w:lineRule="auto"/>
        <w:rPr>
          <w:rFonts w:eastAsia="黑体"/>
          <w:b w:val="0"/>
          <w:bCs w:val="0"/>
          <w:sz w:val="28"/>
          <w:szCs w:val="28"/>
        </w:rPr>
      </w:pPr>
      <w:bookmarkStart w:id="254" w:name="_Toc231571723"/>
      <w:bookmarkStart w:id="255" w:name="_Toc10859"/>
      <w:bookmarkStart w:id="256" w:name="_Toc17604"/>
      <w:bookmarkStart w:id="257" w:name="_Toc8657"/>
      <w:bookmarkStart w:id="258" w:name="_Toc233036203"/>
      <w:r>
        <w:rPr>
          <w:rFonts w:eastAsia="黑体"/>
          <w:b w:val="0"/>
          <w:bCs w:val="0"/>
          <w:sz w:val="28"/>
          <w:szCs w:val="28"/>
        </w:rPr>
        <w:t>1.3</w:t>
      </w:r>
      <w:r>
        <w:rPr>
          <w:rFonts w:hint="eastAsia" w:eastAsia="黑体"/>
          <w:b w:val="0"/>
          <w:bCs w:val="0"/>
          <w:sz w:val="28"/>
          <w:szCs w:val="28"/>
        </w:rPr>
        <w:t xml:space="preserve"> </w:t>
      </w:r>
      <w:r>
        <w:rPr>
          <w:rFonts w:eastAsia="黑体"/>
          <w:b w:val="0"/>
          <w:bCs w:val="0"/>
          <w:sz w:val="28"/>
          <w:szCs w:val="28"/>
        </w:rPr>
        <w:t>评价等级及评价范围</w:t>
      </w:r>
      <w:bookmarkEnd w:id="254"/>
      <w:bookmarkEnd w:id="255"/>
      <w:bookmarkEnd w:id="256"/>
      <w:bookmarkEnd w:id="257"/>
      <w:bookmarkEnd w:id="258"/>
    </w:p>
    <w:p w14:paraId="7F1BE626">
      <w:pPr>
        <w:pStyle w:val="6"/>
        <w:spacing w:line="360" w:lineRule="auto"/>
        <w:rPr>
          <w:rFonts w:ascii="Times New Roman" w:hAnsi="Times New Roman" w:eastAsia="宋体"/>
          <w:sz w:val="24"/>
          <w:szCs w:val="24"/>
        </w:rPr>
      </w:pPr>
      <w:bookmarkStart w:id="259" w:name="_Toc233036204"/>
      <w:bookmarkStart w:id="260" w:name="_Toc231571724"/>
      <w:r>
        <w:rPr>
          <w:rFonts w:ascii="Times New Roman" w:hAnsi="Times New Roman" w:eastAsia="宋体"/>
          <w:sz w:val="24"/>
          <w:szCs w:val="24"/>
        </w:rPr>
        <w:t>1.3.1</w:t>
      </w:r>
      <w:r>
        <w:rPr>
          <w:rFonts w:hint="eastAsia" w:ascii="Times New Roman" w:hAnsi="Times New Roman" w:eastAsia="宋体"/>
          <w:sz w:val="24"/>
          <w:szCs w:val="24"/>
        </w:rPr>
        <w:t xml:space="preserve"> </w:t>
      </w:r>
      <w:r>
        <w:rPr>
          <w:rFonts w:ascii="Times New Roman" w:hAnsi="Times New Roman" w:eastAsia="宋体"/>
          <w:sz w:val="24"/>
          <w:szCs w:val="24"/>
        </w:rPr>
        <w:t>评价等级</w:t>
      </w:r>
      <w:bookmarkEnd w:id="259"/>
      <w:bookmarkEnd w:id="260"/>
    </w:p>
    <w:p w14:paraId="4E0E3B3A">
      <w:pPr>
        <w:pStyle w:val="11"/>
        <w:snapToGrid/>
        <w:spacing w:before="0" w:after="0" w:line="360" w:lineRule="auto"/>
        <w:ind w:right="0" w:firstLine="468" w:firstLineChars="200"/>
        <w:rPr>
          <w:spacing w:val="-3"/>
          <w:sz w:val="24"/>
          <w:szCs w:val="24"/>
        </w:rPr>
      </w:pPr>
      <w:r>
        <w:rPr>
          <w:spacing w:val="-3"/>
          <w:sz w:val="24"/>
          <w:szCs w:val="24"/>
        </w:rPr>
        <w:t>本项目在以礼河电厂三级电站厂界内新建110kV户外式升压站，主变容量为1×50MVA，新建1回110kV线路接入以礼河电厂三级电站110kV侧（现有水电110kV母线）。新建110kV电缆线路长度为300m，送出线路位于以礼河电厂三级电站厂界内，不涉及架设塔基、土建开挖等，不新增占地。</w:t>
      </w:r>
    </w:p>
    <w:p w14:paraId="019B4FB6">
      <w:pPr>
        <w:pStyle w:val="11"/>
        <w:snapToGrid/>
        <w:spacing w:before="0" w:after="0" w:line="360" w:lineRule="auto"/>
        <w:ind w:right="0" w:firstLine="468" w:firstLineChars="200"/>
        <w:rPr>
          <w:rFonts w:hint="eastAsia"/>
          <w:spacing w:val="-3"/>
          <w:sz w:val="24"/>
          <w:szCs w:val="24"/>
        </w:rPr>
      </w:pPr>
      <w:r>
        <w:rPr>
          <w:rFonts w:hint="eastAsia"/>
          <w:spacing w:val="-3"/>
          <w:sz w:val="24"/>
          <w:szCs w:val="24"/>
        </w:rPr>
        <w:t>根据调查资料，目前以礼河电厂三级电站厂区内设有4台水电发电主变（1号主变、2号主变、3号主变、4号主变）均位于户内主变洞内，其中1号主变（220kV 90MVA）、2号主变（220kV 90MVA）、3号主变（110kV 45MVA）、4号主变（110kV 45MVA）。</w:t>
      </w:r>
    </w:p>
    <w:p w14:paraId="2B538B03">
      <w:pPr>
        <w:pStyle w:val="11"/>
        <w:snapToGrid/>
        <w:spacing w:before="0" w:after="0" w:line="360" w:lineRule="auto"/>
        <w:ind w:right="0" w:firstLine="468" w:firstLineChars="200"/>
        <w:rPr>
          <w:spacing w:val="-3"/>
          <w:sz w:val="24"/>
          <w:szCs w:val="24"/>
        </w:rPr>
      </w:pPr>
      <w:r>
        <w:rPr>
          <w:rFonts w:hint="eastAsia"/>
          <w:spacing w:val="-3"/>
          <w:sz w:val="24"/>
          <w:szCs w:val="24"/>
        </w:rPr>
        <w:t>综上，新建110kV升压站与目前水电发电220kV升压站、110kV升压站均位于以礼河电厂三级电站厂区内，因此，对整个以礼河电厂三级电站作电磁环境影响专项评价。</w:t>
      </w:r>
    </w:p>
    <w:p w14:paraId="6CB8E7C6">
      <w:pPr>
        <w:pStyle w:val="11"/>
        <w:snapToGrid/>
        <w:spacing w:before="0" w:after="0" w:line="360" w:lineRule="auto"/>
        <w:ind w:right="0" w:firstLine="468" w:firstLineChars="200"/>
        <w:rPr>
          <w:spacing w:val="-3"/>
          <w:sz w:val="24"/>
          <w:szCs w:val="24"/>
        </w:rPr>
      </w:pPr>
      <w:r>
        <w:rPr>
          <w:spacing w:val="-3"/>
          <w:sz w:val="24"/>
          <w:szCs w:val="24"/>
        </w:rPr>
        <w:t>根据《环境影响评价技术导则</w:t>
      </w:r>
      <w:r>
        <w:rPr>
          <w:rFonts w:hint="eastAsia"/>
          <w:spacing w:val="-3"/>
          <w:sz w:val="24"/>
          <w:szCs w:val="24"/>
        </w:rPr>
        <w:t xml:space="preserve"> </w:t>
      </w:r>
      <w:r>
        <w:rPr>
          <w:spacing w:val="-3"/>
          <w:sz w:val="24"/>
          <w:szCs w:val="24"/>
        </w:rPr>
        <w:t>输变电》（HJ</w:t>
      </w:r>
      <w:r>
        <w:rPr>
          <w:rFonts w:hint="eastAsia"/>
          <w:spacing w:val="-3"/>
          <w:sz w:val="24"/>
          <w:szCs w:val="24"/>
        </w:rPr>
        <w:t xml:space="preserve"> </w:t>
      </w:r>
      <w:r>
        <w:rPr>
          <w:spacing w:val="-3"/>
          <w:sz w:val="24"/>
          <w:szCs w:val="24"/>
        </w:rPr>
        <w:t>24-2020）中</w:t>
      </w:r>
      <w:r>
        <w:rPr>
          <w:rFonts w:hint="eastAsia"/>
          <w:spacing w:val="-3"/>
          <w:sz w:val="24"/>
          <w:szCs w:val="24"/>
        </w:rPr>
        <w:t>表2输变电建设项目电磁环境影响评价工作等级</w:t>
      </w:r>
      <w:r>
        <w:rPr>
          <w:spacing w:val="-3"/>
          <w:sz w:val="24"/>
          <w:szCs w:val="24"/>
        </w:rPr>
        <w:t>有关规定，本项目电磁环境评价等级判定见</w:t>
      </w:r>
      <w:r>
        <w:rPr>
          <w:rFonts w:hint="eastAsia"/>
          <w:spacing w:val="-3"/>
          <w:sz w:val="24"/>
          <w:szCs w:val="24"/>
        </w:rPr>
        <w:t>下表1.3.</w:t>
      </w:r>
      <w:r>
        <w:rPr>
          <w:spacing w:val="-3"/>
          <w:sz w:val="24"/>
          <w:szCs w:val="24"/>
        </w:rPr>
        <w:t>1</w:t>
      </w:r>
      <w:r>
        <w:rPr>
          <w:rFonts w:hint="eastAsia"/>
          <w:spacing w:val="-3"/>
          <w:sz w:val="24"/>
          <w:szCs w:val="24"/>
        </w:rPr>
        <w:t>-1</w:t>
      </w:r>
      <w:r>
        <w:rPr>
          <w:spacing w:val="-3"/>
          <w:sz w:val="24"/>
          <w:szCs w:val="24"/>
        </w:rPr>
        <w:t>。</w:t>
      </w:r>
    </w:p>
    <w:p w14:paraId="16437766">
      <w:pPr>
        <w:spacing w:line="360" w:lineRule="auto"/>
        <w:jc w:val="center"/>
        <w:rPr>
          <w:b/>
          <w:bCs/>
          <w:sz w:val="24"/>
          <w:szCs w:val="24"/>
        </w:rPr>
      </w:pPr>
      <w:r>
        <w:rPr>
          <w:b/>
          <w:bCs/>
          <w:sz w:val="24"/>
          <w:szCs w:val="24"/>
        </w:rPr>
        <w:t>表1.3.1-1  电磁环境评价等级判定表</w:t>
      </w:r>
    </w:p>
    <w:tbl>
      <w:tblPr>
        <w:tblStyle w:val="30"/>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0"/>
        <w:gridCol w:w="1060"/>
        <w:gridCol w:w="4201"/>
        <w:gridCol w:w="1476"/>
        <w:gridCol w:w="1060"/>
      </w:tblGrid>
      <w:tr w14:paraId="12EC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99" w:type="pct"/>
            <w:noWrap/>
            <w:vAlign w:val="center"/>
          </w:tcPr>
          <w:p w14:paraId="59C05A59">
            <w:pPr>
              <w:jc w:val="center"/>
              <w:rPr>
                <w:b/>
                <w:bCs/>
              </w:rPr>
            </w:pPr>
            <w:r>
              <w:rPr>
                <w:b/>
                <w:bCs/>
              </w:rPr>
              <w:t>分类</w:t>
            </w:r>
          </w:p>
        </w:tc>
        <w:tc>
          <w:tcPr>
            <w:tcW w:w="577" w:type="pct"/>
            <w:noWrap/>
            <w:vAlign w:val="center"/>
          </w:tcPr>
          <w:p w14:paraId="04E0A560">
            <w:pPr>
              <w:jc w:val="center"/>
              <w:rPr>
                <w:b/>
                <w:bCs/>
              </w:rPr>
            </w:pPr>
            <w:r>
              <w:rPr>
                <w:b/>
                <w:bCs/>
              </w:rPr>
              <w:t>电压等级</w:t>
            </w:r>
          </w:p>
        </w:tc>
        <w:tc>
          <w:tcPr>
            <w:tcW w:w="1611" w:type="pct"/>
            <w:noWrap/>
            <w:vAlign w:val="center"/>
          </w:tcPr>
          <w:p w14:paraId="0B8286C0">
            <w:pPr>
              <w:jc w:val="center"/>
              <w:rPr>
                <w:b/>
                <w:bCs/>
              </w:rPr>
            </w:pPr>
            <w:r>
              <w:rPr>
                <w:b/>
                <w:bCs/>
              </w:rPr>
              <w:t>工程</w:t>
            </w:r>
          </w:p>
        </w:tc>
        <w:tc>
          <w:tcPr>
            <w:tcW w:w="811" w:type="pct"/>
            <w:noWrap/>
            <w:vAlign w:val="center"/>
          </w:tcPr>
          <w:p w14:paraId="32114D32">
            <w:pPr>
              <w:jc w:val="center"/>
              <w:rPr>
                <w:b/>
                <w:bCs/>
              </w:rPr>
            </w:pPr>
            <w:r>
              <w:rPr>
                <w:b/>
                <w:bCs/>
              </w:rPr>
              <w:t>条件</w:t>
            </w:r>
          </w:p>
        </w:tc>
        <w:tc>
          <w:tcPr>
            <w:tcW w:w="1000" w:type="pct"/>
            <w:noWrap/>
            <w:vAlign w:val="center"/>
          </w:tcPr>
          <w:p w14:paraId="6942B094">
            <w:pPr>
              <w:jc w:val="center"/>
              <w:rPr>
                <w:b/>
                <w:bCs/>
              </w:rPr>
            </w:pPr>
            <w:r>
              <w:rPr>
                <w:b/>
                <w:bCs/>
              </w:rPr>
              <w:t>评价等级</w:t>
            </w:r>
          </w:p>
        </w:tc>
      </w:tr>
      <w:tr w14:paraId="07B7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99" w:type="pct"/>
            <w:noWrap/>
            <w:vAlign w:val="center"/>
          </w:tcPr>
          <w:p w14:paraId="77644A37">
            <w:pPr>
              <w:jc w:val="center"/>
            </w:pPr>
            <w:r>
              <w:t>交流</w:t>
            </w:r>
          </w:p>
        </w:tc>
        <w:tc>
          <w:tcPr>
            <w:tcW w:w="577" w:type="pct"/>
            <w:noWrap/>
            <w:vAlign w:val="center"/>
          </w:tcPr>
          <w:p w14:paraId="0C8938BE">
            <w:pPr>
              <w:jc w:val="center"/>
            </w:pPr>
            <w:r>
              <w:rPr>
                <w:rFonts w:hint="eastAsia"/>
              </w:rPr>
              <w:t>110kV</w:t>
            </w:r>
          </w:p>
        </w:tc>
        <w:tc>
          <w:tcPr>
            <w:tcW w:w="1611" w:type="pct"/>
            <w:noWrap/>
            <w:vAlign w:val="center"/>
          </w:tcPr>
          <w:p w14:paraId="0CC2261F">
            <w:pPr>
              <w:jc w:val="center"/>
              <w:rPr>
                <w:color w:val="000000"/>
              </w:rPr>
            </w:pPr>
            <w:r>
              <w:rPr>
                <w:rFonts w:hint="eastAsia"/>
                <w:color w:val="000000"/>
              </w:rPr>
              <w:t>新建110kV升压站</w:t>
            </w:r>
          </w:p>
        </w:tc>
        <w:tc>
          <w:tcPr>
            <w:tcW w:w="811" w:type="pct"/>
            <w:noWrap/>
            <w:vAlign w:val="center"/>
          </w:tcPr>
          <w:p w14:paraId="1A4D2354">
            <w:pPr>
              <w:jc w:val="center"/>
            </w:pPr>
            <w:r>
              <w:t>户外式</w:t>
            </w:r>
          </w:p>
        </w:tc>
        <w:tc>
          <w:tcPr>
            <w:tcW w:w="1000" w:type="pct"/>
            <w:noWrap/>
            <w:vAlign w:val="center"/>
          </w:tcPr>
          <w:p w14:paraId="6A7BE0A0">
            <w:pPr>
              <w:jc w:val="center"/>
            </w:pPr>
            <w:r>
              <w:t>二级</w:t>
            </w:r>
          </w:p>
        </w:tc>
      </w:tr>
      <w:tr w14:paraId="032D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99" w:type="pct"/>
            <w:noWrap/>
            <w:vAlign w:val="center"/>
          </w:tcPr>
          <w:p w14:paraId="7D8B4D21">
            <w:pPr>
              <w:jc w:val="center"/>
            </w:pPr>
            <w:r>
              <w:t>交流</w:t>
            </w:r>
          </w:p>
        </w:tc>
        <w:tc>
          <w:tcPr>
            <w:tcW w:w="577" w:type="pct"/>
            <w:noWrap/>
            <w:vAlign w:val="center"/>
          </w:tcPr>
          <w:p w14:paraId="782CC61E">
            <w:pPr>
              <w:jc w:val="center"/>
            </w:pPr>
            <w:r>
              <w:rPr>
                <w:rFonts w:hint="eastAsia"/>
              </w:rPr>
              <w:t>110kV</w:t>
            </w:r>
          </w:p>
        </w:tc>
        <w:tc>
          <w:tcPr>
            <w:tcW w:w="1611" w:type="pct"/>
            <w:noWrap/>
            <w:vAlign w:val="center"/>
          </w:tcPr>
          <w:p w14:paraId="60763BB9">
            <w:pPr>
              <w:jc w:val="center"/>
              <w:rPr>
                <w:rFonts w:hint="eastAsia"/>
                <w:color w:val="000000"/>
              </w:rPr>
            </w:pPr>
            <w:r>
              <w:rPr>
                <w:rFonts w:hint="eastAsia"/>
                <w:color w:val="000000"/>
              </w:rPr>
              <w:t>现有110kV升压站（3号主变和4号主变）</w:t>
            </w:r>
          </w:p>
        </w:tc>
        <w:tc>
          <w:tcPr>
            <w:tcW w:w="811" w:type="pct"/>
            <w:noWrap/>
            <w:vAlign w:val="center"/>
          </w:tcPr>
          <w:p w14:paraId="35ACF82A">
            <w:pPr>
              <w:jc w:val="center"/>
            </w:pPr>
            <w:r>
              <w:rPr>
                <w:rFonts w:hint="eastAsia"/>
              </w:rPr>
              <w:t>户内主变洞内</w:t>
            </w:r>
          </w:p>
        </w:tc>
        <w:tc>
          <w:tcPr>
            <w:tcW w:w="1000" w:type="pct"/>
            <w:noWrap/>
            <w:vAlign w:val="center"/>
          </w:tcPr>
          <w:p w14:paraId="3AB0ABFF">
            <w:pPr>
              <w:jc w:val="center"/>
              <w:rPr>
                <w:rFonts w:hint="eastAsia"/>
              </w:rPr>
            </w:pPr>
            <w:r>
              <w:rPr>
                <w:rFonts w:hint="eastAsia"/>
              </w:rPr>
              <w:t>三级</w:t>
            </w:r>
          </w:p>
        </w:tc>
      </w:tr>
      <w:tr w14:paraId="3800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99" w:type="pct"/>
            <w:noWrap/>
            <w:vAlign w:val="center"/>
          </w:tcPr>
          <w:p w14:paraId="19717B6C">
            <w:pPr>
              <w:jc w:val="center"/>
            </w:pPr>
            <w:r>
              <w:t>交流</w:t>
            </w:r>
          </w:p>
        </w:tc>
        <w:tc>
          <w:tcPr>
            <w:tcW w:w="577" w:type="pct"/>
            <w:noWrap/>
            <w:vAlign w:val="center"/>
          </w:tcPr>
          <w:p w14:paraId="087C1407">
            <w:pPr>
              <w:jc w:val="center"/>
              <w:rPr>
                <w:rFonts w:hint="eastAsia"/>
              </w:rPr>
            </w:pPr>
            <w:r>
              <w:rPr>
                <w:rFonts w:hint="eastAsia"/>
              </w:rPr>
              <w:t>220kV</w:t>
            </w:r>
          </w:p>
        </w:tc>
        <w:tc>
          <w:tcPr>
            <w:tcW w:w="1611" w:type="pct"/>
            <w:noWrap/>
            <w:vAlign w:val="center"/>
          </w:tcPr>
          <w:p w14:paraId="03C92361">
            <w:pPr>
              <w:jc w:val="center"/>
              <w:rPr>
                <w:rFonts w:hint="eastAsia"/>
                <w:color w:val="000000"/>
              </w:rPr>
            </w:pPr>
            <w:r>
              <w:rPr>
                <w:rFonts w:hint="eastAsia"/>
                <w:color w:val="000000"/>
              </w:rPr>
              <w:t>现有220kV升压站（1号主变和2号主变）</w:t>
            </w:r>
          </w:p>
        </w:tc>
        <w:tc>
          <w:tcPr>
            <w:tcW w:w="811" w:type="pct"/>
            <w:noWrap/>
            <w:vAlign w:val="center"/>
          </w:tcPr>
          <w:p w14:paraId="4E0B068F">
            <w:pPr>
              <w:jc w:val="center"/>
              <w:rPr>
                <w:rFonts w:hint="eastAsia"/>
              </w:rPr>
            </w:pPr>
            <w:r>
              <w:rPr>
                <w:rFonts w:hint="eastAsia"/>
              </w:rPr>
              <w:t>户内主变洞内</w:t>
            </w:r>
          </w:p>
        </w:tc>
        <w:tc>
          <w:tcPr>
            <w:tcW w:w="1000" w:type="pct"/>
            <w:noWrap/>
            <w:vAlign w:val="center"/>
          </w:tcPr>
          <w:p w14:paraId="253F410F">
            <w:pPr>
              <w:jc w:val="center"/>
            </w:pPr>
            <w:r>
              <w:rPr>
                <w:rFonts w:hint="eastAsia"/>
              </w:rPr>
              <w:t>三级</w:t>
            </w:r>
          </w:p>
        </w:tc>
      </w:tr>
      <w:tr w14:paraId="54709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999" w:type="pct"/>
            <w:gridSpan w:val="4"/>
            <w:noWrap/>
            <w:vAlign w:val="center"/>
          </w:tcPr>
          <w:p w14:paraId="0F0A1B0D">
            <w:pPr>
              <w:jc w:val="center"/>
            </w:pPr>
            <w:r>
              <w:rPr>
                <w:rFonts w:hint="eastAsia"/>
                <w:color w:val="000000"/>
              </w:rPr>
              <w:t>对整个以礼河电厂三级电站作</w:t>
            </w:r>
            <w:r>
              <w:rPr>
                <w:color w:val="000000"/>
              </w:rPr>
              <w:t>电磁环境</w:t>
            </w:r>
            <w:r>
              <w:rPr>
                <w:rFonts w:hint="eastAsia"/>
                <w:color w:val="000000"/>
              </w:rPr>
              <w:t>影响等级确定</w:t>
            </w:r>
          </w:p>
        </w:tc>
        <w:tc>
          <w:tcPr>
            <w:tcW w:w="1000" w:type="pct"/>
            <w:noWrap/>
            <w:vAlign w:val="center"/>
          </w:tcPr>
          <w:p w14:paraId="36F1B191">
            <w:pPr>
              <w:jc w:val="center"/>
            </w:pPr>
            <w:r>
              <w:rPr>
                <w:rFonts w:hint="eastAsia"/>
              </w:rPr>
              <w:t>二级</w:t>
            </w:r>
          </w:p>
        </w:tc>
      </w:tr>
    </w:tbl>
    <w:p w14:paraId="081D92C4">
      <w:pPr>
        <w:pStyle w:val="6"/>
        <w:spacing w:before="120" w:beforeLines="50" w:line="360" w:lineRule="auto"/>
        <w:rPr>
          <w:rFonts w:ascii="Times New Roman" w:hAnsi="Times New Roman" w:eastAsia="宋体"/>
          <w:sz w:val="24"/>
          <w:szCs w:val="24"/>
        </w:rPr>
      </w:pPr>
      <w:bookmarkStart w:id="261" w:name="_Toc233036205"/>
      <w:bookmarkStart w:id="262" w:name="_Toc231571725"/>
      <w:r>
        <w:rPr>
          <w:rFonts w:ascii="Times New Roman" w:hAnsi="Times New Roman" w:eastAsia="宋体"/>
          <w:sz w:val="24"/>
          <w:szCs w:val="24"/>
        </w:rPr>
        <w:t>1.3.2</w:t>
      </w:r>
      <w:r>
        <w:rPr>
          <w:rFonts w:hint="eastAsia" w:ascii="Times New Roman" w:hAnsi="Times New Roman" w:eastAsia="宋体"/>
          <w:sz w:val="24"/>
          <w:szCs w:val="24"/>
        </w:rPr>
        <w:t xml:space="preserve"> </w:t>
      </w:r>
      <w:r>
        <w:rPr>
          <w:rFonts w:ascii="Times New Roman" w:hAnsi="Times New Roman" w:eastAsia="宋体"/>
          <w:sz w:val="24"/>
          <w:szCs w:val="24"/>
        </w:rPr>
        <w:t>评价范围</w:t>
      </w:r>
      <w:bookmarkEnd w:id="261"/>
      <w:bookmarkEnd w:id="262"/>
    </w:p>
    <w:p w14:paraId="7474A8E4">
      <w:pPr>
        <w:spacing w:line="360" w:lineRule="auto"/>
        <w:ind w:firstLine="480" w:firstLineChars="200"/>
        <w:rPr>
          <w:sz w:val="24"/>
          <w:szCs w:val="24"/>
        </w:rPr>
      </w:pPr>
      <w:r>
        <w:rPr>
          <w:rFonts w:hint="eastAsia"/>
          <w:color w:val="000000"/>
          <w:sz w:val="24"/>
        </w:rPr>
        <w:t>升压站</w:t>
      </w:r>
      <w:r>
        <w:rPr>
          <w:sz w:val="24"/>
          <w:szCs w:val="24"/>
        </w:rPr>
        <w:t>电磁环境评价范围为站界外3</w:t>
      </w:r>
      <w:r>
        <w:rPr>
          <w:rFonts w:hint="eastAsia"/>
          <w:sz w:val="24"/>
          <w:szCs w:val="24"/>
        </w:rPr>
        <w:t>0</w:t>
      </w:r>
      <w:r>
        <w:rPr>
          <w:sz w:val="24"/>
          <w:szCs w:val="24"/>
        </w:rPr>
        <w:t>m范围内。</w:t>
      </w:r>
    </w:p>
    <w:p w14:paraId="55EF26CB">
      <w:pPr>
        <w:pStyle w:val="5"/>
        <w:spacing w:before="0" w:after="0" w:line="360" w:lineRule="auto"/>
        <w:rPr>
          <w:rFonts w:eastAsia="黑体"/>
          <w:b w:val="0"/>
          <w:bCs w:val="0"/>
          <w:sz w:val="28"/>
          <w:szCs w:val="28"/>
        </w:rPr>
      </w:pPr>
      <w:bookmarkStart w:id="263" w:name="_Toc21593"/>
      <w:bookmarkStart w:id="264" w:name="_Toc231571726"/>
      <w:bookmarkStart w:id="265" w:name="_Toc12549"/>
      <w:bookmarkStart w:id="266" w:name="_Toc233036206"/>
      <w:bookmarkStart w:id="267" w:name="_Toc19680"/>
      <w:r>
        <w:rPr>
          <w:rFonts w:eastAsia="黑体"/>
          <w:b w:val="0"/>
          <w:bCs w:val="0"/>
          <w:sz w:val="28"/>
          <w:szCs w:val="28"/>
        </w:rPr>
        <w:t>1.4</w:t>
      </w:r>
      <w:r>
        <w:rPr>
          <w:rFonts w:hint="eastAsia" w:eastAsia="黑体"/>
          <w:b w:val="0"/>
          <w:bCs w:val="0"/>
          <w:sz w:val="28"/>
          <w:szCs w:val="28"/>
        </w:rPr>
        <w:t xml:space="preserve"> </w:t>
      </w:r>
      <w:r>
        <w:rPr>
          <w:rFonts w:eastAsia="黑体"/>
          <w:b w:val="0"/>
          <w:bCs w:val="0"/>
          <w:sz w:val="28"/>
          <w:szCs w:val="28"/>
        </w:rPr>
        <w:t>环境保护目标</w:t>
      </w:r>
      <w:bookmarkEnd w:id="263"/>
      <w:bookmarkEnd w:id="264"/>
      <w:bookmarkEnd w:id="265"/>
      <w:bookmarkEnd w:id="266"/>
      <w:bookmarkEnd w:id="267"/>
    </w:p>
    <w:p w14:paraId="5A677BC7">
      <w:pPr>
        <w:spacing w:line="360" w:lineRule="auto"/>
        <w:ind w:firstLine="460" w:firstLineChars="200"/>
        <w:rPr>
          <w:sz w:val="24"/>
          <w:szCs w:val="24"/>
        </w:rPr>
      </w:pPr>
      <w:r>
        <w:rPr>
          <w:spacing w:val="-5"/>
          <w:sz w:val="24"/>
          <w:szCs w:val="24"/>
        </w:rPr>
        <w:t>根据现场调查，</w:t>
      </w:r>
      <w:r>
        <w:rPr>
          <w:rFonts w:hint="eastAsia"/>
          <w:color w:val="000000"/>
          <w:sz w:val="24"/>
        </w:rPr>
        <w:t>以礼河电厂三级电站</w:t>
      </w:r>
      <w:r>
        <w:rPr>
          <w:spacing w:val="-5"/>
          <w:sz w:val="24"/>
          <w:szCs w:val="24"/>
        </w:rPr>
        <w:t>周边电磁环境影响评价范围内（围墙外</w:t>
      </w:r>
      <w:r>
        <w:rPr>
          <w:rFonts w:eastAsia="Times New Roman"/>
          <w:spacing w:val="-5"/>
          <w:sz w:val="24"/>
          <w:szCs w:val="24"/>
        </w:rPr>
        <w:t>30m</w:t>
      </w:r>
      <w:r>
        <w:rPr>
          <w:spacing w:val="-5"/>
          <w:sz w:val="24"/>
          <w:szCs w:val="24"/>
        </w:rPr>
        <w:t>范围内）</w:t>
      </w:r>
      <w:r>
        <w:rPr>
          <w:spacing w:val="-6"/>
          <w:sz w:val="24"/>
          <w:szCs w:val="24"/>
        </w:rPr>
        <w:t>电磁环境</w:t>
      </w:r>
      <w:r>
        <w:rPr>
          <w:rFonts w:hint="eastAsia"/>
          <w:spacing w:val="-6"/>
          <w:sz w:val="24"/>
          <w:szCs w:val="24"/>
        </w:rPr>
        <w:t>保护</w:t>
      </w:r>
      <w:r>
        <w:rPr>
          <w:spacing w:val="-6"/>
          <w:sz w:val="24"/>
          <w:szCs w:val="24"/>
        </w:rPr>
        <w:t>目标见表</w:t>
      </w:r>
      <w:r>
        <w:rPr>
          <w:rFonts w:eastAsia="Times New Roman"/>
          <w:spacing w:val="-6"/>
          <w:sz w:val="24"/>
          <w:szCs w:val="24"/>
        </w:rPr>
        <w:t>1</w:t>
      </w:r>
      <w:r>
        <w:rPr>
          <w:rFonts w:hint="eastAsia"/>
          <w:spacing w:val="-6"/>
          <w:sz w:val="24"/>
          <w:szCs w:val="24"/>
        </w:rPr>
        <w:t>.4</w:t>
      </w:r>
      <w:r>
        <w:rPr>
          <w:rFonts w:eastAsia="Times New Roman"/>
          <w:spacing w:val="-6"/>
          <w:sz w:val="24"/>
          <w:szCs w:val="24"/>
        </w:rPr>
        <w:t>-</w:t>
      </w:r>
      <w:r>
        <w:rPr>
          <w:rFonts w:hint="eastAsia"/>
          <w:spacing w:val="-6"/>
          <w:sz w:val="24"/>
          <w:szCs w:val="24"/>
        </w:rPr>
        <w:t>1。</w:t>
      </w:r>
    </w:p>
    <w:p w14:paraId="61AA27A8">
      <w:pPr>
        <w:pStyle w:val="11"/>
        <w:spacing w:before="0" w:after="0" w:line="360" w:lineRule="auto"/>
        <w:ind w:right="0"/>
        <w:jc w:val="center"/>
        <w:rPr>
          <w:b/>
          <w:bCs/>
          <w:sz w:val="24"/>
          <w:szCs w:val="24"/>
        </w:rPr>
      </w:pPr>
    </w:p>
    <w:p w14:paraId="23A170CF">
      <w:pPr>
        <w:pStyle w:val="11"/>
        <w:spacing w:before="0" w:after="0" w:line="360" w:lineRule="auto"/>
        <w:ind w:right="0"/>
        <w:jc w:val="center"/>
        <w:rPr>
          <w:b/>
          <w:bCs/>
          <w:sz w:val="24"/>
          <w:szCs w:val="24"/>
        </w:rPr>
      </w:pPr>
    </w:p>
    <w:p w14:paraId="121E474B">
      <w:pPr>
        <w:pStyle w:val="11"/>
        <w:spacing w:before="0" w:after="0" w:line="360" w:lineRule="auto"/>
        <w:ind w:right="0"/>
        <w:jc w:val="center"/>
        <w:rPr>
          <w:b/>
          <w:bCs/>
          <w:sz w:val="24"/>
          <w:szCs w:val="24"/>
        </w:rPr>
      </w:pPr>
    </w:p>
    <w:p w14:paraId="2CC6A736">
      <w:pPr>
        <w:pStyle w:val="11"/>
        <w:spacing w:before="0" w:after="0" w:line="360" w:lineRule="auto"/>
        <w:ind w:right="0"/>
        <w:jc w:val="center"/>
        <w:rPr>
          <w:sz w:val="24"/>
          <w:szCs w:val="24"/>
        </w:rPr>
      </w:pPr>
      <w:r>
        <w:rPr>
          <w:b/>
          <w:bCs/>
          <w:sz w:val="24"/>
          <w:szCs w:val="24"/>
        </w:rPr>
        <w:t>表</w:t>
      </w:r>
      <w:r>
        <w:rPr>
          <w:rFonts w:eastAsia="Times New Roman"/>
          <w:b/>
          <w:bCs/>
          <w:sz w:val="24"/>
          <w:szCs w:val="24"/>
        </w:rPr>
        <w:t>1</w:t>
      </w:r>
      <w:r>
        <w:rPr>
          <w:rFonts w:hint="eastAsia"/>
          <w:b/>
          <w:bCs/>
          <w:sz w:val="24"/>
          <w:szCs w:val="24"/>
        </w:rPr>
        <w:t>.4</w:t>
      </w:r>
      <w:r>
        <w:rPr>
          <w:rFonts w:eastAsia="Times New Roman"/>
          <w:b/>
          <w:bCs/>
          <w:sz w:val="24"/>
          <w:szCs w:val="24"/>
        </w:rPr>
        <w:t>-</w:t>
      </w:r>
      <w:r>
        <w:rPr>
          <w:rFonts w:hint="eastAsia"/>
          <w:b/>
          <w:bCs/>
          <w:sz w:val="24"/>
          <w:szCs w:val="24"/>
        </w:rPr>
        <w:t xml:space="preserve">1  </w:t>
      </w:r>
      <w:r>
        <w:rPr>
          <w:b/>
          <w:bCs/>
          <w:sz w:val="24"/>
          <w:szCs w:val="24"/>
        </w:rPr>
        <w:t>本项目电磁环境敏感目标一览表</w:t>
      </w:r>
    </w:p>
    <w:tbl>
      <w:tblPr>
        <w:tblStyle w:val="30"/>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14"/>
        <w:gridCol w:w="3118"/>
        <w:gridCol w:w="2127"/>
        <w:gridCol w:w="992"/>
        <w:gridCol w:w="1665"/>
        <w:gridCol w:w="465"/>
      </w:tblGrid>
      <w:tr w14:paraId="1D9C5F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3" w:hRule="atLeast"/>
          <w:jc w:val="center"/>
        </w:trPr>
        <w:tc>
          <w:tcPr>
            <w:tcW w:w="393" w:type="pct"/>
            <w:tcBorders>
              <w:top w:val="single" w:color="auto" w:sz="4" w:space="0"/>
              <w:left w:val="single" w:color="auto" w:sz="4" w:space="0"/>
              <w:bottom w:val="single" w:color="auto" w:sz="4" w:space="0"/>
              <w:right w:val="single" w:color="auto" w:sz="4" w:space="0"/>
            </w:tcBorders>
            <w:vAlign w:val="center"/>
          </w:tcPr>
          <w:p w14:paraId="3925EFE2">
            <w:pPr>
              <w:pStyle w:val="208"/>
              <w:jc w:val="center"/>
              <w:rPr>
                <w:sz w:val="21"/>
                <w:szCs w:val="21"/>
              </w:rPr>
            </w:pPr>
            <w:r>
              <w:rPr>
                <w:rFonts w:hint="eastAsia" w:ascii="宋体" w:hAnsi="宋体" w:eastAsia="宋体" w:cs="宋体"/>
                <w:b/>
                <w:bCs/>
                <w:spacing w:val="6"/>
                <w:sz w:val="21"/>
                <w:szCs w:val="21"/>
              </w:rPr>
              <w:t>环境</w:t>
            </w:r>
            <w:r>
              <w:rPr>
                <w:rFonts w:hint="eastAsia" w:eastAsia="宋体"/>
                <w:b/>
                <w:bCs/>
                <w:spacing w:val="6"/>
                <w:sz w:val="21"/>
                <w:szCs w:val="21"/>
                <w:lang w:eastAsia="zh-CN"/>
              </w:rPr>
              <w:t>保护</w:t>
            </w:r>
            <w:r>
              <w:rPr>
                <w:rFonts w:hint="eastAsia" w:ascii="宋体" w:hAnsi="宋体" w:eastAsia="宋体" w:cs="宋体"/>
                <w:b/>
                <w:bCs/>
                <w:spacing w:val="6"/>
                <w:sz w:val="21"/>
                <w:szCs w:val="21"/>
              </w:rPr>
              <w:t>目标</w:t>
            </w:r>
          </w:p>
        </w:tc>
        <w:tc>
          <w:tcPr>
            <w:tcW w:w="1717" w:type="pct"/>
            <w:tcBorders>
              <w:top w:val="single" w:color="auto" w:sz="4" w:space="0"/>
              <w:left w:val="single" w:color="auto" w:sz="4" w:space="0"/>
              <w:bottom w:val="single" w:color="auto" w:sz="4" w:space="0"/>
              <w:right w:val="single" w:color="auto" w:sz="4" w:space="0"/>
            </w:tcBorders>
            <w:vAlign w:val="center"/>
          </w:tcPr>
          <w:p w14:paraId="436DB4F3">
            <w:pPr>
              <w:pStyle w:val="208"/>
              <w:jc w:val="center"/>
              <w:rPr>
                <w:sz w:val="21"/>
                <w:szCs w:val="21"/>
              </w:rPr>
            </w:pPr>
            <w:r>
              <w:rPr>
                <w:rFonts w:hint="eastAsia" w:ascii="宋体" w:hAnsi="宋体" w:eastAsia="宋体" w:cs="宋体"/>
                <w:b/>
                <w:bCs/>
                <w:spacing w:val="6"/>
                <w:sz w:val="21"/>
                <w:szCs w:val="21"/>
              </w:rPr>
              <w:t>方</w:t>
            </w:r>
            <w:r>
              <w:rPr>
                <w:b/>
                <w:bCs/>
                <w:spacing w:val="6"/>
                <w:sz w:val="21"/>
                <w:szCs w:val="21"/>
              </w:rPr>
              <w:t>位及最近</w:t>
            </w:r>
            <w:r>
              <w:rPr>
                <w:b/>
                <w:bCs/>
                <w:spacing w:val="4"/>
                <w:sz w:val="21"/>
                <w:szCs w:val="21"/>
              </w:rPr>
              <w:t>距离</w:t>
            </w:r>
          </w:p>
        </w:tc>
        <w:tc>
          <w:tcPr>
            <w:tcW w:w="1171" w:type="pct"/>
            <w:tcBorders>
              <w:top w:val="single" w:color="auto" w:sz="4" w:space="0"/>
              <w:left w:val="single" w:color="auto" w:sz="4" w:space="0"/>
              <w:bottom w:val="single" w:color="auto" w:sz="4" w:space="0"/>
              <w:right w:val="single" w:color="auto" w:sz="4" w:space="0"/>
            </w:tcBorders>
            <w:vAlign w:val="center"/>
          </w:tcPr>
          <w:p w14:paraId="25766E2D">
            <w:pPr>
              <w:pStyle w:val="208"/>
              <w:jc w:val="center"/>
              <w:rPr>
                <w:sz w:val="21"/>
                <w:szCs w:val="21"/>
                <w:lang w:eastAsia="zh-CN"/>
              </w:rPr>
            </w:pPr>
            <w:r>
              <w:rPr>
                <w:rFonts w:hint="eastAsia" w:ascii="宋体" w:hAnsi="宋体" w:eastAsia="宋体" w:cs="宋体"/>
                <w:b/>
                <w:bCs/>
                <w:spacing w:val="7"/>
                <w:sz w:val="21"/>
                <w:szCs w:val="21"/>
                <w:lang w:eastAsia="zh-CN"/>
              </w:rPr>
              <w:t>房屋基础与变电站相对高差（较</w:t>
            </w:r>
            <w:r>
              <w:rPr>
                <w:rFonts w:hint="eastAsia" w:ascii="宋体" w:hAnsi="宋体" w:eastAsia="宋体" w:cs="宋体"/>
                <w:b/>
                <w:bCs/>
                <w:spacing w:val="4"/>
                <w:sz w:val="21"/>
                <w:szCs w:val="21"/>
                <w:lang w:eastAsia="zh-CN"/>
              </w:rPr>
              <w:t>主变基础）</w:t>
            </w:r>
          </w:p>
        </w:tc>
        <w:tc>
          <w:tcPr>
            <w:tcW w:w="546" w:type="pct"/>
            <w:tcBorders>
              <w:top w:val="single" w:color="auto" w:sz="4" w:space="0"/>
              <w:left w:val="single" w:color="auto" w:sz="4" w:space="0"/>
              <w:bottom w:val="single" w:color="auto" w:sz="4" w:space="0"/>
              <w:right w:val="single" w:color="auto" w:sz="4" w:space="0"/>
            </w:tcBorders>
            <w:vAlign w:val="center"/>
          </w:tcPr>
          <w:p w14:paraId="1BF2653A">
            <w:pPr>
              <w:pStyle w:val="208"/>
              <w:jc w:val="center"/>
              <w:rPr>
                <w:sz w:val="21"/>
                <w:szCs w:val="21"/>
              </w:rPr>
            </w:pPr>
            <w:r>
              <w:rPr>
                <w:rFonts w:hint="eastAsia" w:ascii="宋体" w:hAnsi="宋体" w:eastAsia="宋体" w:cs="宋体"/>
                <w:b/>
                <w:bCs/>
                <w:spacing w:val="5"/>
                <w:sz w:val="21"/>
                <w:szCs w:val="21"/>
              </w:rPr>
              <w:t>评</w:t>
            </w:r>
            <w:r>
              <w:rPr>
                <w:b/>
                <w:bCs/>
                <w:spacing w:val="5"/>
                <w:sz w:val="21"/>
                <w:szCs w:val="21"/>
              </w:rPr>
              <w:t>价范</w:t>
            </w:r>
          </w:p>
          <w:p w14:paraId="008FED65">
            <w:pPr>
              <w:pStyle w:val="208"/>
              <w:jc w:val="center"/>
              <w:rPr>
                <w:sz w:val="21"/>
                <w:szCs w:val="21"/>
              </w:rPr>
            </w:pPr>
            <w:r>
              <w:rPr>
                <w:b/>
                <w:bCs/>
                <w:spacing w:val="-1"/>
                <w:sz w:val="21"/>
                <w:szCs w:val="21"/>
              </w:rPr>
              <w:t>围内数</w:t>
            </w:r>
            <w:r>
              <w:rPr>
                <w:b/>
                <w:bCs/>
                <w:spacing w:val="-2"/>
                <w:sz w:val="21"/>
                <w:szCs w:val="21"/>
              </w:rPr>
              <w:t>量</w:t>
            </w:r>
          </w:p>
        </w:tc>
        <w:tc>
          <w:tcPr>
            <w:tcW w:w="917" w:type="pct"/>
            <w:tcBorders>
              <w:top w:val="single" w:color="auto" w:sz="4" w:space="0"/>
              <w:left w:val="single" w:color="auto" w:sz="4" w:space="0"/>
              <w:bottom w:val="single" w:color="auto" w:sz="4" w:space="0"/>
              <w:right w:val="single" w:color="auto" w:sz="4" w:space="0"/>
            </w:tcBorders>
            <w:vAlign w:val="center"/>
          </w:tcPr>
          <w:p w14:paraId="17D21F29">
            <w:pPr>
              <w:pStyle w:val="208"/>
              <w:jc w:val="center"/>
              <w:rPr>
                <w:sz w:val="21"/>
                <w:szCs w:val="21"/>
              </w:rPr>
            </w:pPr>
            <w:r>
              <w:rPr>
                <w:b/>
                <w:bCs/>
                <w:spacing w:val="-2"/>
                <w:sz w:val="21"/>
                <w:szCs w:val="21"/>
              </w:rPr>
              <w:t>建筑物楼层、高度</w:t>
            </w:r>
          </w:p>
        </w:tc>
        <w:tc>
          <w:tcPr>
            <w:tcW w:w="256" w:type="pct"/>
            <w:tcBorders>
              <w:top w:val="single" w:color="auto" w:sz="4" w:space="0"/>
              <w:left w:val="single" w:color="auto" w:sz="4" w:space="0"/>
              <w:bottom w:val="single" w:color="auto" w:sz="4" w:space="0"/>
              <w:right w:val="single" w:color="auto" w:sz="4" w:space="0"/>
            </w:tcBorders>
            <w:vAlign w:val="center"/>
          </w:tcPr>
          <w:p w14:paraId="68D4CAD8">
            <w:pPr>
              <w:pStyle w:val="208"/>
              <w:jc w:val="center"/>
              <w:rPr>
                <w:sz w:val="21"/>
                <w:szCs w:val="21"/>
              </w:rPr>
            </w:pPr>
            <w:r>
              <w:rPr>
                <w:b/>
                <w:bCs/>
                <w:spacing w:val="2"/>
                <w:sz w:val="21"/>
                <w:szCs w:val="21"/>
              </w:rPr>
              <w:t>功能</w:t>
            </w:r>
          </w:p>
        </w:tc>
      </w:tr>
      <w:tr w14:paraId="6DA55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3" w:hRule="atLeast"/>
          <w:jc w:val="center"/>
        </w:trPr>
        <w:tc>
          <w:tcPr>
            <w:tcW w:w="393" w:type="pct"/>
            <w:tcBorders>
              <w:top w:val="single" w:color="auto" w:sz="4" w:space="0"/>
              <w:left w:val="single" w:color="auto" w:sz="4" w:space="0"/>
              <w:bottom w:val="single" w:color="auto" w:sz="4" w:space="0"/>
              <w:right w:val="single" w:color="auto" w:sz="4" w:space="0"/>
            </w:tcBorders>
            <w:vAlign w:val="center"/>
          </w:tcPr>
          <w:p w14:paraId="68322864">
            <w:pPr>
              <w:jc w:val="center"/>
              <w:rPr>
                <w:rFonts w:eastAsia="Times New Roman"/>
              </w:rPr>
            </w:pPr>
            <w:r>
              <w:rPr>
                <w:rFonts w:hint="eastAsia"/>
              </w:rPr>
              <w:t>散户</w:t>
            </w:r>
          </w:p>
        </w:tc>
        <w:tc>
          <w:tcPr>
            <w:tcW w:w="1717" w:type="pct"/>
            <w:tcBorders>
              <w:top w:val="single" w:color="auto" w:sz="4" w:space="0"/>
              <w:left w:val="single" w:color="auto" w:sz="4" w:space="0"/>
              <w:bottom w:val="single" w:color="auto" w:sz="4" w:space="0"/>
              <w:right w:val="single" w:color="auto" w:sz="4" w:space="0"/>
            </w:tcBorders>
            <w:vAlign w:val="center"/>
          </w:tcPr>
          <w:p w14:paraId="4D529E5B">
            <w:pPr>
              <w:pStyle w:val="208"/>
              <w:jc w:val="center"/>
              <w:rPr>
                <w:sz w:val="21"/>
                <w:szCs w:val="21"/>
                <w:lang w:eastAsia="zh-CN"/>
              </w:rPr>
            </w:pPr>
            <w:r>
              <w:rPr>
                <w:rFonts w:hint="eastAsia"/>
                <w:color w:val="000000"/>
                <w:sz w:val="21"/>
                <w:szCs w:val="21"/>
                <w:lang w:eastAsia="zh-CN"/>
              </w:rPr>
              <w:t>以礼河电厂三级电站厂界东侧20m</w:t>
            </w:r>
          </w:p>
        </w:tc>
        <w:tc>
          <w:tcPr>
            <w:tcW w:w="1171" w:type="pct"/>
            <w:tcBorders>
              <w:top w:val="single" w:color="auto" w:sz="4" w:space="0"/>
              <w:left w:val="single" w:color="auto" w:sz="4" w:space="0"/>
              <w:bottom w:val="single" w:color="auto" w:sz="4" w:space="0"/>
              <w:right w:val="single" w:color="auto" w:sz="4" w:space="0"/>
            </w:tcBorders>
            <w:vAlign w:val="center"/>
          </w:tcPr>
          <w:p w14:paraId="02B30F9B">
            <w:pPr>
              <w:jc w:val="center"/>
              <w:rPr>
                <w:rFonts w:eastAsia="Times New Roman"/>
              </w:rPr>
            </w:pPr>
            <w:r>
              <w:rPr>
                <w:rFonts w:eastAsia="Times New Roman"/>
                <w:spacing w:val="4"/>
              </w:rPr>
              <w:t>+5m</w:t>
            </w:r>
          </w:p>
        </w:tc>
        <w:tc>
          <w:tcPr>
            <w:tcW w:w="546" w:type="pct"/>
            <w:tcBorders>
              <w:top w:val="single" w:color="auto" w:sz="4" w:space="0"/>
              <w:left w:val="single" w:color="auto" w:sz="4" w:space="0"/>
              <w:bottom w:val="single" w:color="auto" w:sz="4" w:space="0"/>
              <w:right w:val="single" w:color="auto" w:sz="4" w:space="0"/>
            </w:tcBorders>
            <w:vAlign w:val="center"/>
          </w:tcPr>
          <w:p w14:paraId="39BF1384">
            <w:pPr>
              <w:pStyle w:val="208"/>
              <w:jc w:val="center"/>
              <w:rPr>
                <w:rFonts w:hint="eastAsia" w:eastAsia="宋体"/>
                <w:sz w:val="21"/>
                <w:szCs w:val="21"/>
                <w:lang w:eastAsia="zh-CN"/>
              </w:rPr>
            </w:pPr>
            <w:r>
              <w:rPr>
                <w:spacing w:val="-10"/>
                <w:sz w:val="21"/>
                <w:szCs w:val="21"/>
              </w:rPr>
              <w:t>1</w:t>
            </w:r>
            <w:r>
              <w:rPr>
                <w:rFonts w:hint="eastAsia" w:eastAsia="宋体"/>
                <w:spacing w:val="-10"/>
                <w:sz w:val="21"/>
                <w:szCs w:val="21"/>
                <w:lang w:eastAsia="zh-CN"/>
              </w:rPr>
              <w:t>户</w:t>
            </w:r>
          </w:p>
        </w:tc>
        <w:tc>
          <w:tcPr>
            <w:tcW w:w="917" w:type="pct"/>
            <w:tcBorders>
              <w:top w:val="single" w:color="auto" w:sz="4" w:space="0"/>
              <w:left w:val="single" w:color="auto" w:sz="4" w:space="0"/>
              <w:bottom w:val="single" w:color="auto" w:sz="4" w:space="0"/>
              <w:right w:val="single" w:color="auto" w:sz="4" w:space="0"/>
            </w:tcBorders>
            <w:vAlign w:val="center"/>
          </w:tcPr>
          <w:p w14:paraId="2F1EA0B1">
            <w:pPr>
              <w:pStyle w:val="208"/>
              <w:jc w:val="center"/>
              <w:rPr>
                <w:rFonts w:eastAsia="宋体"/>
                <w:sz w:val="21"/>
                <w:szCs w:val="21"/>
                <w:lang w:eastAsia="zh-CN"/>
              </w:rPr>
            </w:pPr>
            <w:r>
              <w:rPr>
                <w:spacing w:val="4"/>
                <w:sz w:val="21"/>
                <w:szCs w:val="21"/>
                <w:lang w:eastAsia="zh-CN"/>
              </w:rPr>
              <w:t>1</w:t>
            </w:r>
            <w:r>
              <w:rPr>
                <w:rFonts w:hint="eastAsia" w:eastAsia="宋体"/>
                <w:spacing w:val="4"/>
                <w:sz w:val="21"/>
                <w:szCs w:val="21"/>
                <w:lang w:eastAsia="zh-CN"/>
              </w:rPr>
              <w:t>层农村土筑坡顶房</w:t>
            </w:r>
            <w:r>
              <w:rPr>
                <w:spacing w:val="4"/>
                <w:sz w:val="21"/>
                <w:szCs w:val="21"/>
                <w:lang w:eastAsia="zh-CN"/>
              </w:rPr>
              <w:t>，高</w:t>
            </w:r>
            <w:r>
              <w:rPr>
                <w:spacing w:val="1"/>
                <w:sz w:val="21"/>
                <w:szCs w:val="21"/>
                <w:lang w:eastAsia="zh-CN"/>
              </w:rPr>
              <w:t>约</w:t>
            </w:r>
            <w:r>
              <w:rPr>
                <w:rFonts w:hint="eastAsia" w:eastAsia="宋体"/>
                <w:spacing w:val="1"/>
                <w:sz w:val="21"/>
                <w:szCs w:val="21"/>
                <w:lang w:eastAsia="zh-CN"/>
              </w:rPr>
              <w:t>5m</w:t>
            </w:r>
          </w:p>
        </w:tc>
        <w:tc>
          <w:tcPr>
            <w:tcW w:w="256" w:type="pct"/>
            <w:tcBorders>
              <w:top w:val="single" w:color="auto" w:sz="4" w:space="0"/>
              <w:left w:val="single" w:color="auto" w:sz="4" w:space="0"/>
              <w:bottom w:val="single" w:color="auto" w:sz="4" w:space="0"/>
              <w:right w:val="single" w:color="auto" w:sz="4" w:space="0"/>
            </w:tcBorders>
            <w:vAlign w:val="center"/>
          </w:tcPr>
          <w:p w14:paraId="14773CE6">
            <w:pPr>
              <w:pStyle w:val="208"/>
              <w:jc w:val="center"/>
              <w:rPr>
                <w:sz w:val="21"/>
                <w:szCs w:val="21"/>
              </w:rPr>
            </w:pPr>
            <w:r>
              <w:rPr>
                <w:spacing w:val="3"/>
                <w:sz w:val="21"/>
                <w:szCs w:val="21"/>
              </w:rPr>
              <w:t>居住</w:t>
            </w:r>
          </w:p>
        </w:tc>
      </w:tr>
    </w:tbl>
    <w:p w14:paraId="6738CA45">
      <w:pPr>
        <w:rPr>
          <w:rFonts w:hint="eastAsia"/>
          <w:vanish/>
        </w:rPr>
      </w:pPr>
    </w:p>
    <w:tbl>
      <w:tblPr>
        <w:tblStyle w:val="30"/>
        <w:tblpPr w:leftFromText="180" w:rightFromText="180" w:vertAnchor="text" w:horzAnchor="page" w:tblpX="1525" w:tblpY="178"/>
        <w:tblOverlap w:val="never"/>
        <w:tblW w:w="0" w:type="auto"/>
        <w:tblInd w:w="0" w:type="dxa"/>
        <w:tblLayout w:type="fixed"/>
        <w:tblCellMar>
          <w:top w:w="0" w:type="dxa"/>
          <w:left w:w="108" w:type="dxa"/>
          <w:bottom w:w="0" w:type="dxa"/>
          <w:right w:w="108" w:type="dxa"/>
        </w:tblCellMar>
      </w:tblPr>
      <w:tblGrid>
        <w:gridCol w:w="4529"/>
        <w:gridCol w:w="4546"/>
      </w:tblGrid>
      <w:tr w14:paraId="2BD46CF9">
        <w:tblPrEx>
          <w:tblCellMar>
            <w:top w:w="0" w:type="dxa"/>
            <w:left w:w="108" w:type="dxa"/>
            <w:bottom w:w="0" w:type="dxa"/>
            <w:right w:w="108" w:type="dxa"/>
          </w:tblCellMar>
        </w:tblPrEx>
        <w:tc>
          <w:tcPr>
            <w:tcW w:w="4529" w:type="dxa"/>
          </w:tcPr>
          <w:p w14:paraId="31335444">
            <w:pPr>
              <w:jc w:val="center"/>
              <w:rPr>
                <w:rFonts w:hint="eastAsia"/>
                <w:sz w:val="24"/>
                <w:szCs w:val="24"/>
              </w:rPr>
            </w:pPr>
            <w:r>
              <w:rPr>
                <w:rFonts w:hint="eastAsia"/>
                <w:sz w:val="24"/>
                <w:szCs w:val="24"/>
              </w:rPr>
              <w:drawing>
                <wp:inline distT="0" distB="0" distL="0" distR="0">
                  <wp:extent cx="2734310" cy="2105025"/>
                  <wp:effectExtent l="0" t="0" r="0" b="0"/>
                  <wp:docPr id="51" name="图片 149" descr="DJI_20260108103038_0270_D"/>
                  <wp:cNvGraphicFramePr/>
                  <a:graphic xmlns:a="http://schemas.openxmlformats.org/drawingml/2006/main">
                    <a:graphicData uri="http://schemas.openxmlformats.org/drawingml/2006/picture">
                      <pic:pic xmlns:pic="http://schemas.openxmlformats.org/drawingml/2006/picture">
                        <pic:nvPicPr>
                          <pic:cNvPr id="51" name="图片 149" descr="DJI_20260108103038_0270_D"/>
                          <pic:cNvPicPr>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2734310" cy="2105025"/>
                          </a:xfrm>
                          <a:prstGeom prst="rect">
                            <a:avLst/>
                          </a:prstGeom>
                          <a:noFill/>
                          <a:ln>
                            <a:noFill/>
                          </a:ln>
                          <a:effectLst/>
                        </pic:spPr>
                      </pic:pic>
                    </a:graphicData>
                  </a:graphic>
                </wp:inline>
              </w:drawing>
            </w:r>
          </w:p>
        </w:tc>
        <w:tc>
          <w:tcPr>
            <w:tcW w:w="4546" w:type="dxa"/>
          </w:tcPr>
          <w:p w14:paraId="367F273D">
            <w:pPr>
              <w:spacing w:line="360" w:lineRule="auto"/>
              <w:rPr>
                <w:rFonts w:hint="eastAsia"/>
                <w:sz w:val="24"/>
                <w:szCs w:val="24"/>
              </w:rPr>
            </w:pPr>
            <w:r>
              <w:rPr>
                <w:rFonts w:hint="eastAsia"/>
                <w:sz w:val="24"/>
                <w:szCs w:val="24"/>
              </w:rPr>
              <w:drawing>
                <wp:inline distT="0" distB="0" distL="0" distR="0">
                  <wp:extent cx="2812415" cy="2148205"/>
                  <wp:effectExtent l="0" t="0" r="0" b="0"/>
                  <wp:docPr id="52" name="图片 151" descr="DJI_20260108103117_0275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51" descr="DJI_20260108103117_0275_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812415" cy="2148205"/>
                          </a:xfrm>
                          <a:prstGeom prst="rect">
                            <a:avLst/>
                          </a:prstGeom>
                          <a:noFill/>
                          <a:ln>
                            <a:noFill/>
                          </a:ln>
                        </pic:spPr>
                      </pic:pic>
                    </a:graphicData>
                  </a:graphic>
                </wp:inline>
              </w:drawing>
            </w:r>
          </w:p>
        </w:tc>
      </w:tr>
      <w:tr w14:paraId="13F7BB16">
        <w:trPr>
          <w:trHeight w:val="323" w:hRule="atLeast"/>
        </w:trPr>
        <w:tc>
          <w:tcPr>
            <w:tcW w:w="4529" w:type="dxa"/>
            <w:vAlign w:val="center"/>
          </w:tcPr>
          <w:p w14:paraId="2CDE2565">
            <w:pPr>
              <w:jc w:val="center"/>
              <w:rPr>
                <w:rFonts w:hint="eastAsia"/>
                <w:sz w:val="24"/>
                <w:szCs w:val="24"/>
              </w:rPr>
            </w:pPr>
            <w:r>
              <w:rPr>
                <w:rFonts w:hint="eastAsia"/>
              </w:rPr>
              <w:t>散户</w:t>
            </w:r>
          </w:p>
        </w:tc>
        <w:tc>
          <w:tcPr>
            <w:tcW w:w="4546" w:type="dxa"/>
            <w:vAlign w:val="center"/>
          </w:tcPr>
          <w:p w14:paraId="1B3C27C5">
            <w:pPr>
              <w:jc w:val="center"/>
              <w:rPr>
                <w:sz w:val="24"/>
                <w:szCs w:val="24"/>
              </w:rPr>
            </w:pPr>
            <w:r>
              <w:rPr>
                <w:rFonts w:hint="eastAsia"/>
              </w:rPr>
              <w:t>以礼河电厂三级电站</w:t>
            </w:r>
          </w:p>
        </w:tc>
      </w:tr>
    </w:tbl>
    <w:p w14:paraId="7EA2AA9A">
      <w:pPr>
        <w:pStyle w:val="3"/>
        <w:spacing w:before="120" w:beforeLines="50" w:after="0" w:line="360" w:lineRule="auto"/>
        <w:rPr>
          <w:rFonts w:ascii="Times New Roman" w:hAnsi="Times New Roman" w:eastAsia="黑体"/>
          <w:b w:val="0"/>
          <w:bCs w:val="0"/>
          <w:sz w:val="30"/>
          <w:szCs w:val="30"/>
        </w:rPr>
      </w:pPr>
      <w:bookmarkStart w:id="268" w:name="_Toc12959"/>
      <w:bookmarkStart w:id="269" w:name="_Toc30896"/>
      <w:bookmarkStart w:id="270" w:name="_Toc233036207"/>
      <w:bookmarkStart w:id="271" w:name="_Toc231571727"/>
      <w:bookmarkStart w:id="272" w:name="_Toc10753"/>
      <w:r>
        <w:rPr>
          <w:rFonts w:ascii="Times New Roman" w:hAnsi="Times New Roman" w:eastAsia="黑体"/>
          <w:b w:val="0"/>
          <w:bCs w:val="0"/>
          <w:sz w:val="30"/>
          <w:szCs w:val="30"/>
        </w:rPr>
        <w:t>2</w:t>
      </w:r>
      <w:r>
        <w:rPr>
          <w:rFonts w:hint="eastAsia" w:ascii="Times New Roman" w:hAnsi="Times New Roman" w:eastAsia="黑体"/>
          <w:b w:val="0"/>
          <w:bCs w:val="0"/>
          <w:sz w:val="30"/>
          <w:szCs w:val="30"/>
        </w:rPr>
        <w:t xml:space="preserve"> </w:t>
      </w:r>
      <w:r>
        <w:rPr>
          <w:rFonts w:ascii="Times New Roman" w:hAnsi="Times New Roman" w:eastAsia="黑体"/>
          <w:b w:val="0"/>
          <w:bCs w:val="0"/>
          <w:sz w:val="30"/>
          <w:szCs w:val="30"/>
        </w:rPr>
        <w:t>电磁环境现状评价</w:t>
      </w:r>
      <w:bookmarkEnd w:id="268"/>
      <w:bookmarkEnd w:id="269"/>
      <w:bookmarkEnd w:id="270"/>
      <w:bookmarkEnd w:id="271"/>
      <w:bookmarkEnd w:id="272"/>
    </w:p>
    <w:p w14:paraId="4A9AF547">
      <w:pPr>
        <w:pStyle w:val="11"/>
        <w:snapToGrid/>
        <w:spacing w:before="0" w:after="0" w:line="360" w:lineRule="auto"/>
        <w:ind w:right="0" w:firstLine="484" w:firstLineChars="200"/>
        <w:rPr>
          <w:sz w:val="24"/>
          <w:szCs w:val="24"/>
        </w:rPr>
      </w:pPr>
      <w:bookmarkStart w:id="273" w:name="_Toc8730"/>
      <w:r>
        <w:rPr>
          <w:spacing w:val="1"/>
          <w:sz w:val="24"/>
          <w:szCs w:val="24"/>
        </w:rPr>
        <w:t>为了解项目区域电磁环境现状，</w:t>
      </w:r>
      <w:r>
        <w:rPr>
          <w:rFonts w:hint="eastAsia"/>
          <w:spacing w:val="1"/>
          <w:sz w:val="24"/>
          <w:szCs w:val="24"/>
        </w:rPr>
        <w:t>昆明院</w:t>
      </w:r>
      <w:r>
        <w:rPr>
          <w:spacing w:val="1"/>
          <w:sz w:val="24"/>
          <w:szCs w:val="24"/>
        </w:rPr>
        <w:t>委托</w:t>
      </w:r>
      <w:r>
        <w:rPr>
          <w:rFonts w:hint="eastAsia"/>
          <w:sz w:val="24"/>
        </w:rPr>
        <w:t>云南科环环境工程咨询有限公司</w:t>
      </w:r>
      <w:r>
        <w:rPr>
          <w:sz w:val="24"/>
          <w:szCs w:val="24"/>
        </w:rPr>
        <w:t>于</w:t>
      </w:r>
      <w:r>
        <w:rPr>
          <w:rFonts w:eastAsia="Times New Roman"/>
          <w:sz w:val="24"/>
          <w:szCs w:val="24"/>
        </w:rPr>
        <w:t>202</w:t>
      </w:r>
      <w:r>
        <w:rPr>
          <w:rFonts w:hint="eastAsia"/>
          <w:sz w:val="24"/>
          <w:szCs w:val="24"/>
        </w:rPr>
        <w:t>6</w:t>
      </w:r>
      <w:r>
        <w:rPr>
          <w:spacing w:val="-2"/>
          <w:sz w:val="24"/>
          <w:szCs w:val="24"/>
        </w:rPr>
        <w:t>年</w:t>
      </w:r>
      <w:r>
        <w:rPr>
          <w:rFonts w:hint="eastAsia"/>
          <w:spacing w:val="-2"/>
          <w:sz w:val="24"/>
          <w:szCs w:val="24"/>
        </w:rPr>
        <w:t>1月8日和</w:t>
      </w:r>
      <w:r>
        <w:rPr>
          <w:spacing w:val="-2"/>
          <w:sz w:val="24"/>
          <w:szCs w:val="24"/>
        </w:rPr>
        <w:t>5月</w:t>
      </w:r>
      <w:r>
        <w:rPr>
          <w:rFonts w:hint="eastAsia"/>
          <w:spacing w:val="-2"/>
          <w:sz w:val="24"/>
          <w:szCs w:val="24"/>
        </w:rPr>
        <w:t>2</w:t>
      </w:r>
      <w:r>
        <w:rPr>
          <w:spacing w:val="-2"/>
          <w:sz w:val="24"/>
          <w:szCs w:val="24"/>
        </w:rPr>
        <w:t>1日对</w:t>
      </w:r>
      <w:r>
        <w:rPr>
          <w:rFonts w:hint="eastAsia"/>
          <w:spacing w:val="-2"/>
          <w:sz w:val="24"/>
          <w:szCs w:val="24"/>
        </w:rPr>
        <w:t>以礼河电厂三级电站厂界四周、周边电磁环境敏感目标以及新建</w:t>
      </w:r>
      <w:r>
        <w:rPr>
          <w:rFonts w:hint="eastAsia"/>
          <w:spacing w:val="-3"/>
          <w:sz w:val="24"/>
          <w:szCs w:val="24"/>
        </w:rPr>
        <w:t>升压站站址中心的</w:t>
      </w:r>
      <w:r>
        <w:rPr>
          <w:spacing w:val="-3"/>
          <w:sz w:val="24"/>
          <w:szCs w:val="24"/>
        </w:rPr>
        <w:t>工频</w:t>
      </w:r>
      <w:r>
        <w:rPr>
          <w:rFonts w:hint="eastAsia"/>
          <w:spacing w:val="-3"/>
          <w:sz w:val="24"/>
          <w:szCs w:val="24"/>
        </w:rPr>
        <w:t>电场和工频</w:t>
      </w:r>
      <w:r>
        <w:rPr>
          <w:spacing w:val="-3"/>
          <w:sz w:val="24"/>
          <w:szCs w:val="24"/>
        </w:rPr>
        <w:t>磁场进行</w:t>
      </w:r>
      <w:r>
        <w:rPr>
          <w:spacing w:val="-2"/>
          <w:sz w:val="24"/>
          <w:szCs w:val="24"/>
        </w:rPr>
        <w:t>了现状监测。</w:t>
      </w:r>
    </w:p>
    <w:p w14:paraId="709954BE">
      <w:pPr>
        <w:pStyle w:val="5"/>
        <w:spacing w:before="0" w:after="0" w:line="360" w:lineRule="auto"/>
        <w:rPr>
          <w:rFonts w:eastAsia="黑体"/>
          <w:b w:val="0"/>
          <w:bCs w:val="0"/>
          <w:sz w:val="28"/>
          <w:szCs w:val="28"/>
        </w:rPr>
      </w:pPr>
      <w:bookmarkStart w:id="274" w:name="_Toc231571728"/>
      <w:bookmarkStart w:id="275" w:name="_Toc22354"/>
      <w:bookmarkStart w:id="276" w:name="_Toc530"/>
      <w:bookmarkStart w:id="277" w:name="_Toc233036208"/>
      <w:r>
        <w:rPr>
          <w:rFonts w:eastAsia="黑体"/>
          <w:b w:val="0"/>
          <w:bCs w:val="0"/>
          <w:sz w:val="28"/>
          <w:szCs w:val="28"/>
        </w:rPr>
        <w:t>2.1</w:t>
      </w:r>
      <w:r>
        <w:rPr>
          <w:rFonts w:hint="eastAsia" w:eastAsia="黑体"/>
          <w:b w:val="0"/>
          <w:bCs w:val="0"/>
          <w:sz w:val="28"/>
          <w:szCs w:val="28"/>
        </w:rPr>
        <w:t xml:space="preserve"> </w:t>
      </w:r>
      <w:r>
        <w:rPr>
          <w:rFonts w:eastAsia="黑体"/>
          <w:b w:val="0"/>
          <w:bCs w:val="0"/>
          <w:sz w:val="28"/>
          <w:szCs w:val="28"/>
        </w:rPr>
        <w:t>监测布点</w:t>
      </w:r>
      <w:bookmarkEnd w:id="273"/>
      <w:bookmarkEnd w:id="274"/>
      <w:bookmarkEnd w:id="275"/>
      <w:bookmarkEnd w:id="276"/>
      <w:bookmarkEnd w:id="277"/>
    </w:p>
    <w:p w14:paraId="2BA30207">
      <w:pPr>
        <w:topLinePunct/>
        <w:adjustRightInd w:val="0"/>
        <w:snapToGrid w:val="0"/>
        <w:spacing w:line="360" w:lineRule="auto"/>
        <w:ind w:firstLine="480" w:firstLineChars="200"/>
        <w:rPr>
          <w:sz w:val="24"/>
          <w:szCs w:val="24"/>
        </w:rPr>
      </w:pPr>
      <w:r>
        <w:rPr>
          <w:sz w:val="24"/>
          <w:szCs w:val="24"/>
        </w:rPr>
        <w:t>根据《环境影响评价技术导则</w:t>
      </w:r>
      <w:r>
        <w:rPr>
          <w:rFonts w:hint="eastAsia"/>
          <w:sz w:val="24"/>
          <w:szCs w:val="24"/>
        </w:rPr>
        <w:t xml:space="preserve"> </w:t>
      </w:r>
      <w:r>
        <w:rPr>
          <w:sz w:val="24"/>
          <w:szCs w:val="24"/>
        </w:rPr>
        <w:t>输变电》（HJ</w:t>
      </w:r>
      <w:r>
        <w:rPr>
          <w:rFonts w:hint="eastAsia"/>
          <w:sz w:val="24"/>
          <w:szCs w:val="24"/>
        </w:rPr>
        <w:t xml:space="preserve"> </w:t>
      </w:r>
      <w:r>
        <w:rPr>
          <w:sz w:val="24"/>
          <w:szCs w:val="24"/>
        </w:rPr>
        <w:t>24-2020）中的监测点位及布点方法，在</w:t>
      </w:r>
      <w:r>
        <w:rPr>
          <w:rFonts w:hint="eastAsia"/>
          <w:spacing w:val="-2"/>
          <w:sz w:val="24"/>
          <w:szCs w:val="24"/>
        </w:rPr>
        <w:t>以礼河电厂三级电站厂界四周、周边电磁环境敏感目标以及新建</w:t>
      </w:r>
      <w:r>
        <w:rPr>
          <w:rFonts w:hint="eastAsia"/>
          <w:spacing w:val="-3"/>
          <w:sz w:val="24"/>
          <w:szCs w:val="24"/>
        </w:rPr>
        <w:t>升压站站址中心</w:t>
      </w:r>
      <w:r>
        <w:rPr>
          <w:sz w:val="24"/>
          <w:szCs w:val="24"/>
        </w:rPr>
        <w:t>布设监测点位</w:t>
      </w:r>
      <w:r>
        <w:rPr>
          <w:rFonts w:hint="eastAsia"/>
          <w:sz w:val="24"/>
          <w:szCs w:val="24"/>
        </w:rPr>
        <w:t>，监测时间为2026年1月8日和</w:t>
      </w:r>
      <w:r>
        <w:rPr>
          <w:sz w:val="24"/>
          <w:szCs w:val="24"/>
        </w:rPr>
        <w:t>5</w:t>
      </w:r>
      <w:r>
        <w:rPr>
          <w:rFonts w:hint="eastAsia"/>
          <w:sz w:val="24"/>
          <w:szCs w:val="24"/>
        </w:rPr>
        <w:t>月2</w:t>
      </w:r>
      <w:r>
        <w:rPr>
          <w:sz w:val="24"/>
          <w:szCs w:val="24"/>
        </w:rPr>
        <w:t>1</w:t>
      </w:r>
      <w:r>
        <w:rPr>
          <w:rFonts w:hint="eastAsia"/>
          <w:sz w:val="24"/>
          <w:szCs w:val="24"/>
        </w:rPr>
        <w:t>日，工频电磁辐射测量仪LF-01D/SEM-600，检定/校准有效期为2026年9月24日，证书编号为25J02X009645，监测项目为工频电场、工频磁场</w:t>
      </w:r>
      <w:r>
        <w:rPr>
          <w:sz w:val="24"/>
          <w:szCs w:val="24"/>
        </w:rPr>
        <w:t>。</w:t>
      </w:r>
    </w:p>
    <w:p w14:paraId="3553B00C">
      <w:pPr>
        <w:pStyle w:val="5"/>
        <w:spacing w:before="0" w:after="0" w:line="360" w:lineRule="auto"/>
        <w:rPr>
          <w:rFonts w:eastAsia="黑体"/>
          <w:b w:val="0"/>
          <w:bCs w:val="0"/>
          <w:sz w:val="28"/>
          <w:szCs w:val="28"/>
        </w:rPr>
      </w:pPr>
      <w:bookmarkStart w:id="278" w:name="_Toc231571729"/>
      <w:bookmarkStart w:id="279" w:name="_Toc12544"/>
      <w:bookmarkStart w:id="280" w:name="_Toc2741"/>
      <w:bookmarkStart w:id="281" w:name="_Toc29606"/>
      <w:bookmarkStart w:id="282" w:name="_Toc233036209"/>
      <w:r>
        <w:rPr>
          <w:rFonts w:eastAsia="黑体"/>
          <w:b w:val="0"/>
          <w:bCs w:val="0"/>
          <w:sz w:val="28"/>
          <w:szCs w:val="28"/>
        </w:rPr>
        <w:t>2.2</w:t>
      </w:r>
      <w:r>
        <w:rPr>
          <w:rFonts w:hint="eastAsia" w:eastAsia="黑体"/>
          <w:b w:val="0"/>
          <w:bCs w:val="0"/>
          <w:sz w:val="28"/>
          <w:szCs w:val="28"/>
        </w:rPr>
        <w:t xml:space="preserve"> </w:t>
      </w:r>
      <w:r>
        <w:rPr>
          <w:rFonts w:eastAsia="黑体"/>
          <w:b w:val="0"/>
          <w:bCs w:val="0"/>
          <w:sz w:val="28"/>
          <w:szCs w:val="28"/>
        </w:rPr>
        <w:t>监测期间气象条件</w:t>
      </w:r>
      <w:bookmarkEnd w:id="278"/>
      <w:bookmarkEnd w:id="279"/>
      <w:bookmarkEnd w:id="280"/>
      <w:bookmarkEnd w:id="281"/>
      <w:bookmarkEnd w:id="282"/>
    </w:p>
    <w:p w14:paraId="16702D45">
      <w:pPr>
        <w:spacing w:line="360" w:lineRule="auto"/>
        <w:ind w:firstLine="480" w:firstLineChars="200"/>
        <w:rPr>
          <w:sz w:val="24"/>
          <w:szCs w:val="24"/>
        </w:rPr>
      </w:pPr>
      <w:r>
        <w:rPr>
          <w:sz w:val="24"/>
          <w:szCs w:val="24"/>
        </w:rPr>
        <w:t>监测点位气象条件见</w:t>
      </w:r>
      <w:r>
        <w:rPr>
          <w:rFonts w:hint="eastAsia"/>
          <w:sz w:val="24"/>
          <w:szCs w:val="24"/>
        </w:rPr>
        <w:t>下</w:t>
      </w:r>
      <w:r>
        <w:rPr>
          <w:sz w:val="24"/>
          <w:szCs w:val="24"/>
        </w:rPr>
        <w:t>表</w:t>
      </w:r>
      <w:r>
        <w:rPr>
          <w:rFonts w:hint="eastAsia"/>
          <w:sz w:val="24"/>
          <w:szCs w:val="24"/>
        </w:rPr>
        <w:t>2.2-1</w:t>
      </w:r>
      <w:r>
        <w:rPr>
          <w:sz w:val="24"/>
          <w:szCs w:val="24"/>
        </w:rPr>
        <w:t>。</w:t>
      </w:r>
    </w:p>
    <w:p w14:paraId="4C02918F">
      <w:pPr>
        <w:spacing w:line="360" w:lineRule="auto"/>
        <w:jc w:val="center"/>
        <w:rPr>
          <w:b/>
          <w:bCs/>
          <w:sz w:val="24"/>
          <w:szCs w:val="24"/>
        </w:rPr>
      </w:pPr>
      <w:r>
        <w:rPr>
          <w:b/>
          <w:bCs/>
          <w:sz w:val="24"/>
          <w:szCs w:val="24"/>
        </w:rPr>
        <w:t>表2</w:t>
      </w:r>
      <w:r>
        <w:rPr>
          <w:rFonts w:hint="eastAsia"/>
          <w:b/>
          <w:bCs/>
          <w:sz w:val="24"/>
          <w:szCs w:val="24"/>
        </w:rPr>
        <w:t>.2</w:t>
      </w:r>
      <w:r>
        <w:rPr>
          <w:b/>
          <w:bCs/>
          <w:sz w:val="24"/>
          <w:szCs w:val="24"/>
        </w:rPr>
        <w:t>-</w:t>
      </w:r>
      <w:r>
        <w:rPr>
          <w:rFonts w:hint="eastAsia"/>
          <w:b/>
          <w:bCs/>
          <w:sz w:val="24"/>
          <w:szCs w:val="24"/>
        </w:rPr>
        <w:t xml:space="preserve">1  </w:t>
      </w:r>
      <w:r>
        <w:rPr>
          <w:b/>
          <w:bCs/>
          <w:sz w:val="24"/>
          <w:szCs w:val="24"/>
        </w:rPr>
        <w:t>监测点位气象条件</w:t>
      </w:r>
    </w:p>
    <w:tbl>
      <w:tblPr>
        <w:tblStyle w:val="30"/>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95"/>
        <w:gridCol w:w="1842"/>
        <w:gridCol w:w="6238"/>
      </w:tblGrid>
      <w:tr w14:paraId="140B6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restart"/>
            <w:tcBorders>
              <w:top w:val="single" w:color="000000" w:sz="2" w:space="0"/>
              <w:left w:val="single" w:color="000000" w:sz="2" w:space="0"/>
              <w:right w:val="single" w:color="000000" w:sz="2" w:space="0"/>
            </w:tcBorders>
            <w:vAlign w:val="center"/>
          </w:tcPr>
          <w:p w14:paraId="6D19E1DC">
            <w:pPr>
              <w:pStyle w:val="14"/>
              <w:autoSpaceDN w:val="0"/>
              <w:ind w:firstLine="0"/>
              <w:jc w:val="center"/>
              <w:rPr>
                <w:rFonts w:hint="eastAsia" w:ascii="Times New Roman" w:hAnsi="Times New Roman"/>
                <w:bCs/>
                <w:color w:val="auto"/>
                <w:szCs w:val="24"/>
              </w:rPr>
            </w:pPr>
            <w:r>
              <w:rPr>
                <w:rFonts w:ascii="Times New Roman" w:hAnsi="Times New Roman"/>
                <w:bCs/>
                <w:color w:val="auto"/>
                <w:szCs w:val="24"/>
              </w:rPr>
              <w:t>环境条件</w:t>
            </w:r>
          </w:p>
        </w:tc>
        <w:tc>
          <w:tcPr>
            <w:tcW w:w="1015" w:type="pct"/>
            <w:tcBorders>
              <w:top w:val="single" w:color="000000" w:sz="2" w:space="0"/>
              <w:left w:val="single" w:color="000000" w:sz="2" w:space="0"/>
              <w:bottom w:val="single" w:color="000000" w:sz="2" w:space="0"/>
              <w:right w:val="single" w:color="auto" w:sz="4" w:space="0"/>
            </w:tcBorders>
            <w:vAlign w:val="center"/>
          </w:tcPr>
          <w:p w14:paraId="11D054C3">
            <w:pPr>
              <w:pStyle w:val="208"/>
              <w:autoSpaceDN w:val="0"/>
              <w:jc w:val="center"/>
              <w:rPr>
                <w:rFonts w:eastAsia="宋体"/>
                <w:sz w:val="21"/>
              </w:rPr>
            </w:pPr>
            <w:r>
              <w:rPr>
                <w:rFonts w:eastAsia="宋体"/>
                <w:sz w:val="21"/>
              </w:rPr>
              <w:t>监测日期</w:t>
            </w:r>
          </w:p>
        </w:tc>
        <w:tc>
          <w:tcPr>
            <w:tcW w:w="3437" w:type="pct"/>
            <w:tcBorders>
              <w:top w:val="single" w:color="000000" w:sz="2" w:space="0"/>
              <w:left w:val="single" w:color="auto" w:sz="4" w:space="0"/>
              <w:bottom w:val="single" w:color="000000" w:sz="2" w:space="0"/>
              <w:right w:val="single" w:color="000000" w:sz="2" w:space="0"/>
            </w:tcBorders>
            <w:vAlign w:val="center"/>
          </w:tcPr>
          <w:p w14:paraId="0D749BBD">
            <w:pPr>
              <w:pStyle w:val="208"/>
              <w:autoSpaceDN w:val="0"/>
              <w:rPr>
                <w:rFonts w:eastAsia="宋体"/>
                <w:sz w:val="21"/>
                <w:lang w:eastAsia="zh-CN"/>
              </w:rPr>
            </w:pPr>
            <w:r>
              <w:rPr>
                <w:rFonts w:hint="eastAsia" w:eastAsia="宋体"/>
                <w:sz w:val="21"/>
                <w:lang w:eastAsia="zh-CN"/>
              </w:rPr>
              <w:t>2026年1月8日</w:t>
            </w:r>
          </w:p>
        </w:tc>
      </w:tr>
      <w:tr w14:paraId="296C8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continue"/>
            <w:tcBorders>
              <w:left w:val="single" w:color="000000" w:sz="2" w:space="0"/>
              <w:right w:val="single" w:color="000000" w:sz="2" w:space="0"/>
            </w:tcBorders>
            <w:vAlign w:val="center"/>
          </w:tcPr>
          <w:p w14:paraId="599E496E">
            <w:pPr>
              <w:pStyle w:val="14"/>
              <w:autoSpaceDN w:val="0"/>
              <w:jc w:val="center"/>
              <w:rPr>
                <w:rFonts w:ascii="Times New Roman" w:hAnsi="Times New Roman"/>
                <w:bCs/>
                <w:color w:val="auto"/>
                <w:szCs w:val="24"/>
              </w:rPr>
            </w:pPr>
          </w:p>
        </w:tc>
        <w:tc>
          <w:tcPr>
            <w:tcW w:w="1015" w:type="pct"/>
            <w:tcBorders>
              <w:top w:val="single" w:color="000000" w:sz="2" w:space="0"/>
              <w:left w:val="single" w:color="000000" w:sz="2" w:space="0"/>
              <w:bottom w:val="single" w:color="000000" w:sz="2" w:space="0"/>
              <w:right w:val="single" w:color="auto" w:sz="4" w:space="0"/>
            </w:tcBorders>
            <w:vAlign w:val="center"/>
          </w:tcPr>
          <w:p w14:paraId="485E0244">
            <w:pPr>
              <w:pStyle w:val="208"/>
              <w:autoSpaceDN w:val="0"/>
              <w:jc w:val="center"/>
              <w:rPr>
                <w:rFonts w:eastAsia="宋体"/>
                <w:sz w:val="21"/>
              </w:rPr>
            </w:pPr>
            <w:r>
              <w:rPr>
                <w:rFonts w:eastAsia="宋体"/>
                <w:sz w:val="21"/>
              </w:rPr>
              <w:t>天气</w:t>
            </w:r>
          </w:p>
        </w:tc>
        <w:tc>
          <w:tcPr>
            <w:tcW w:w="3437" w:type="pct"/>
            <w:tcBorders>
              <w:top w:val="single" w:color="000000" w:sz="2" w:space="0"/>
              <w:left w:val="single" w:color="auto" w:sz="4" w:space="0"/>
              <w:bottom w:val="single" w:color="000000" w:sz="2" w:space="0"/>
              <w:right w:val="single" w:color="000000" w:sz="2" w:space="0"/>
            </w:tcBorders>
            <w:vAlign w:val="center"/>
          </w:tcPr>
          <w:p w14:paraId="2E4D96C1">
            <w:pPr>
              <w:pStyle w:val="208"/>
              <w:autoSpaceDN w:val="0"/>
              <w:rPr>
                <w:rFonts w:eastAsia="宋体"/>
                <w:sz w:val="21"/>
                <w:lang w:eastAsia="zh-CN"/>
              </w:rPr>
            </w:pPr>
            <w:r>
              <w:rPr>
                <w:rFonts w:hint="eastAsia" w:eastAsia="宋体"/>
                <w:sz w:val="21"/>
                <w:lang w:eastAsia="zh-CN"/>
              </w:rPr>
              <w:t>阴</w:t>
            </w:r>
          </w:p>
        </w:tc>
      </w:tr>
      <w:tr w14:paraId="72012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continue"/>
            <w:tcBorders>
              <w:left w:val="single" w:color="000000" w:sz="2" w:space="0"/>
              <w:right w:val="single" w:color="000000" w:sz="2" w:space="0"/>
            </w:tcBorders>
            <w:vAlign w:val="center"/>
          </w:tcPr>
          <w:p w14:paraId="7C736168">
            <w:pPr>
              <w:pStyle w:val="14"/>
              <w:autoSpaceDN w:val="0"/>
              <w:jc w:val="center"/>
              <w:rPr>
                <w:rFonts w:ascii="Times New Roman" w:hAnsi="Times New Roman"/>
                <w:bCs/>
                <w:color w:val="auto"/>
                <w:szCs w:val="24"/>
              </w:rPr>
            </w:pPr>
          </w:p>
        </w:tc>
        <w:tc>
          <w:tcPr>
            <w:tcW w:w="1015" w:type="pct"/>
            <w:tcBorders>
              <w:top w:val="single" w:color="000000" w:sz="2" w:space="0"/>
              <w:left w:val="single" w:color="000000" w:sz="2" w:space="0"/>
              <w:bottom w:val="single" w:color="000000" w:sz="2" w:space="0"/>
              <w:right w:val="single" w:color="auto" w:sz="4" w:space="0"/>
            </w:tcBorders>
            <w:vAlign w:val="center"/>
          </w:tcPr>
          <w:p w14:paraId="1BD71C22">
            <w:pPr>
              <w:pStyle w:val="208"/>
              <w:autoSpaceDN w:val="0"/>
              <w:jc w:val="center"/>
              <w:rPr>
                <w:rFonts w:eastAsia="宋体"/>
                <w:sz w:val="21"/>
              </w:rPr>
            </w:pPr>
            <w:r>
              <w:rPr>
                <w:rFonts w:eastAsia="宋体"/>
                <w:sz w:val="21"/>
              </w:rPr>
              <w:t>风速</w:t>
            </w:r>
          </w:p>
        </w:tc>
        <w:tc>
          <w:tcPr>
            <w:tcW w:w="3437" w:type="pct"/>
            <w:tcBorders>
              <w:top w:val="single" w:color="000000" w:sz="2" w:space="0"/>
              <w:left w:val="single" w:color="auto" w:sz="4" w:space="0"/>
              <w:bottom w:val="single" w:color="000000" w:sz="2" w:space="0"/>
              <w:right w:val="single" w:color="000000" w:sz="2" w:space="0"/>
            </w:tcBorders>
            <w:vAlign w:val="center"/>
          </w:tcPr>
          <w:p w14:paraId="2C1017FD">
            <w:pPr>
              <w:pStyle w:val="208"/>
              <w:rPr>
                <w:rFonts w:eastAsia="宋体"/>
                <w:sz w:val="21"/>
                <w:lang w:eastAsia="zh-CN"/>
              </w:rPr>
            </w:pPr>
            <w:r>
              <w:rPr>
                <w:rFonts w:hint="eastAsia" w:eastAsia="宋体"/>
                <w:sz w:val="21"/>
                <w:lang w:eastAsia="zh-CN"/>
              </w:rPr>
              <w:t>0.1-1.7</w:t>
            </w:r>
            <w:r>
              <w:rPr>
                <w:rFonts w:eastAsia="宋体"/>
                <w:sz w:val="21"/>
                <w:lang w:eastAsia="zh-CN"/>
              </w:rPr>
              <w:t>m/s</w:t>
            </w:r>
          </w:p>
        </w:tc>
      </w:tr>
      <w:tr w14:paraId="6BCEF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continue"/>
            <w:tcBorders>
              <w:left w:val="single" w:color="000000" w:sz="2" w:space="0"/>
              <w:right w:val="single" w:color="000000" w:sz="2" w:space="0"/>
            </w:tcBorders>
            <w:vAlign w:val="center"/>
          </w:tcPr>
          <w:p w14:paraId="0EB3A728">
            <w:pPr>
              <w:pStyle w:val="14"/>
              <w:autoSpaceDN w:val="0"/>
              <w:jc w:val="center"/>
              <w:rPr>
                <w:rFonts w:ascii="Times New Roman" w:hAnsi="Times New Roman"/>
                <w:bCs/>
                <w:color w:val="auto"/>
                <w:szCs w:val="24"/>
              </w:rPr>
            </w:pPr>
          </w:p>
        </w:tc>
        <w:tc>
          <w:tcPr>
            <w:tcW w:w="1015" w:type="pct"/>
            <w:tcBorders>
              <w:top w:val="single" w:color="000000" w:sz="2" w:space="0"/>
              <w:left w:val="single" w:color="000000" w:sz="2" w:space="0"/>
              <w:bottom w:val="single" w:color="000000" w:sz="2" w:space="0"/>
              <w:right w:val="single" w:color="auto" w:sz="4" w:space="0"/>
            </w:tcBorders>
            <w:vAlign w:val="center"/>
          </w:tcPr>
          <w:p w14:paraId="1276EFA5">
            <w:pPr>
              <w:pStyle w:val="208"/>
              <w:autoSpaceDN w:val="0"/>
              <w:jc w:val="center"/>
              <w:rPr>
                <w:rFonts w:eastAsia="宋体"/>
                <w:sz w:val="21"/>
              </w:rPr>
            </w:pPr>
            <w:r>
              <w:rPr>
                <w:rFonts w:eastAsia="宋体"/>
                <w:sz w:val="21"/>
              </w:rPr>
              <w:t>风向</w:t>
            </w:r>
          </w:p>
        </w:tc>
        <w:tc>
          <w:tcPr>
            <w:tcW w:w="3437" w:type="pct"/>
            <w:tcBorders>
              <w:top w:val="single" w:color="000000" w:sz="2" w:space="0"/>
              <w:left w:val="single" w:color="auto" w:sz="4" w:space="0"/>
              <w:bottom w:val="single" w:color="000000" w:sz="2" w:space="0"/>
              <w:right w:val="single" w:color="000000" w:sz="2" w:space="0"/>
            </w:tcBorders>
            <w:vAlign w:val="center"/>
          </w:tcPr>
          <w:p w14:paraId="24FCCF7D">
            <w:pPr>
              <w:pStyle w:val="208"/>
              <w:autoSpaceDN w:val="0"/>
              <w:rPr>
                <w:rFonts w:eastAsia="宋体"/>
                <w:sz w:val="21"/>
                <w:lang w:eastAsia="zh-CN"/>
              </w:rPr>
            </w:pPr>
            <w:r>
              <w:rPr>
                <w:rFonts w:hint="eastAsia" w:eastAsia="宋体"/>
                <w:sz w:val="21"/>
                <w:lang w:eastAsia="zh-CN"/>
              </w:rPr>
              <w:t>东北风</w:t>
            </w:r>
          </w:p>
        </w:tc>
      </w:tr>
      <w:tr w14:paraId="193AB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continue"/>
            <w:tcBorders>
              <w:left w:val="single" w:color="000000" w:sz="2" w:space="0"/>
              <w:right w:val="single" w:color="000000" w:sz="2" w:space="0"/>
            </w:tcBorders>
            <w:vAlign w:val="center"/>
          </w:tcPr>
          <w:p w14:paraId="233E599F">
            <w:pPr>
              <w:pStyle w:val="14"/>
              <w:autoSpaceDN w:val="0"/>
              <w:jc w:val="center"/>
              <w:rPr>
                <w:rFonts w:ascii="Times New Roman" w:hAnsi="Times New Roman"/>
                <w:bCs/>
                <w:color w:val="auto"/>
                <w:szCs w:val="24"/>
              </w:rPr>
            </w:pPr>
          </w:p>
        </w:tc>
        <w:tc>
          <w:tcPr>
            <w:tcW w:w="1015" w:type="pct"/>
            <w:tcBorders>
              <w:top w:val="single" w:color="000000" w:sz="2" w:space="0"/>
              <w:left w:val="single" w:color="000000" w:sz="2" w:space="0"/>
              <w:bottom w:val="single" w:color="000000" w:sz="2" w:space="0"/>
              <w:right w:val="single" w:color="auto" w:sz="4" w:space="0"/>
            </w:tcBorders>
            <w:vAlign w:val="center"/>
          </w:tcPr>
          <w:p w14:paraId="0E6971CA">
            <w:pPr>
              <w:pStyle w:val="208"/>
              <w:autoSpaceDN w:val="0"/>
              <w:jc w:val="center"/>
              <w:rPr>
                <w:rFonts w:eastAsia="宋体"/>
                <w:sz w:val="21"/>
              </w:rPr>
            </w:pPr>
            <w:r>
              <w:rPr>
                <w:rFonts w:eastAsia="宋体"/>
                <w:sz w:val="21"/>
              </w:rPr>
              <w:t>温湿度</w:t>
            </w:r>
          </w:p>
        </w:tc>
        <w:tc>
          <w:tcPr>
            <w:tcW w:w="3437" w:type="pct"/>
            <w:tcBorders>
              <w:top w:val="single" w:color="000000" w:sz="2" w:space="0"/>
              <w:left w:val="single" w:color="auto" w:sz="4" w:space="0"/>
              <w:bottom w:val="single" w:color="000000" w:sz="2" w:space="0"/>
              <w:right w:val="single" w:color="000000" w:sz="2" w:space="0"/>
            </w:tcBorders>
            <w:vAlign w:val="center"/>
          </w:tcPr>
          <w:p w14:paraId="3E2F041F">
            <w:pPr>
              <w:pStyle w:val="208"/>
              <w:autoSpaceDN w:val="0"/>
              <w:rPr>
                <w:rFonts w:eastAsia="宋体"/>
                <w:sz w:val="21"/>
                <w:lang w:eastAsia="zh-CN"/>
              </w:rPr>
            </w:pPr>
            <w:r>
              <w:rPr>
                <w:rFonts w:eastAsia="宋体"/>
                <w:sz w:val="21"/>
                <w:lang w:eastAsia="zh-CN"/>
              </w:rPr>
              <w:t>环境温度</w:t>
            </w:r>
            <w:r>
              <w:rPr>
                <w:rFonts w:hint="eastAsia" w:eastAsia="宋体"/>
                <w:sz w:val="21"/>
                <w:lang w:eastAsia="zh-CN"/>
              </w:rPr>
              <w:t>：0.1-11.4</w:t>
            </w:r>
            <w:r>
              <w:rPr>
                <w:rFonts w:eastAsia="宋体"/>
                <w:sz w:val="21"/>
                <w:lang w:eastAsia="zh-CN"/>
              </w:rPr>
              <w:t>℃</w:t>
            </w:r>
            <w:r>
              <w:rPr>
                <w:rFonts w:hint="eastAsia" w:eastAsia="宋体"/>
                <w:sz w:val="21"/>
                <w:lang w:eastAsia="zh-CN"/>
              </w:rPr>
              <w:t>，</w:t>
            </w:r>
            <w:r>
              <w:rPr>
                <w:rFonts w:eastAsia="宋体"/>
                <w:sz w:val="21"/>
                <w:lang w:eastAsia="zh-CN"/>
              </w:rPr>
              <w:t>相对湿度</w:t>
            </w:r>
            <w:r>
              <w:rPr>
                <w:rFonts w:hint="eastAsia" w:eastAsia="宋体"/>
                <w:sz w:val="21"/>
                <w:lang w:eastAsia="zh-CN"/>
              </w:rPr>
              <w:t>：41.3%-56.1%</w:t>
            </w:r>
            <w:r>
              <w:rPr>
                <w:rFonts w:eastAsia="宋体"/>
                <w:sz w:val="21"/>
                <w:lang w:eastAsia="zh-CN"/>
              </w:rPr>
              <w:t>RH</w:t>
            </w:r>
          </w:p>
        </w:tc>
      </w:tr>
      <w:tr w14:paraId="0152A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continue"/>
            <w:tcBorders>
              <w:left w:val="single" w:color="000000" w:sz="2" w:space="0"/>
              <w:right w:val="single" w:color="000000" w:sz="2" w:space="0"/>
            </w:tcBorders>
            <w:vAlign w:val="center"/>
          </w:tcPr>
          <w:p w14:paraId="508C3E3A">
            <w:pPr>
              <w:pStyle w:val="14"/>
              <w:autoSpaceDN w:val="0"/>
              <w:jc w:val="center"/>
              <w:rPr>
                <w:rFonts w:ascii="Times New Roman" w:hAnsi="Times New Roman"/>
                <w:bCs/>
                <w:color w:val="auto"/>
                <w:szCs w:val="24"/>
              </w:rPr>
            </w:pPr>
          </w:p>
        </w:tc>
        <w:tc>
          <w:tcPr>
            <w:tcW w:w="1015" w:type="pct"/>
            <w:tcBorders>
              <w:top w:val="single" w:color="000000" w:sz="2" w:space="0"/>
              <w:left w:val="single" w:color="000000" w:sz="2" w:space="0"/>
              <w:bottom w:val="single" w:color="000000" w:sz="2" w:space="0"/>
              <w:right w:val="single" w:color="auto" w:sz="4" w:space="0"/>
            </w:tcBorders>
            <w:vAlign w:val="center"/>
          </w:tcPr>
          <w:p w14:paraId="5B080D38">
            <w:pPr>
              <w:pStyle w:val="208"/>
              <w:autoSpaceDN w:val="0"/>
              <w:jc w:val="center"/>
              <w:rPr>
                <w:rFonts w:eastAsia="宋体"/>
                <w:sz w:val="21"/>
              </w:rPr>
            </w:pPr>
            <w:r>
              <w:rPr>
                <w:rFonts w:hint="eastAsia" w:eastAsia="宋体"/>
                <w:sz w:val="21"/>
              </w:rPr>
              <w:t>大气压</w:t>
            </w:r>
          </w:p>
        </w:tc>
        <w:tc>
          <w:tcPr>
            <w:tcW w:w="3437" w:type="pct"/>
            <w:tcBorders>
              <w:top w:val="single" w:color="000000" w:sz="2" w:space="0"/>
              <w:left w:val="single" w:color="auto" w:sz="4" w:space="0"/>
              <w:bottom w:val="single" w:color="000000" w:sz="2" w:space="0"/>
              <w:right w:val="single" w:color="000000" w:sz="2" w:space="0"/>
            </w:tcBorders>
            <w:vAlign w:val="center"/>
          </w:tcPr>
          <w:p w14:paraId="348824AA">
            <w:pPr>
              <w:pStyle w:val="208"/>
              <w:autoSpaceDN w:val="0"/>
              <w:rPr>
                <w:rFonts w:eastAsia="宋体"/>
                <w:sz w:val="21"/>
                <w:lang w:eastAsia="zh-CN"/>
              </w:rPr>
            </w:pPr>
            <w:r>
              <w:rPr>
                <w:rFonts w:hint="eastAsia" w:eastAsia="宋体"/>
                <w:sz w:val="21"/>
                <w:lang w:eastAsia="zh-CN"/>
              </w:rPr>
              <w:t>83.0-85.8kPa</w:t>
            </w:r>
          </w:p>
        </w:tc>
      </w:tr>
      <w:tr w14:paraId="7D514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continue"/>
            <w:tcBorders>
              <w:left w:val="single" w:color="000000" w:sz="2" w:space="0"/>
              <w:right w:val="single" w:color="000000" w:sz="2" w:space="0"/>
            </w:tcBorders>
            <w:vAlign w:val="center"/>
          </w:tcPr>
          <w:p w14:paraId="0DA10133">
            <w:pPr>
              <w:pStyle w:val="14"/>
              <w:autoSpaceDN w:val="0"/>
              <w:ind w:firstLine="0"/>
              <w:jc w:val="center"/>
              <w:rPr>
                <w:rFonts w:ascii="Times New Roman" w:hAnsi="Times New Roman"/>
                <w:bCs/>
                <w:color w:val="auto"/>
                <w:szCs w:val="24"/>
              </w:rPr>
            </w:pPr>
          </w:p>
        </w:tc>
        <w:tc>
          <w:tcPr>
            <w:tcW w:w="1015" w:type="pct"/>
            <w:tcBorders>
              <w:left w:val="single" w:color="000000" w:sz="2" w:space="0"/>
              <w:right w:val="single" w:color="auto" w:sz="4" w:space="0"/>
            </w:tcBorders>
            <w:vAlign w:val="center"/>
          </w:tcPr>
          <w:p w14:paraId="5811D49E">
            <w:pPr>
              <w:pStyle w:val="208"/>
              <w:autoSpaceDN w:val="0"/>
              <w:jc w:val="center"/>
              <w:rPr>
                <w:rFonts w:eastAsia="宋体"/>
                <w:sz w:val="21"/>
              </w:rPr>
            </w:pPr>
            <w:r>
              <w:rPr>
                <w:rFonts w:eastAsia="宋体"/>
                <w:sz w:val="21"/>
              </w:rPr>
              <w:t>监测日期</w:t>
            </w:r>
          </w:p>
        </w:tc>
        <w:tc>
          <w:tcPr>
            <w:tcW w:w="3437" w:type="pct"/>
            <w:tcBorders>
              <w:left w:val="single" w:color="auto" w:sz="4" w:space="0"/>
            </w:tcBorders>
            <w:vAlign w:val="center"/>
          </w:tcPr>
          <w:p w14:paraId="216499C5">
            <w:pPr>
              <w:pStyle w:val="208"/>
              <w:autoSpaceDN w:val="0"/>
              <w:rPr>
                <w:rFonts w:eastAsia="宋体"/>
                <w:sz w:val="21"/>
                <w:lang w:eastAsia="zh-CN"/>
              </w:rPr>
            </w:pPr>
            <w:bookmarkStart w:id="283" w:name="OLE_LINK1"/>
            <w:bookmarkStart w:id="284" w:name="OLE_LINK2"/>
            <w:r>
              <w:rPr>
                <w:rFonts w:hint="eastAsia" w:eastAsia="宋体"/>
                <w:sz w:val="21"/>
                <w:lang w:eastAsia="zh-CN"/>
              </w:rPr>
              <w:t>2026年5月2</w:t>
            </w:r>
            <w:r>
              <w:rPr>
                <w:rFonts w:eastAsia="宋体"/>
                <w:sz w:val="21"/>
                <w:lang w:eastAsia="zh-CN"/>
              </w:rPr>
              <w:t>1</w:t>
            </w:r>
            <w:r>
              <w:rPr>
                <w:rFonts w:hint="eastAsia" w:eastAsia="宋体"/>
                <w:sz w:val="21"/>
                <w:lang w:eastAsia="zh-CN"/>
              </w:rPr>
              <w:t>日</w:t>
            </w:r>
            <w:bookmarkEnd w:id="283"/>
            <w:bookmarkEnd w:id="284"/>
          </w:p>
        </w:tc>
      </w:tr>
      <w:tr w14:paraId="6DA6B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continue"/>
            <w:tcBorders>
              <w:left w:val="single" w:color="000000" w:sz="2" w:space="0"/>
              <w:right w:val="single" w:color="000000" w:sz="2" w:space="0"/>
            </w:tcBorders>
            <w:vAlign w:val="center"/>
          </w:tcPr>
          <w:p w14:paraId="22567BE0">
            <w:pPr>
              <w:pStyle w:val="14"/>
              <w:autoSpaceDN w:val="0"/>
              <w:ind w:firstLine="0"/>
              <w:jc w:val="center"/>
              <w:rPr>
                <w:rFonts w:ascii="Times New Roman" w:hAnsi="Times New Roman"/>
                <w:bCs/>
                <w:color w:val="auto"/>
                <w:szCs w:val="24"/>
              </w:rPr>
            </w:pPr>
          </w:p>
        </w:tc>
        <w:tc>
          <w:tcPr>
            <w:tcW w:w="1015" w:type="pct"/>
            <w:tcBorders>
              <w:left w:val="single" w:color="000000" w:sz="2" w:space="0"/>
              <w:right w:val="single" w:color="auto" w:sz="4" w:space="0"/>
            </w:tcBorders>
            <w:vAlign w:val="center"/>
          </w:tcPr>
          <w:p w14:paraId="42CF9DEE">
            <w:pPr>
              <w:pStyle w:val="208"/>
              <w:autoSpaceDN w:val="0"/>
              <w:jc w:val="center"/>
              <w:rPr>
                <w:rFonts w:eastAsia="宋体"/>
                <w:sz w:val="21"/>
              </w:rPr>
            </w:pPr>
            <w:r>
              <w:rPr>
                <w:rFonts w:eastAsia="宋体"/>
                <w:sz w:val="21"/>
              </w:rPr>
              <w:t>天气</w:t>
            </w:r>
          </w:p>
        </w:tc>
        <w:tc>
          <w:tcPr>
            <w:tcW w:w="3437" w:type="pct"/>
            <w:tcBorders>
              <w:left w:val="single" w:color="auto" w:sz="4" w:space="0"/>
            </w:tcBorders>
            <w:vAlign w:val="center"/>
          </w:tcPr>
          <w:p w14:paraId="55F15BE1">
            <w:pPr>
              <w:pStyle w:val="208"/>
              <w:autoSpaceDN w:val="0"/>
              <w:rPr>
                <w:rFonts w:eastAsia="宋体"/>
                <w:color w:val="000000"/>
                <w:sz w:val="21"/>
                <w:lang w:eastAsia="zh-CN"/>
              </w:rPr>
            </w:pPr>
            <w:r>
              <w:rPr>
                <w:rFonts w:hint="eastAsia" w:eastAsia="宋体"/>
                <w:color w:val="000000"/>
                <w:sz w:val="21"/>
                <w:lang w:eastAsia="zh-CN"/>
              </w:rPr>
              <w:t>晴</w:t>
            </w:r>
          </w:p>
        </w:tc>
      </w:tr>
      <w:tr w14:paraId="7740A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continue"/>
            <w:tcBorders>
              <w:left w:val="single" w:color="000000" w:sz="2" w:space="0"/>
              <w:right w:val="single" w:color="000000" w:sz="2" w:space="0"/>
            </w:tcBorders>
            <w:vAlign w:val="center"/>
          </w:tcPr>
          <w:p w14:paraId="16650CBB">
            <w:pPr>
              <w:pStyle w:val="14"/>
              <w:autoSpaceDN w:val="0"/>
              <w:ind w:firstLine="0"/>
              <w:jc w:val="center"/>
              <w:rPr>
                <w:rFonts w:ascii="Times New Roman" w:hAnsi="Times New Roman"/>
                <w:bCs/>
                <w:color w:val="auto"/>
                <w:szCs w:val="24"/>
              </w:rPr>
            </w:pPr>
          </w:p>
        </w:tc>
        <w:tc>
          <w:tcPr>
            <w:tcW w:w="1015" w:type="pct"/>
            <w:tcBorders>
              <w:left w:val="single" w:color="000000" w:sz="2" w:space="0"/>
              <w:right w:val="single" w:color="auto" w:sz="4" w:space="0"/>
            </w:tcBorders>
            <w:vAlign w:val="center"/>
          </w:tcPr>
          <w:p w14:paraId="7A3E77A8">
            <w:pPr>
              <w:pStyle w:val="208"/>
              <w:autoSpaceDN w:val="0"/>
              <w:jc w:val="center"/>
              <w:rPr>
                <w:rFonts w:eastAsia="宋体"/>
                <w:sz w:val="21"/>
                <w:lang w:eastAsia="zh-CN"/>
              </w:rPr>
            </w:pPr>
            <w:r>
              <w:rPr>
                <w:rFonts w:eastAsia="宋体"/>
                <w:sz w:val="21"/>
                <w:lang w:eastAsia="zh-CN"/>
              </w:rPr>
              <w:t>风速</w:t>
            </w:r>
          </w:p>
        </w:tc>
        <w:tc>
          <w:tcPr>
            <w:tcW w:w="3437" w:type="pct"/>
            <w:tcBorders>
              <w:left w:val="single" w:color="auto" w:sz="4" w:space="0"/>
            </w:tcBorders>
            <w:vAlign w:val="center"/>
          </w:tcPr>
          <w:p w14:paraId="4473A9F0">
            <w:pPr>
              <w:pStyle w:val="208"/>
              <w:autoSpaceDN w:val="0"/>
              <w:rPr>
                <w:rFonts w:eastAsia="宋体"/>
                <w:color w:val="000000"/>
                <w:sz w:val="21"/>
                <w:lang w:eastAsia="zh-CN"/>
              </w:rPr>
            </w:pPr>
            <w:r>
              <w:rPr>
                <w:rFonts w:hint="eastAsia" w:eastAsia="宋体"/>
                <w:color w:val="000000"/>
                <w:sz w:val="21"/>
                <w:lang w:eastAsia="zh-CN"/>
              </w:rPr>
              <w:t>0.</w:t>
            </w:r>
            <w:r>
              <w:rPr>
                <w:rFonts w:eastAsia="宋体"/>
                <w:color w:val="000000"/>
                <w:sz w:val="21"/>
                <w:lang w:eastAsia="zh-CN"/>
              </w:rPr>
              <w:t>6-2</w:t>
            </w:r>
            <w:r>
              <w:rPr>
                <w:rFonts w:hint="eastAsia" w:eastAsia="宋体"/>
                <w:color w:val="000000"/>
                <w:sz w:val="21"/>
                <w:lang w:eastAsia="zh-CN"/>
              </w:rPr>
              <w:t>.7</w:t>
            </w:r>
            <w:r>
              <w:rPr>
                <w:rFonts w:eastAsia="宋体"/>
                <w:color w:val="000000"/>
                <w:sz w:val="21"/>
                <w:lang w:eastAsia="zh-CN"/>
              </w:rPr>
              <w:t>m/s</w:t>
            </w:r>
          </w:p>
        </w:tc>
      </w:tr>
      <w:tr w14:paraId="3BC7B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continue"/>
            <w:tcBorders>
              <w:left w:val="single" w:color="000000" w:sz="2" w:space="0"/>
              <w:right w:val="single" w:color="000000" w:sz="2" w:space="0"/>
            </w:tcBorders>
            <w:vAlign w:val="center"/>
          </w:tcPr>
          <w:p w14:paraId="379D9FF3">
            <w:pPr>
              <w:pStyle w:val="14"/>
              <w:autoSpaceDN w:val="0"/>
              <w:ind w:firstLine="0"/>
              <w:jc w:val="center"/>
              <w:rPr>
                <w:rFonts w:ascii="Times New Roman" w:hAnsi="Times New Roman"/>
                <w:bCs/>
                <w:color w:val="auto"/>
                <w:szCs w:val="24"/>
              </w:rPr>
            </w:pPr>
          </w:p>
        </w:tc>
        <w:tc>
          <w:tcPr>
            <w:tcW w:w="1015" w:type="pct"/>
            <w:tcBorders>
              <w:left w:val="single" w:color="000000" w:sz="2" w:space="0"/>
              <w:right w:val="single" w:color="auto" w:sz="4" w:space="0"/>
            </w:tcBorders>
            <w:vAlign w:val="center"/>
          </w:tcPr>
          <w:p w14:paraId="62D8323A">
            <w:pPr>
              <w:pStyle w:val="208"/>
              <w:autoSpaceDN w:val="0"/>
              <w:jc w:val="center"/>
              <w:rPr>
                <w:rFonts w:eastAsia="宋体"/>
                <w:sz w:val="21"/>
                <w:lang w:eastAsia="zh-CN"/>
              </w:rPr>
            </w:pPr>
            <w:r>
              <w:rPr>
                <w:rFonts w:eastAsia="宋体"/>
                <w:sz w:val="21"/>
                <w:lang w:eastAsia="zh-CN"/>
              </w:rPr>
              <w:t>风向</w:t>
            </w:r>
          </w:p>
        </w:tc>
        <w:tc>
          <w:tcPr>
            <w:tcW w:w="3437" w:type="pct"/>
            <w:tcBorders>
              <w:left w:val="single" w:color="auto" w:sz="4" w:space="0"/>
            </w:tcBorders>
            <w:vAlign w:val="center"/>
          </w:tcPr>
          <w:p w14:paraId="2FE5DA7B">
            <w:pPr>
              <w:pStyle w:val="208"/>
              <w:autoSpaceDN w:val="0"/>
              <w:rPr>
                <w:rFonts w:hint="eastAsia" w:eastAsia="宋体"/>
                <w:color w:val="000000"/>
                <w:sz w:val="21"/>
                <w:lang w:eastAsia="zh-CN"/>
              </w:rPr>
            </w:pPr>
            <w:r>
              <w:rPr>
                <w:rFonts w:hint="eastAsia" w:eastAsia="宋体"/>
                <w:color w:val="000000"/>
                <w:sz w:val="21"/>
                <w:lang w:eastAsia="zh-CN"/>
              </w:rPr>
              <w:t>西南风、西风</w:t>
            </w:r>
          </w:p>
        </w:tc>
      </w:tr>
      <w:tr w14:paraId="4506B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continue"/>
            <w:tcBorders>
              <w:left w:val="single" w:color="000000" w:sz="2" w:space="0"/>
              <w:right w:val="single" w:color="000000" w:sz="2" w:space="0"/>
            </w:tcBorders>
            <w:vAlign w:val="center"/>
          </w:tcPr>
          <w:p w14:paraId="67852694">
            <w:pPr>
              <w:pStyle w:val="14"/>
              <w:autoSpaceDN w:val="0"/>
              <w:ind w:firstLine="0"/>
              <w:jc w:val="center"/>
              <w:rPr>
                <w:rFonts w:ascii="Times New Roman" w:hAnsi="Times New Roman"/>
                <w:bCs/>
                <w:color w:val="auto"/>
                <w:szCs w:val="24"/>
              </w:rPr>
            </w:pPr>
          </w:p>
        </w:tc>
        <w:tc>
          <w:tcPr>
            <w:tcW w:w="1015" w:type="pct"/>
            <w:tcBorders>
              <w:left w:val="single" w:color="000000" w:sz="2" w:space="0"/>
              <w:right w:val="single" w:color="auto" w:sz="4" w:space="0"/>
            </w:tcBorders>
            <w:vAlign w:val="center"/>
          </w:tcPr>
          <w:p w14:paraId="7F2EC59C">
            <w:pPr>
              <w:pStyle w:val="208"/>
              <w:autoSpaceDN w:val="0"/>
              <w:jc w:val="center"/>
              <w:rPr>
                <w:rFonts w:eastAsia="宋体"/>
                <w:sz w:val="21"/>
                <w:lang w:eastAsia="zh-CN"/>
              </w:rPr>
            </w:pPr>
            <w:r>
              <w:rPr>
                <w:rFonts w:eastAsia="宋体"/>
                <w:sz w:val="21"/>
                <w:lang w:eastAsia="zh-CN"/>
              </w:rPr>
              <w:t>温湿度</w:t>
            </w:r>
          </w:p>
        </w:tc>
        <w:tc>
          <w:tcPr>
            <w:tcW w:w="3437" w:type="pct"/>
            <w:tcBorders>
              <w:left w:val="single" w:color="auto" w:sz="4" w:space="0"/>
            </w:tcBorders>
            <w:vAlign w:val="center"/>
          </w:tcPr>
          <w:p w14:paraId="0A327516">
            <w:pPr>
              <w:pStyle w:val="208"/>
              <w:autoSpaceDN w:val="0"/>
              <w:rPr>
                <w:rFonts w:eastAsia="宋体"/>
                <w:color w:val="000000"/>
                <w:sz w:val="21"/>
                <w:lang w:eastAsia="zh-CN"/>
              </w:rPr>
            </w:pPr>
            <w:r>
              <w:rPr>
                <w:rFonts w:eastAsia="宋体"/>
                <w:color w:val="000000"/>
                <w:sz w:val="21"/>
                <w:lang w:eastAsia="zh-CN"/>
              </w:rPr>
              <w:t>环境温度</w:t>
            </w:r>
            <w:r>
              <w:rPr>
                <w:rFonts w:hint="eastAsia" w:eastAsia="宋体"/>
                <w:color w:val="000000"/>
                <w:sz w:val="21"/>
                <w:lang w:eastAsia="zh-CN"/>
              </w:rPr>
              <w:t>：1</w:t>
            </w:r>
            <w:r>
              <w:rPr>
                <w:rFonts w:eastAsia="宋体"/>
                <w:color w:val="000000"/>
                <w:sz w:val="21"/>
                <w:lang w:eastAsia="zh-CN"/>
              </w:rPr>
              <w:t>7.8</w:t>
            </w:r>
            <w:r>
              <w:rPr>
                <w:rFonts w:hint="eastAsia" w:eastAsia="宋体"/>
                <w:color w:val="000000"/>
                <w:sz w:val="21"/>
                <w:lang w:eastAsia="zh-CN"/>
              </w:rPr>
              <w:t>-</w:t>
            </w:r>
            <w:r>
              <w:rPr>
                <w:rFonts w:eastAsia="宋体"/>
                <w:color w:val="000000"/>
                <w:sz w:val="21"/>
                <w:lang w:eastAsia="zh-CN"/>
              </w:rPr>
              <w:t>29.5℃</w:t>
            </w:r>
            <w:r>
              <w:rPr>
                <w:rFonts w:hint="eastAsia" w:eastAsia="宋体"/>
                <w:color w:val="000000"/>
                <w:sz w:val="21"/>
                <w:lang w:eastAsia="zh-CN"/>
              </w:rPr>
              <w:t>，</w:t>
            </w:r>
            <w:r>
              <w:rPr>
                <w:rFonts w:eastAsia="宋体"/>
                <w:color w:val="000000"/>
                <w:sz w:val="21"/>
                <w:lang w:eastAsia="zh-CN"/>
              </w:rPr>
              <w:t>相对湿度</w:t>
            </w:r>
            <w:r>
              <w:rPr>
                <w:rFonts w:hint="eastAsia" w:eastAsia="宋体"/>
                <w:color w:val="000000"/>
                <w:sz w:val="21"/>
                <w:lang w:eastAsia="zh-CN"/>
              </w:rPr>
              <w:t>：3</w:t>
            </w:r>
            <w:r>
              <w:rPr>
                <w:rFonts w:eastAsia="宋体"/>
                <w:color w:val="000000"/>
                <w:sz w:val="21"/>
                <w:lang w:eastAsia="zh-CN"/>
              </w:rPr>
              <w:t>4.0</w:t>
            </w:r>
            <w:r>
              <w:rPr>
                <w:rFonts w:hint="eastAsia" w:eastAsia="宋体"/>
                <w:color w:val="000000"/>
                <w:sz w:val="21"/>
                <w:lang w:eastAsia="zh-CN"/>
              </w:rPr>
              <w:t>%-7</w:t>
            </w:r>
            <w:r>
              <w:rPr>
                <w:rFonts w:eastAsia="宋体"/>
                <w:color w:val="000000"/>
                <w:sz w:val="21"/>
                <w:lang w:eastAsia="zh-CN"/>
              </w:rPr>
              <w:t>2.6</w:t>
            </w:r>
            <w:r>
              <w:rPr>
                <w:rFonts w:hint="eastAsia" w:eastAsia="宋体"/>
                <w:color w:val="000000"/>
                <w:sz w:val="21"/>
                <w:lang w:eastAsia="zh-CN"/>
              </w:rPr>
              <w:t>%</w:t>
            </w:r>
            <w:r>
              <w:rPr>
                <w:rFonts w:eastAsia="宋体"/>
                <w:color w:val="000000"/>
                <w:sz w:val="21"/>
                <w:lang w:eastAsia="zh-CN"/>
              </w:rPr>
              <w:t>RH</w:t>
            </w:r>
          </w:p>
        </w:tc>
      </w:tr>
      <w:tr w14:paraId="2FFBA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48" w:type="pct"/>
            <w:vMerge w:val="continue"/>
            <w:tcBorders>
              <w:left w:val="single" w:color="000000" w:sz="2" w:space="0"/>
              <w:right w:val="single" w:color="000000" w:sz="2" w:space="0"/>
            </w:tcBorders>
            <w:vAlign w:val="center"/>
          </w:tcPr>
          <w:p w14:paraId="7491DB58">
            <w:pPr>
              <w:pStyle w:val="14"/>
              <w:autoSpaceDN w:val="0"/>
              <w:ind w:firstLine="0"/>
              <w:jc w:val="center"/>
              <w:rPr>
                <w:rFonts w:ascii="Times New Roman" w:hAnsi="Times New Roman"/>
                <w:bCs/>
                <w:color w:val="auto"/>
                <w:szCs w:val="24"/>
              </w:rPr>
            </w:pPr>
          </w:p>
        </w:tc>
        <w:tc>
          <w:tcPr>
            <w:tcW w:w="1015" w:type="pct"/>
            <w:tcBorders>
              <w:left w:val="single" w:color="000000" w:sz="2" w:space="0"/>
              <w:right w:val="single" w:color="auto" w:sz="4" w:space="0"/>
            </w:tcBorders>
            <w:vAlign w:val="center"/>
          </w:tcPr>
          <w:p w14:paraId="142A2843">
            <w:pPr>
              <w:pStyle w:val="208"/>
              <w:autoSpaceDN w:val="0"/>
              <w:jc w:val="center"/>
              <w:rPr>
                <w:rFonts w:eastAsia="宋体"/>
                <w:sz w:val="21"/>
                <w:lang w:eastAsia="zh-CN"/>
              </w:rPr>
            </w:pPr>
            <w:r>
              <w:rPr>
                <w:rFonts w:hint="eastAsia" w:eastAsia="宋体"/>
                <w:sz w:val="21"/>
                <w:lang w:eastAsia="zh-CN"/>
              </w:rPr>
              <w:t>大气压</w:t>
            </w:r>
          </w:p>
        </w:tc>
        <w:tc>
          <w:tcPr>
            <w:tcW w:w="3437" w:type="pct"/>
            <w:tcBorders>
              <w:left w:val="single" w:color="auto" w:sz="4" w:space="0"/>
            </w:tcBorders>
            <w:vAlign w:val="center"/>
          </w:tcPr>
          <w:p w14:paraId="1B4D13BF">
            <w:pPr>
              <w:pStyle w:val="208"/>
              <w:autoSpaceDN w:val="0"/>
              <w:rPr>
                <w:rFonts w:eastAsia="宋体"/>
                <w:color w:val="000000"/>
                <w:sz w:val="21"/>
                <w:lang w:eastAsia="zh-CN"/>
              </w:rPr>
            </w:pPr>
            <w:r>
              <w:rPr>
                <w:rFonts w:eastAsia="宋体"/>
                <w:color w:val="000000"/>
                <w:sz w:val="21"/>
                <w:lang w:eastAsia="zh-CN"/>
              </w:rPr>
              <w:t>78.3</w:t>
            </w:r>
            <w:r>
              <w:rPr>
                <w:rFonts w:hint="eastAsia" w:eastAsia="宋体"/>
                <w:color w:val="000000"/>
                <w:sz w:val="21"/>
                <w:lang w:eastAsia="zh-CN"/>
              </w:rPr>
              <w:t>-8</w:t>
            </w:r>
            <w:r>
              <w:rPr>
                <w:rFonts w:eastAsia="宋体"/>
                <w:color w:val="000000"/>
                <w:sz w:val="21"/>
                <w:lang w:eastAsia="zh-CN"/>
              </w:rPr>
              <w:t>3</w:t>
            </w:r>
            <w:r>
              <w:rPr>
                <w:rFonts w:hint="eastAsia" w:eastAsia="宋体"/>
                <w:color w:val="000000"/>
                <w:sz w:val="21"/>
                <w:lang w:eastAsia="zh-CN"/>
              </w:rPr>
              <w:t>.</w:t>
            </w:r>
            <w:r>
              <w:rPr>
                <w:rFonts w:eastAsia="宋体"/>
                <w:color w:val="000000"/>
                <w:sz w:val="21"/>
                <w:lang w:eastAsia="zh-CN"/>
              </w:rPr>
              <w:t>6</w:t>
            </w:r>
            <w:r>
              <w:rPr>
                <w:rFonts w:hint="eastAsia" w:eastAsia="宋体"/>
                <w:color w:val="000000"/>
                <w:sz w:val="21"/>
                <w:lang w:eastAsia="zh-CN"/>
              </w:rPr>
              <w:t>kPa</w:t>
            </w:r>
          </w:p>
        </w:tc>
      </w:tr>
    </w:tbl>
    <w:p w14:paraId="27629093">
      <w:pPr>
        <w:pStyle w:val="5"/>
        <w:spacing w:before="0" w:after="0" w:line="360" w:lineRule="auto"/>
        <w:rPr>
          <w:rFonts w:eastAsia="黑体"/>
          <w:b w:val="0"/>
          <w:bCs w:val="0"/>
          <w:sz w:val="28"/>
          <w:szCs w:val="28"/>
        </w:rPr>
      </w:pPr>
      <w:bookmarkStart w:id="285" w:name="_Toc233036210"/>
      <w:bookmarkStart w:id="286" w:name="_Toc25147"/>
      <w:bookmarkStart w:id="287" w:name="_Toc25328"/>
      <w:bookmarkStart w:id="288" w:name="_Toc32191"/>
      <w:bookmarkStart w:id="289" w:name="_Toc231571730"/>
      <w:r>
        <w:rPr>
          <w:rFonts w:eastAsia="黑体"/>
          <w:b w:val="0"/>
          <w:bCs w:val="0"/>
          <w:sz w:val="28"/>
          <w:szCs w:val="28"/>
        </w:rPr>
        <w:t>2.3</w:t>
      </w:r>
      <w:r>
        <w:rPr>
          <w:rFonts w:hint="eastAsia" w:eastAsia="黑体"/>
          <w:b w:val="0"/>
          <w:bCs w:val="0"/>
          <w:sz w:val="28"/>
          <w:szCs w:val="28"/>
        </w:rPr>
        <w:t xml:space="preserve"> </w:t>
      </w:r>
      <w:r>
        <w:rPr>
          <w:rFonts w:eastAsia="黑体"/>
          <w:b w:val="0"/>
          <w:bCs w:val="0"/>
          <w:sz w:val="28"/>
          <w:szCs w:val="28"/>
        </w:rPr>
        <w:t>监测方法及依据</w:t>
      </w:r>
      <w:bookmarkEnd w:id="285"/>
      <w:bookmarkEnd w:id="286"/>
      <w:bookmarkEnd w:id="287"/>
      <w:bookmarkEnd w:id="288"/>
      <w:bookmarkEnd w:id="289"/>
    </w:p>
    <w:p w14:paraId="2A76FC40">
      <w:pPr>
        <w:spacing w:line="360" w:lineRule="auto"/>
        <w:ind w:firstLine="480" w:firstLineChars="200"/>
        <w:rPr>
          <w:sz w:val="24"/>
          <w:szCs w:val="24"/>
        </w:rPr>
      </w:pPr>
      <w:r>
        <w:rPr>
          <w:sz w:val="24"/>
          <w:szCs w:val="24"/>
        </w:rPr>
        <w:t>《环境影响评价技术导则 输变电》（HJ</w:t>
      </w:r>
      <w:r>
        <w:rPr>
          <w:rFonts w:hint="eastAsia"/>
          <w:sz w:val="24"/>
          <w:szCs w:val="24"/>
        </w:rPr>
        <w:t xml:space="preserve"> </w:t>
      </w:r>
      <w:r>
        <w:rPr>
          <w:sz w:val="24"/>
          <w:szCs w:val="24"/>
        </w:rPr>
        <w:t>24-2020）；</w:t>
      </w:r>
    </w:p>
    <w:p w14:paraId="003EDA1F">
      <w:pPr>
        <w:spacing w:line="360" w:lineRule="auto"/>
        <w:ind w:firstLine="480" w:firstLineChars="200"/>
        <w:rPr>
          <w:sz w:val="24"/>
          <w:szCs w:val="24"/>
        </w:rPr>
      </w:pPr>
      <w:r>
        <w:rPr>
          <w:sz w:val="24"/>
          <w:szCs w:val="24"/>
        </w:rPr>
        <w:t>《电磁环境控制限值》（GB</w:t>
      </w:r>
      <w:r>
        <w:rPr>
          <w:rFonts w:hint="eastAsia"/>
          <w:sz w:val="24"/>
          <w:szCs w:val="24"/>
        </w:rPr>
        <w:t xml:space="preserve"> </w:t>
      </w:r>
      <w:r>
        <w:rPr>
          <w:sz w:val="24"/>
          <w:szCs w:val="24"/>
        </w:rPr>
        <w:t>8702-2014）；</w:t>
      </w:r>
    </w:p>
    <w:p w14:paraId="14B6C3CE">
      <w:pPr>
        <w:spacing w:line="360" w:lineRule="auto"/>
        <w:ind w:firstLine="480" w:firstLineChars="200"/>
        <w:rPr>
          <w:sz w:val="24"/>
          <w:szCs w:val="24"/>
        </w:rPr>
      </w:pPr>
      <w:r>
        <w:rPr>
          <w:sz w:val="24"/>
          <w:szCs w:val="24"/>
        </w:rPr>
        <w:t>《交流输变电工程电磁环境监测方法》（HJ</w:t>
      </w:r>
      <w:r>
        <w:rPr>
          <w:rFonts w:hint="eastAsia"/>
          <w:sz w:val="24"/>
          <w:szCs w:val="24"/>
        </w:rPr>
        <w:t xml:space="preserve"> </w:t>
      </w:r>
      <w:r>
        <w:rPr>
          <w:sz w:val="24"/>
          <w:szCs w:val="24"/>
        </w:rPr>
        <w:t>681-2013）。</w:t>
      </w:r>
    </w:p>
    <w:p w14:paraId="4F1A755E">
      <w:pPr>
        <w:pStyle w:val="5"/>
        <w:spacing w:before="0" w:after="0" w:line="360" w:lineRule="auto"/>
        <w:rPr>
          <w:rFonts w:eastAsia="黑体"/>
          <w:b w:val="0"/>
          <w:bCs w:val="0"/>
          <w:sz w:val="28"/>
          <w:szCs w:val="28"/>
        </w:rPr>
      </w:pPr>
      <w:bookmarkStart w:id="290" w:name="_Toc16759"/>
      <w:bookmarkStart w:id="291" w:name="_Toc23431"/>
      <w:bookmarkStart w:id="292" w:name="_Toc14052"/>
      <w:bookmarkStart w:id="293" w:name="_Toc233036211"/>
      <w:bookmarkStart w:id="294" w:name="_Toc231571731"/>
      <w:r>
        <w:rPr>
          <w:rFonts w:eastAsia="黑体"/>
          <w:b w:val="0"/>
          <w:bCs w:val="0"/>
          <w:sz w:val="28"/>
          <w:szCs w:val="28"/>
        </w:rPr>
        <w:t>2.4</w:t>
      </w:r>
      <w:r>
        <w:rPr>
          <w:rFonts w:hint="eastAsia" w:eastAsia="黑体"/>
          <w:b w:val="0"/>
          <w:bCs w:val="0"/>
          <w:sz w:val="28"/>
          <w:szCs w:val="28"/>
        </w:rPr>
        <w:t xml:space="preserve"> </w:t>
      </w:r>
      <w:r>
        <w:rPr>
          <w:rFonts w:eastAsia="黑体"/>
          <w:b w:val="0"/>
          <w:bCs w:val="0"/>
          <w:sz w:val="28"/>
          <w:szCs w:val="28"/>
        </w:rPr>
        <w:t>监测结果</w:t>
      </w:r>
      <w:bookmarkEnd w:id="290"/>
      <w:bookmarkEnd w:id="291"/>
      <w:bookmarkEnd w:id="292"/>
      <w:bookmarkEnd w:id="293"/>
      <w:bookmarkEnd w:id="294"/>
    </w:p>
    <w:p w14:paraId="7AC9DF5A">
      <w:pPr>
        <w:spacing w:line="360" w:lineRule="auto"/>
        <w:ind w:firstLine="480" w:firstLineChars="200"/>
        <w:rPr>
          <w:sz w:val="24"/>
          <w:szCs w:val="24"/>
        </w:rPr>
      </w:pPr>
      <w:r>
        <w:rPr>
          <w:sz w:val="24"/>
          <w:szCs w:val="24"/>
        </w:rPr>
        <w:t>监测结果见</w:t>
      </w:r>
      <w:r>
        <w:rPr>
          <w:rFonts w:hint="eastAsia"/>
          <w:sz w:val="24"/>
          <w:szCs w:val="24"/>
        </w:rPr>
        <w:t>下</w:t>
      </w:r>
      <w:r>
        <w:rPr>
          <w:sz w:val="24"/>
          <w:szCs w:val="24"/>
        </w:rPr>
        <w:t>表</w:t>
      </w:r>
      <w:r>
        <w:rPr>
          <w:rFonts w:hint="eastAsia"/>
          <w:sz w:val="24"/>
          <w:szCs w:val="24"/>
        </w:rPr>
        <w:t>2.4-1</w:t>
      </w:r>
      <w:r>
        <w:rPr>
          <w:sz w:val="24"/>
          <w:szCs w:val="24"/>
        </w:rPr>
        <w:t>。</w:t>
      </w:r>
    </w:p>
    <w:p w14:paraId="2AD40FDB">
      <w:pPr>
        <w:spacing w:line="360" w:lineRule="auto"/>
        <w:jc w:val="center"/>
        <w:rPr>
          <w:b/>
          <w:bCs/>
          <w:sz w:val="24"/>
          <w:szCs w:val="24"/>
        </w:rPr>
      </w:pPr>
      <w:r>
        <w:rPr>
          <w:b/>
          <w:bCs/>
          <w:sz w:val="24"/>
          <w:szCs w:val="24"/>
        </w:rPr>
        <w:t>表2</w:t>
      </w:r>
      <w:r>
        <w:rPr>
          <w:rFonts w:hint="eastAsia"/>
          <w:b/>
          <w:bCs/>
          <w:sz w:val="24"/>
          <w:szCs w:val="24"/>
        </w:rPr>
        <w:t>.4</w:t>
      </w:r>
      <w:r>
        <w:rPr>
          <w:b/>
          <w:bCs/>
          <w:sz w:val="24"/>
          <w:szCs w:val="24"/>
        </w:rPr>
        <w:t>-</w:t>
      </w:r>
      <w:r>
        <w:rPr>
          <w:rFonts w:hint="eastAsia"/>
          <w:b/>
          <w:bCs/>
          <w:sz w:val="24"/>
          <w:szCs w:val="24"/>
        </w:rPr>
        <w:t xml:space="preserve">1  </w:t>
      </w:r>
      <w:r>
        <w:rPr>
          <w:b/>
          <w:bCs/>
          <w:sz w:val="24"/>
          <w:szCs w:val="24"/>
        </w:rPr>
        <w:t>工频电场、工频磁场监测值及评价结果</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3559"/>
        <w:gridCol w:w="1278"/>
        <w:gridCol w:w="1274"/>
        <w:gridCol w:w="1417"/>
        <w:gridCol w:w="1100"/>
      </w:tblGrid>
      <w:tr w14:paraId="2CF6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355" w:type="pct"/>
            <w:vMerge w:val="restart"/>
            <w:vAlign w:val="center"/>
          </w:tcPr>
          <w:p w14:paraId="58874A08">
            <w:pPr>
              <w:widowControl/>
              <w:jc w:val="center"/>
              <w:rPr>
                <w:b/>
              </w:rPr>
            </w:pPr>
            <w:r>
              <w:rPr>
                <w:rFonts w:hint="eastAsia"/>
                <w:b/>
              </w:rPr>
              <w:t>序号</w:t>
            </w:r>
          </w:p>
        </w:tc>
        <w:tc>
          <w:tcPr>
            <w:tcW w:w="1916" w:type="pct"/>
            <w:vMerge w:val="restart"/>
            <w:vAlign w:val="center"/>
          </w:tcPr>
          <w:p w14:paraId="0DE683E4">
            <w:pPr>
              <w:widowControl/>
              <w:jc w:val="center"/>
              <w:rPr>
                <w:b/>
              </w:rPr>
            </w:pPr>
            <w:r>
              <w:rPr>
                <w:rFonts w:hint="eastAsia"/>
                <w:b/>
              </w:rPr>
              <w:t>监测点位</w:t>
            </w:r>
          </w:p>
        </w:tc>
        <w:tc>
          <w:tcPr>
            <w:tcW w:w="688" w:type="pct"/>
            <w:vMerge w:val="restart"/>
            <w:vAlign w:val="center"/>
          </w:tcPr>
          <w:p w14:paraId="27F5EBE7">
            <w:pPr>
              <w:widowControl/>
              <w:jc w:val="center"/>
              <w:rPr>
                <w:b/>
              </w:rPr>
            </w:pPr>
            <w:r>
              <w:rPr>
                <w:b/>
              </w:rPr>
              <w:t>检测日期</w:t>
            </w:r>
          </w:p>
        </w:tc>
        <w:tc>
          <w:tcPr>
            <w:tcW w:w="1449" w:type="pct"/>
            <w:gridSpan w:val="2"/>
            <w:vAlign w:val="center"/>
          </w:tcPr>
          <w:p w14:paraId="74062B85">
            <w:pPr>
              <w:widowControl/>
              <w:jc w:val="center"/>
              <w:rPr>
                <w:b/>
              </w:rPr>
            </w:pPr>
            <w:r>
              <w:rPr>
                <w:rFonts w:hint="eastAsia" w:cs="宋体"/>
                <w:b/>
                <w:kern w:val="0"/>
                <w:lang w:bidi="ar"/>
              </w:rPr>
              <w:t>检测结果</w:t>
            </w:r>
          </w:p>
        </w:tc>
        <w:tc>
          <w:tcPr>
            <w:tcW w:w="592" w:type="pct"/>
            <w:vMerge w:val="restart"/>
            <w:vAlign w:val="center"/>
          </w:tcPr>
          <w:p w14:paraId="3F20C920">
            <w:pPr>
              <w:widowControl/>
              <w:jc w:val="center"/>
              <w:rPr>
                <w:rFonts w:cs="宋体"/>
                <w:bCs/>
                <w:kern w:val="0"/>
                <w:lang w:bidi="ar"/>
              </w:rPr>
            </w:pPr>
            <w:r>
              <w:rPr>
                <w:rFonts w:hint="eastAsia" w:cs="宋体"/>
                <w:b/>
                <w:kern w:val="0"/>
                <w:lang w:bidi="ar"/>
              </w:rPr>
              <w:t>评价结果</w:t>
            </w:r>
          </w:p>
        </w:tc>
      </w:tr>
      <w:tr w14:paraId="61AF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355" w:type="pct"/>
            <w:vMerge w:val="continue"/>
            <w:vAlign w:val="center"/>
          </w:tcPr>
          <w:p w14:paraId="3AF7A26E">
            <w:pPr>
              <w:widowControl/>
              <w:jc w:val="center"/>
              <w:rPr>
                <w:b/>
              </w:rPr>
            </w:pPr>
          </w:p>
        </w:tc>
        <w:tc>
          <w:tcPr>
            <w:tcW w:w="1916" w:type="pct"/>
            <w:vMerge w:val="continue"/>
            <w:vAlign w:val="center"/>
          </w:tcPr>
          <w:p w14:paraId="6564C8AB">
            <w:pPr>
              <w:widowControl/>
              <w:jc w:val="center"/>
              <w:rPr>
                <w:b/>
              </w:rPr>
            </w:pPr>
          </w:p>
        </w:tc>
        <w:tc>
          <w:tcPr>
            <w:tcW w:w="688" w:type="pct"/>
            <w:vMerge w:val="continue"/>
            <w:vAlign w:val="center"/>
          </w:tcPr>
          <w:p w14:paraId="68899FE6">
            <w:pPr>
              <w:widowControl/>
              <w:jc w:val="center"/>
              <w:rPr>
                <w:b/>
              </w:rPr>
            </w:pPr>
          </w:p>
        </w:tc>
        <w:tc>
          <w:tcPr>
            <w:tcW w:w="686" w:type="pct"/>
            <w:vAlign w:val="center"/>
          </w:tcPr>
          <w:p w14:paraId="2E716C3C">
            <w:pPr>
              <w:widowControl/>
              <w:jc w:val="center"/>
              <w:rPr>
                <w:b/>
              </w:rPr>
            </w:pPr>
            <w:r>
              <w:rPr>
                <w:rFonts w:hint="eastAsia" w:cs="宋体"/>
                <w:b/>
                <w:kern w:val="0"/>
                <w:lang w:bidi="ar"/>
              </w:rPr>
              <w:t>工频电场强度（</w:t>
            </w:r>
            <w:r>
              <w:rPr>
                <w:b/>
                <w:kern w:val="0"/>
                <w:lang w:bidi="ar"/>
              </w:rPr>
              <w:t>V/m</w:t>
            </w:r>
            <w:r>
              <w:rPr>
                <w:rFonts w:hint="eastAsia" w:cs="宋体"/>
                <w:b/>
                <w:kern w:val="0"/>
                <w:lang w:bidi="ar"/>
              </w:rPr>
              <w:t>）</w:t>
            </w:r>
          </w:p>
        </w:tc>
        <w:tc>
          <w:tcPr>
            <w:tcW w:w="763" w:type="pct"/>
            <w:vAlign w:val="center"/>
          </w:tcPr>
          <w:p w14:paraId="29DEF7E6">
            <w:pPr>
              <w:widowControl/>
              <w:jc w:val="center"/>
              <w:rPr>
                <w:b/>
              </w:rPr>
            </w:pPr>
            <w:r>
              <w:rPr>
                <w:rFonts w:hint="eastAsia" w:cs="宋体"/>
                <w:b/>
                <w:kern w:val="0"/>
                <w:lang w:bidi="ar"/>
              </w:rPr>
              <w:t>工频磁感应强度（</w:t>
            </w:r>
            <w:r>
              <w:rPr>
                <w:rFonts w:cs="宋体"/>
                <w:b/>
                <w:kern w:val="0"/>
                <w:lang w:bidi="ar"/>
              </w:rPr>
              <w:t>μT</w:t>
            </w:r>
            <w:r>
              <w:rPr>
                <w:rFonts w:hint="eastAsia" w:cs="宋体"/>
                <w:b/>
                <w:kern w:val="0"/>
                <w:lang w:bidi="ar"/>
              </w:rPr>
              <w:t>）</w:t>
            </w:r>
          </w:p>
        </w:tc>
        <w:tc>
          <w:tcPr>
            <w:tcW w:w="592" w:type="pct"/>
            <w:vMerge w:val="continue"/>
            <w:vAlign w:val="center"/>
          </w:tcPr>
          <w:p w14:paraId="2B1B91C8">
            <w:pPr>
              <w:widowControl/>
              <w:jc w:val="center"/>
              <w:rPr>
                <w:rFonts w:hint="eastAsia" w:cs="宋体"/>
                <w:bCs/>
                <w:kern w:val="0"/>
                <w:lang w:bidi="ar"/>
              </w:rPr>
            </w:pPr>
          </w:p>
        </w:tc>
      </w:tr>
      <w:tr w14:paraId="6FA8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355" w:type="pct"/>
            <w:vAlign w:val="center"/>
          </w:tcPr>
          <w:p w14:paraId="291EF172">
            <w:pPr>
              <w:widowControl/>
              <w:jc w:val="center"/>
              <w:rPr>
                <w:bCs/>
              </w:rPr>
            </w:pPr>
            <w:r>
              <w:rPr>
                <w:rFonts w:hint="eastAsia"/>
                <w:bCs/>
              </w:rPr>
              <w:t>1</w:t>
            </w:r>
          </w:p>
        </w:tc>
        <w:tc>
          <w:tcPr>
            <w:tcW w:w="1916" w:type="pct"/>
            <w:vAlign w:val="center"/>
          </w:tcPr>
          <w:p w14:paraId="3798581A">
            <w:pPr>
              <w:widowControl/>
              <w:jc w:val="center"/>
              <w:rPr>
                <w:b/>
              </w:rPr>
            </w:pPr>
            <w:r>
              <w:rPr>
                <w:rFonts w:hint="eastAsia"/>
              </w:rPr>
              <w:t>以礼河电厂三级电站厂界东侧</w:t>
            </w:r>
          </w:p>
        </w:tc>
        <w:tc>
          <w:tcPr>
            <w:tcW w:w="688" w:type="pct"/>
            <w:vAlign w:val="center"/>
          </w:tcPr>
          <w:p w14:paraId="459C1466">
            <w:pPr>
              <w:widowControl/>
              <w:jc w:val="center"/>
              <w:rPr>
                <w:b/>
              </w:rPr>
            </w:pPr>
            <w:r>
              <w:rPr>
                <w:rFonts w:hint="eastAsia" w:cs="宋体"/>
              </w:rPr>
              <w:t>2026.1.8</w:t>
            </w:r>
          </w:p>
        </w:tc>
        <w:tc>
          <w:tcPr>
            <w:tcW w:w="686" w:type="pct"/>
            <w:vAlign w:val="center"/>
          </w:tcPr>
          <w:p w14:paraId="2B96404B">
            <w:pPr>
              <w:widowControl/>
              <w:jc w:val="center"/>
              <w:rPr>
                <w:rFonts w:hint="eastAsia" w:cs="宋体"/>
                <w:b/>
                <w:kern w:val="0"/>
                <w:lang w:bidi="ar"/>
              </w:rPr>
            </w:pPr>
            <w:r>
              <w:rPr>
                <w:rFonts w:hint="eastAsia" w:cs="宋体"/>
                <w:color w:val="000000"/>
              </w:rPr>
              <w:t>1.997</w:t>
            </w:r>
          </w:p>
        </w:tc>
        <w:tc>
          <w:tcPr>
            <w:tcW w:w="763" w:type="pct"/>
            <w:vAlign w:val="center"/>
          </w:tcPr>
          <w:p w14:paraId="08CD2F49">
            <w:pPr>
              <w:widowControl/>
              <w:jc w:val="center"/>
              <w:rPr>
                <w:rFonts w:hint="eastAsia" w:cs="宋体"/>
                <w:b/>
                <w:kern w:val="0"/>
                <w:lang w:bidi="ar"/>
              </w:rPr>
            </w:pPr>
            <w:r>
              <w:rPr>
                <w:rFonts w:hint="eastAsia" w:cs="宋体"/>
                <w:color w:val="000000"/>
              </w:rPr>
              <w:t>0.1986</w:t>
            </w:r>
          </w:p>
        </w:tc>
        <w:tc>
          <w:tcPr>
            <w:tcW w:w="592" w:type="pct"/>
            <w:vAlign w:val="center"/>
          </w:tcPr>
          <w:p w14:paraId="38FED52B">
            <w:pPr>
              <w:widowControl/>
              <w:jc w:val="center"/>
              <w:rPr>
                <w:rFonts w:hint="eastAsia" w:cs="宋体"/>
                <w:bCs/>
                <w:kern w:val="0"/>
                <w:lang w:bidi="ar"/>
              </w:rPr>
            </w:pPr>
            <w:r>
              <w:rPr>
                <w:rFonts w:hint="eastAsia" w:cs="宋体"/>
              </w:rPr>
              <w:t>达标</w:t>
            </w:r>
          </w:p>
        </w:tc>
      </w:tr>
      <w:tr w14:paraId="3BD1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355" w:type="pct"/>
            <w:vAlign w:val="center"/>
          </w:tcPr>
          <w:p w14:paraId="33619948">
            <w:pPr>
              <w:widowControl/>
              <w:jc w:val="center"/>
              <w:rPr>
                <w:bCs/>
              </w:rPr>
            </w:pPr>
            <w:r>
              <w:rPr>
                <w:rFonts w:hint="eastAsia"/>
                <w:bCs/>
              </w:rPr>
              <w:t>2</w:t>
            </w:r>
          </w:p>
        </w:tc>
        <w:tc>
          <w:tcPr>
            <w:tcW w:w="1916" w:type="pct"/>
            <w:vAlign w:val="center"/>
          </w:tcPr>
          <w:p w14:paraId="253C7CF4">
            <w:pPr>
              <w:widowControl/>
              <w:jc w:val="center"/>
              <w:rPr>
                <w:b/>
              </w:rPr>
            </w:pPr>
            <w:r>
              <w:rPr>
                <w:rFonts w:hint="eastAsia"/>
              </w:rPr>
              <w:t>以礼河电厂三级电站厂界北侧</w:t>
            </w:r>
          </w:p>
        </w:tc>
        <w:tc>
          <w:tcPr>
            <w:tcW w:w="688" w:type="pct"/>
            <w:vAlign w:val="center"/>
          </w:tcPr>
          <w:p w14:paraId="3252743B">
            <w:pPr>
              <w:widowControl/>
              <w:jc w:val="center"/>
              <w:rPr>
                <w:b/>
              </w:rPr>
            </w:pPr>
            <w:r>
              <w:rPr>
                <w:rFonts w:hint="eastAsia" w:cs="宋体"/>
              </w:rPr>
              <w:t>2026.1.8</w:t>
            </w:r>
          </w:p>
        </w:tc>
        <w:tc>
          <w:tcPr>
            <w:tcW w:w="686" w:type="pct"/>
            <w:vAlign w:val="center"/>
          </w:tcPr>
          <w:p w14:paraId="14A0E159">
            <w:pPr>
              <w:widowControl/>
              <w:jc w:val="center"/>
              <w:rPr>
                <w:rFonts w:hint="eastAsia" w:cs="宋体"/>
                <w:b/>
                <w:kern w:val="0"/>
                <w:lang w:bidi="ar"/>
              </w:rPr>
            </w:pPr>
            <w:r>
              <w:rPr>
                <w:rFonts w:hint="eastAsia" w:cs="宋体"/>
                <w:color w:val="000000"/>
              </w:rPr>
              <w:t>1.098</w:t>
            </w:r>
            <w:r>
              <w:rPr>
                <w:rFonts w:ascii="Arial" w:hAnsi="Arial" w:cs="Arial"/>
                <w:color w:val="000000"/>
              </w:rPr>
              <w:t>×</w:t>
            </w:r>
            <w:r>
              <w:rPr>
                <w:rFonts w:hint="eastAsia" w:cs="宋体"/>
                <w:color w:val="000000"/>
              </w:rPr>
              <w:t>10</w:t>
            </w:r>
            <w:r>
              <w:rPr>
                <w:rFonts w:hint="eastAsia" w:cs="宋体"/>
                <w:color w:val="000000"/>
                <w:vertAlign w:val="superscript"/>
              </w:rPr>
              <w:t>3</w:t>
            </w:r>
          </w:p>
        </w:tc>
        <w:tc>
          <w:tcPr>
            <w:tcW w:w="763" w:type="pct"/>
            <w:vAlign w:val="center"/>
          </w:tcPr>
          <w:p w14:paraId="0E309D9D">
            <w:pPr>
              <w:widowControl/>
              <w:jc w:val="center"/>
              <w:rPr>
                <w:rFonts w:hint="eastAsia" w:cs="宋体"/>
                <w:b/>
                <w:kern w:val="0"/>
                <w:lang w:bidi="ar"/>
              </w:rPr>
            </w:pPr>
            <w:r>
              <w:rPr>
                <w:rFonts w:hint="eastAsia" w:cs="宋体"/>
                <w:color w:val="000000"/>
              </w:rPr>
              <w:t>0.5042</w:t>
            </w:r>
          </w:p>
        </w:tc>
        <w:tc>
          <w:tcPr>
            <w:tcW w:w="592" w:type="pct"/>
            <w:vAlign w:val="center"/>
          </w:tcPr>
          <w:p w14:paraId="30C07750">
            <w:pPr>
              <w:widowControl/>
              <w:jc w:val="center"/>
              <w:rPr>
                <w:rFonts w:hint="eastAsia" w:cs="宋体"/>
                <w:bCs/>
                <w:kern w:val="0"/>
                <w:lang w:bidi="ar"/>
              </w:rPr>
            </w:pPr>
            <w:r>
              <w:rPr>
                <w:rFonts w:hint="eastAsia" w:cs="宋体"/>
              </w:rPr>
              <w:t>达标</w:t>
            </w:r>
          </w:p>
        </w:tc>
      </w:tr>
      <w:tr w14:paraId="7961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355" w:type="pct"/>
            <w:vAlign w:val="center"/>
          </w:tcPr>
          <w:p w14:paraId="0AF78F31">
            <w:pPr>
              <w:widowControl/>
              <w:jc w:val="center"/>
              <w:rPr>
                <w:bCs/>
              </w:rPr>
            </w:pPr>
            <w:r>
              <w:rPr>
                <w:rFonts w:hint="eastAsia"/>
                <w:bCs/>
              </w:rPr>
              <w:t>3</w:t>
            </w:r>
          </w:p>
        </w:tc>
        <w:tc>
          <w:tcPr>
            <w:tcW w:w="1916" w:type="pct"/>
            <w:vAlign w:val="center"/>
          </w:tcPr>
          <w:p w14:paraId="127BB9D6">
            <w:pPr>
              <w:widowControl/>
              <w:jc w:val="center"/>
              <w:rPr>
                <w:b/>
              </w:rPr>
            </w:pPr>
            <w:r>
              <w:rPr>
                <w:rFonts w:hint="eastAsia"/>
              </w:rPr>
              <w:t>以礼河电厂三级电站厂界南侧</w:t>
            </w:r>
          </w:p>
        </w:tc>
        <w:tc>
          <w:tcPr>
            <w:tcW w:w="688" w:type="pct"/>
            <w:vAlign w:val="center"/>
          </w:tcPr>
          <w:p w14:paraId="796147DB">
            <w:pPr>
              <w:widowControl/>
              <w:jc w:val="center"/>
              <w:rPr>
                <w:b/>
              </w:rPr>
            </w:pPr>
            <w:r>
              <w:rPr>
                <w:rFonts w:hint="eastAsia" w:cs="宋体"/>
              </w:rPr>
              <w:t>2026.1.8</w:t>
            </w:r>
          </w:p>
        </w:tc>
        <w:tc>
          <w:tcPr>
            <w:tcW w:w="686" w:type="pct"/>
            <w:vAlign w:val="center"/>
          </w:tcPr>
          <w:p w14:paraId="57D094D1">
            <w:pPr>
              <w:widowControl/>
              <w:jc w:val="center"/>
              <w:rPr>
                <w:rFonts w:hint="eastAsia" w:cs="宋体"/>
                <w:b/>
                <w:kern w:val="0"/>
                <w:lang w:bidi="ar"/>
              </w:rPr>
            </w:pPr>
            <w:r>
              <w:rPr>
                <w:rFonts w:hint="eastAsia" w:cs="宋体"/>
                <w:color w:val="000000"/>
              </w:rPr>
              <w:t>72.660</w:t>
            </w:r>
          </w:p>
        </w:tc>
        <w:tc>
          <w:tcPr>
            <w:tcW w:w="763" w:type="pct"/>
            <w:vAlign w:val="center"/>
          </w:tcPr>
          <w:p w14:paraId="21879760">
            <w:pPr>
              <w:widowControl/>
              <w:jc w:val="center"/>
              <w:rPr>
                <w:rFonts w:hint="eastAsia" w:cs="宋体"/>
                <w:b/>
                <w:kern w:val="0"/>
                <w:lang w:bidi="ar"/>
              </w:rPr>
            </w:pPr>
            <w:r>
              <w:rPr>
                <w:rFonts w:hint="eastAsia" w:cs="宋体"/>
                <w:color w:val="000000"/>
              </w:rPr>
              <w:t>0.4157</w:t>
            </w:r>
          </w:p>
        </w:tc>
        <w:tc>
          <w:tcPr>
            <w:tcW w:w="592" w:type="pct"/>
            <w:vAlign w:val="center"/>
          </w:tcPr>
          <w:p w14:paraId="14C5F7C2">
            <w:pPr>
              <w:widowControl/>
              <w:jc w:val="center"/>
              <w:rPr>
                <w:rFonts w:hint="eastAsia" w:cs="宋体"/>
                <w:bCs/>
                <w:kern w:val="0"/>
                <w:lang w:bidi="ar"/>
              </w:rPr>
            </w:pPr>
            <w:r>
              <w:rPr>
                <w:rFonts w:hint="eastAsia" w:cs="宋体"/>
              </w:rPr>
              <w:t>达标</w:t>
            </w:r>
          </w:p>
        </w:tc>
      </w:tr>
      <w:tr w14:paraId="6A34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355" w:type="pct"/>
            <w:vAlign w:val="center"/>
          </w:tcPr>
          <w:p w14:paraId="359FC49E">
            <w:pPr>
              <w:widowControl/>
              <w:jc w:val="center"/>
              <w:rPr>
                <w:bCs/>
              </w:rPr>
            </w:pPr>
            <w:r>
              <w:rPr>
                <w:rFonts w:hint="eastAsia"/>
                <w:bCs/>
              </w:rPr>
              <w:t>4</w:t>
            </w:r>
          </w:p>
        </w:tc>
        <w:tc>
          <w:tcPr>
            <w:tcW w:w="1916" w:type="pct"/>
            <w:vAlign w:val="center"/>
          </w:tcPr>
          <w:p w14:paraId="385251A9">
            <w:pPr>
              <w:widowControl/>
              <w:jc w:val="center"/>
              <w:rPr>
                <w:b/>
              </w:rPr>
            </w:pPr>
            <w:r>
              <w:rPr>
                <w:rFonts w:hint="eastAsia"/>
              </w:rPr>
              <w:t>以礼河电厂三级电站厂界西侧</w:t>
            </w:r>
          </w:p>
        </w:tc>
        <w:tc>
          <w:tcPr>
            <w:tcW w:w="688" w:type="pct"/>
            <w:vAlign w:val="center"/>
          </w:tcPr>
          <w:p w14:paraId="39B07066">
            <w:pPr>
              <w:widowControl/>
              <w:jc w:val="center"/>
              <w:rPr>
                <w:b/>
              </w:rPr>
            </w:pPr>
            <w:r>
              <w:rPr>
                <w:rFonts w:hint="eastAsia" w:cs="宋体"/>
              </w:rPr>
              <w:t>2026.1.8</w:t>
            </w:r>
          </w:p>
        </w:tc>
        <w:tc>
          <w:tcPr>
            <w:tcW w:w="686" w:type="pct"/>
            <w:vAlign w:val="center"/>
          </w:tcPr>
          <w:p w14:paraId="6F17AFF0">
            <w:pPr>
              <w:widowControl/>
              <w:jc w:val="center"/>
              <w:rPr>
                <w:rFonts w:hint="eastAsia" w:cs="宋体"/>
                <w:b/>
                <w:kern w:val="0"/>
                <w:lang w:bidi="ar"/>
              </w:rPr>
            </w:pPr>
            <w:r>
              <w:rPr>
                <w:rFonts w:hint="eastAsia" w:cs="宋体"/>
              </w:rPr>
              <w:t>16.452</w:t>
            </w:r>
          </w:p>
        </w:tc>
        <w:tc>
          <w:tcPr>
            <w:tcW w:w="763" w:type="pct"/>
            <w:vAlign w:val="center"/>
          </w:tcPr>
          <w:p w14:paraId="481813DC">
            <w:pPr>
              <w:widowControl/>
              <w:jc w:val="center"/>
              <w:rPr>
                <w:rFonts w:hint="eastAsia" w:cs="宋体"/>
                <w:b/>
                <w:kern w:val="0"/>
                <w:lang w:bidi="ar"/>
              </w:rPr>
            </w:pPr>
            <w:r>
              <w:rPr>
                <w:rFonts w:hint="eastAsia" w:cs="宋体"/>
              </w:rPr>
              <w:t>0.7046</w:t>
            </w:r>
          </w:p>
        </w:tc>
        <w:tc>
          <w:tcPr>
            <w:tcW w:w="592" w:type="pct"/>
            <w:vAlign w:val="center"/>
          </w:tcPr>
          <w:p w14:paraId="5051DBC6">
            <w:pPr>
              <w:widowControl/>
              <w:jc w:val="center"/>
              <w:rPr>
                <w:rFonts w:hint="eastAsia" w:cs="宋体"/>
                <w:bCs/>
                <w:kern w:val="0"/>
                <w:lang w:bidi="ar"/>
              </w:rPr>
            </w:pPr>
            <w:r>
              <w:rPr>
                <w:rFonts w:hint="eastAsia" w:cs="宋体"/>
              </w:rPr>
              <w:t>达标</w:t>
            </w:r>
          </w:p>
        </w:tc>
      </w:tr>
      <w:tr w14:paraId="0DC1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5" w:type="pct"/>
            <w:vAlign w:val="center"/>
          </w:tcPr>
          <w:p w14:paraId="51F861D0">
            <w:pPr>
              <w:jc w:val="center"/>
            </w:pPr>
            <w:r>
              <w:t>5</w:t>
            </w:r>
          </w:p>
        </w:tc>
        <w:tc>
          <w:tcPr>
            <w:tcW w:w="1916" w:type="pct"/>
            <w:vAlign w:val="center"/>
          </w:tcPr>
          <w:p w14:paraId="51915B2E">
            <w:pPr>
              <w:jc w:val="center"/>
              <w:rPr>
                <w:rFonts w:hint="eastAsia"/>
              </w:rPr>
            </w:pPr>
            <w:r>
              <w:rPr>
                <w:rFonts w:hint="eastAsia"/>
              </w:rPr>
              <w:t>新建升压站站址中心</w:t>
            </w:r>
          </w:p>
        </w:tc>
        <w:tc>
          <w:tcPr>
            <w:tcW w:w="688" w:type="pct"/>
            <w:vAlign w:val="center"/>
          </w:tcPr>
          <w:p w14:paraId="1552A424">
            <w:pPr>
              <w:keepLines/>
              <w:jc w:val="center"/>
              <w:rPr>
                <w:rFonts w:cs="宋体"/>
              </w:rPr>
            </w:pPr>
            <w:r>
              <w:rPr>
                <w:rFonts w:hint="eastAsia" w:cs="宋体"/>
              </w:rPr>
              <w:t>2026.</w:t>
            </w:r>
            <w:r>
              <w:rPr>
                <w:rFonts w:cs="宋体"/>
              </w:rPr>
              <w:t>5</w:t>
            </w:r>
            <w:r>
              <w:rPr>
                <w:rFonts w:hint="eastAsia" w:cs="宋体"/>
              </w:rPr>
              <w:t>.</w:t>
            </w:r>
            <w:r>
              <w:rPr>
                <w:rFonts w:cs="宋体"/>
              </w:rPr>
              <w:t>21</w:t>
            </w:r>
          </w:p>
        </w:tc>
        <w:tc>
          <w:tcPr>
            <w:tcW w:w="686" w:type="pct"/>
            <w:vAlign w:val="center"/>
          </w:tcPr>
          <w:p w14:paraId="6ECC8600">
            <w:pPr>
              <w:keepLines/>
              <w:jc w:val="center"/>
              <w:rPr>
                <w:rFonts w:cs="宋体"/>
              </w:rPr>
            </w:pPr>
            <w:r>
              <w:rPr>
                <w:rFonts w:cs="宋体"/>
                <w:color w:val="000000"/>
              </w:rPr>
              <w:t>14.783</w:t>
            </w:r>
          </w:p>
        </w:tc>
        <w:tc>
          <w:tcPr>
            <w:tcW w:w="763" w:type="pct"/>
            <w:vAlign w:val="center"/>
          </w:tcPr>
          <w:p w14:paraId="7B5AEF4D">
            <w:pPr>
              <w:keepLines/>
              <w:jc w:val="center"/>
              <w:rPr>
                <w:rFonts w:cs="宋体"/>
              </w:rPr>
            </w:pPr>
            <w:r>
              <w:rPr>
                <w:rFonts w:hint="eastAsia" w:cs="宋体"/>
              </w:rPr>
              <w:t>0</w:t>
            </w:r>
            <w:r>
              <w:rPr>
                <w:rFonts w:cs="宋体"/>
              </w:rPr>
              <w:t>.217</w:t>
            </w:r>
          </w:p>
        </w:tc>
        <w:tc>
          <w:tcPr>
            <w:tcW w:w="592" w:type="pct"/>
            <w:vAlign w:val="center"/>
          </w:tcPr>
          <w:p w14:paraId="352D5642">
            <w:pPr>
              <w:keepLines/>
              <w:jc w:val="center"/>
              <w:rPr>
                <w:rFonts w:cs="宋体"/>
              </w:rPr>
            </w:pPr>
            <w:r>
              <w:rPr>
                <w:rFonts w:hint="eastAsia" w:cs="宋体"/>
              </w:rPr>
              <w:t>达标</w:t>
            </w:r>
          </w:p>
        </w:tc>
      </w:tr>
      <w:tr w14:paraId="3217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5" w:type="pct"/>
            <w:vAlign w:val="center"/>
          </w:tcPr>
          <w:p w14:paraId="4553B047">
            <w:pPr>
              <w:jc w:val="center"/>
              <w:rPr>
                <w:rFonts w:hint="eastAsia"/>
              </w:rPr>
            </w:pPr>
            <w:r>
              <w:rPr>
                <w:rFonts w:hint="eastAsia"/>
              </w:rPr>
              <w:t>6</w:t>
            </w:r>
          </w:p>
        </w:tc>
        <w:tc>
          <w:tcPr>
            <w:tcW w:w="1916" w:type="pct"/>
            <w:vAlign w:val="center"/>
          </w:tcPr>
          <w:p w14:paraId="62509B1D">
            <w:pPr>
              <w:jc w:val="center"/>
              <w:rPr>
                <w:rFonts w:hint="eastAsia"/>
              </w:rPr>
            </w:pPr>
            <w:r>
              <w:rPr>
                <w:rFonts w:hint="eastAsia"/>
              </w:rPr>
              <w:t>散户</w:t>
            </w:r>
          </w:p>
        </w:tc>
        <w:tc>
          <w:tcPr>
            <w:tcW w:w="688" w:type="pct"/>
            <w:vAlign w:val="center"/>
          </w:tcPr>
          <w:p w14:paraId="39836B89">
            <w:pPr>
              <w:keepLines/>
              <w:jc w:val="center"/>
              <w:rPr>
                <w:rFonts w:hint="eastAsia" w:cs="宋体"/>
              </w:rPr>
            </w:pPr>
            <w:r>
              <w:rPr>
                <w:rFonts w:hint="eastAsia" w:cs="宋体"/>
              </w:rPr>
              <w:t>2026.1.8</w:t>
            </w:r>
          </w:p>
        </w:tc>
        <w:tc>
          <w:tcPr>
            <w:tcW w:w="686" w:type="pct"/>
            <w:vAlign w:val="center"/>
          </w:tcPr>
          <w:p w14:paraId="711D9249">
            <w:pPr>
              <w:keepLines/>
              <w:jc w:val="center"/>
              <w:rPr>
                <w:rFonts w:cs="宋体"/>
                <w:color w:val="000000"/>
              </w:rPr>
            </w:pPr>
            <w:r>
              <w:rPr>
                <w:rFonts w:hint="eastAsia" w:cs="宋体"/>
                <w:color w:val="000000"/>
              </w:rPr>
              <w:t>26.945</w:t>
            </w:r>
          </w:p>
        </w:tc>
        <w:tc>
          <w:tcPr>
            <w:tcW w:w="763" w:type="pct"/>
            <w:vAlign w:val="center"/>
          </w:tcPr>
          <w:p w14:paraId="65BFBE13">
            <w:pPr>
              <w:keepLines/>
              <w:jc w:val="center"/>
              <w:rPr>
                <w:rFonts w:hint="eastAsia" w:cs="宋体"/>
              </w:rPr>
            </w:pPr>
            <w:r>
              <w:rPr>
                <w:rFonts w:hint="eastAsia" w:cs="宋体"/>
                <w:color w:val="000000"/>
              </w:rPr>
              <w:t>0.1267</w:t>
            </w:r>
          </w:p>
        </w:tc>
        <w:tc>
          <w:tcPr>
            <w:tcW w:w="592" w:type="pct"/>
            <w:vAlign w:val="center"/>
          </w:tcPr>
          <w:p w14:paraId="7DF16C8D">
            <w:pPr>
              <w:keepLines/>
              <w:jc w:val="center"/>
              <w:rPr>
                <w:rFonts w:hint="eastAsia" w:cs="宋体"/>
              </w:rPr>
            </w:pPr>
            <w:r>
              <w:rPr>
                <w:rFonts w:hint="eastAsia" w:cs="宋体"/>
              </w:rPr>
              <w:t>达标</w:t>
            </w:r>
          </w:p>
        </w:tc>
      </w:tr>
    </w:tbl>
    <w:p w14:paraId="1125DDB9">
      <w:pPr>
        <w:spacing w:line="360" w:lineRule="auto"/>
        <w:ind w:firstLine="480" w:firstLineChars="200"/>
        <w:rPr>
          <w:rFonts w:hint="eastAsia"/>
          <w:sz w:val="24"/>
          <w:szCs w:val="24"/>
        </w:rPr>
      </w:pPr>
      <w:r>
        <w:rPr>
          <w:sz w:val="24"/>
          <w:szCs w:val="24"/>
        </w:rPr>
        <w:t>根据监测结果，监测点工频电场强度在1.997~1098V/m之间、工频磁感应强度在0.1267~0.7046μT之间，均满足《电磁环境控制限值》（GB 8702-2014）4000V/m及100μT的公众曝露控制限值的标准要求。</w:t>
      </w:r>
    </w:p>
    <w:p w14:paraId="259DBE9C">
      <w:pPr>
        <w:pStyle w:val="3"/>
        <w:spacing w:before="0" w:after="0" w:line="360" w:lineRule="auto"/>
        <w:rPr>
          <w:rFonts w:ascii="Times New Roman" w:hAnsi="Times New Roman" w:eastAsia="黑体"/>
          <w:b w:val="0"/>
          <w:bCs w:val="0"/>
          <w:sz w:val="30"/>
          <w:szCs w:val="30"/>
        </w:rPr>
      </w:pPr>
      <w:bookmarkStart w:id="295" w:name="_Toc19005"/>
      <w:bookmarkStart w:id="296" w:name="_Toc12601"/>
      <w:bookmarkStart w:id="297" w:name="_Toc231571732"/>
      <w:bookmarkStart w:id="298" w:name="_Toc233036212"/>
      <w:bookmarkStart w:id="299" w:name="_Toc30559"/>
      <w:r>
        <w:rPr>
          <w:rFonts w:ascii="Times New Roman" w:hAnsi="Times New Roman" w:eastAsia="黑体"/>
          <w:b w:val="0"/>
          <w:bCs w:val="0"/>
          <w:sz w:val="30"/>
          <w:szCs w:val="30"/>
        </w:rPr>
        <w:t>3</w:t>
      </w:r>
      <w:r>
        <w:rPr>
          <w:rFonts w:hint="eastAsia" w:ascii="Times New Roman" w:hAnsi="Times New Roman" w:eastAsia="黑体"/>
          <w:b w:val="0"/>
          <w:bCs w:val="0"/>
          <w:sz w:val="30"/>
          <w:szCs w:val="30"/>
        </w:rPr>
        <w:t xml:space="preserve"> </w:t>
      </w:r>
      <w:r>
        <w:rPr>
          <w:rFonts w:ascii="Times New Roman" w:hAnsi="Times New Roman" w:eastAsia="黑体"/>
          <w:b w:val="0"/>
          <w:bCs w:val="0"/>
          <w:sz w:val="30"/>
          <w:szCs w:val="30"/>
        </w:rPr>
        <w:t>电磁环境预测与评价</w:t>
      </w:r>
      <w:bookmarkEnd w:id="295"/>
      <w:bookmarkEnd w:id="296"/>
      <w:bookmarkEnd w:id="297"/>
      <w:bookmarkEnd w:id="298"/>
      <w:bookmarkEnd w:id="299"/>
    </w:p>
    <w:p w14:paraId="794A602F">
      <w:pPr>
        <w:spacing w:line="360" w:lineRule="auto"/>
        <w:ind w:firstLine="480" w:firstLineChars="200"/>
        <w:rPr>
          <w:sz w:val="24"/>
          <w:szCs w:val="24"/>
        </w:rPr>
      </w:pPr>
      <w:r>
        <w:rPr>
          <w:sz w:val="24"/>
          <w:szCs w:val="24"/>
        </w:rPr>
        <w:t>本次电磁环境影响评价等级为二级，根据《环境影响评价技术导则</w:t>
      </w:r>
      <w:r>
        <w:rPr>
          <w:rFonts w:hint="eastAsia"/>
          <w:sz w:val="24"/>
          <w:szCs w:val="24"/>
        </w:rPr>
        <w:t xml:space="preserve"> </w:t>
      </w:r>
      <w:r>
        <w:rPr>
          <w:sz w:val="24"/>
          <w:szCs w:val="24"/>
        </w:rPr>
        <w:t>输变电》（HJ</w:t>
      </w:r>
      <w:r>
        <w:rPr>
          <w:rFonts w:hint="eastAsia"/>
          <w:sz w:val="24"/>
          <w:szCs w:val="24"/>
        </w:rPr>
        <w:t xml:space="preserve"> </w:t>
      </w:r>
      <w:r>
        <w:rPr>
          <w:sz w:val="24"/>
          <w:szCs w:val="24"/>
        </w:rPr>
        <w:t>24-2020）中二级评价的基本要求，</w:t>
      </w:r>
      <w:r>
        <w:rPr>
          <w:rFonts w:hint="eastAsia"/>
          <w:sz w:val="24"/>
          <w:szCs w:val="24"/>
        </w:rPr>
        <w:t>以礼河电厂三级电站</w:t>
      </w:r>
      <w:r>
        <w:rPr>
          <w:sz w:val="24"/>
          <w:szCs w:val="24"/>
        </w:rPr>
        <w:t>电磁环境影响预测采用类比监测的方式，因此</w:t>
      </w:r>
      <w:r>
        <w:rPr>
          <w:rFonts w:hint="eastAsia"/>
          <w:sz w:val="24"/>
          <w:szCs w:val="24"/>
        </w:rPr>
        <w:t>，本项目</w:t>
      </w:r>
      <w:r>
        <w:rPr>
          <w:sz w:val="24"/>
          <w:szCs w:val="24"/>
        </w:rPr>
        <w:t>类比同类项目电磁环境监测结果进行评价。</w:t>
      </w:r>
    </w:p>
    <w:p w14:paraId="4795A529">
      <w:pPr>
        <w:pStyle w:val="5"/>
        <w:spacing w:before="0" w:after="0" w:line="360" w:lineRule="auto"/>
        <w:rPr>
          <w:rFonts w:eastAsia="黑体"/>
          <w:b w:val="0"/>
          <w:bCs w:val="0"/>
          <w:sz w:val="28"/>
          <w:szCs w:val="28"/>
        </w:rPr>
      </w:pPr>
      <w:bookmarkStart w:id="300" w:name="_Toc26580"/>
      <w:bookmarkStart w:id="301" w:name="_Toc231571733"/>
      <w:bookmarkStart w:id="302" w:name="_Toc7453"/>
      <w:bookmarkStart w:id="303" w:name="_Toc233036213"/>
      <w:bookmarkStart w:id="304" w:name="_Toc25236"/>
      <w:r>
        <w:rPr>
          <w:rFonts w:eastAsia="黑体"/>
          <w:b w:val="0"/>
          <w:bCs w:val="0"/>
          <w:sz w:val="28"/>
          <w:szCs w:val="28"/>
        </w:rPr>
        <w:t>3.</w:t>
      </w:r>
      <w:r>
        <w:rPr>
          <w:rFonts w:hint="eastAsia" w:eastAsia="黑体"/>
          <w:b w:val="0"/>
          <w:bCs w:val="0"/>
          <w:sz w:val="28"/>
          <w:szCs w:val="28"/>
        </w:rPr>
        <w:t xml:space="preserve">1 </w:t>
      </w:r>
      <w:r>
        <w:rPr>
          <w:rFonts w:eastAsia="黑体"/>
          <w:b w:val="0"/>
          <w:bCs w:val="0"/>
          <w:sz w:val="28"/>
          <w:szCs w:val="28"/>
        </w:rPr>
        <w:t>类比可行性分析</w:t>
      </w:r>
      <w:bookmarkEnd w:id="300"/>
      <w:bookmarkEnd w:id="301"/>
      <w:bookmarkEnd w:id="302"/>
      <w:bookmarkEnd w:id="303"/>
      <w:bookmarkEnd w:id="304"/>
    </w:p>
    <w:p w14:paraId="42C8CD07">
      <w:pPr>
        <w:spacing w:line="360" w:lineRule="auto"/>
        <w:ind w:firstLine="480" w:firstLineChars="200"/>
        <w:rPr>
          <w:kern w:val="0"/>
          <w:sz w:val="24"/>
        </w:rPr>
      </w:pPr>
      <w:r>
        <w:rPr>
          <w:rFonts w:hint="eastAsia"/>
          <w:kern w:val="0"/>
          <w:sz w:val="24"/>
        </w:rPr>
        <w:t>根</w:t>
      </w:r>
      <w:r>
        <w:rPr>
          <w:kern w:val="0"/>
          <w:sz w:val="24"/>
        </w:rPr>
        <w:t>据《环境影响评价技术导则</w:t>
      </w:r>
      <w:r>
        <w:rPr>
          <w:rFonts w:hint="eastAsia"/>
          <w:kern w:val="0"/>
          <w:sz w:val="24"/>
        </w:rPr>
        <w:t xml:space="preserve"> </w:t>
      </w:r>
      <w:r>
        <w:rPr>
          <w:kern w:val="0"/>
          <w:sz w:val="24"/>
        </w:rPr>
        <w:t>输变电》（HJ</w:t>
      </w:r>
      <w:r>
        <w:rPr>
          <w:rFonts w:hint="eastAsia"/>
          <w:kern w:val="0"/>
          <w:sz w:val="24"/>
        </w:rPr>
        <w:t xml:space="preserve"> </w:t>
      </w:r>
      <w:r>
        <w:rPr>
          <w:kern w:val="0"/>
          <w:sz w:val="24"/>
        </w:rPr>
        <w:t>24-2020）类比原则，</w:t>
      </w:r>
      <w:r>
        <w:rPr>
          <w:rFonts w:hint="eastAsia"/>
          <w:kern w:val="0"/>
          <w:sz w:val="24"/>
        </w:rPr>
        <w:t>本项目电磁</w:t>
      </w:r>
      <w:r>
        <w:rPr>
          <w:kern w:val="0"/>
          <w:sz w:val="24"/>
        </w:rPr>
        <w:t>影响预测</w:t>
      </w:r>
      <w:r>
        <w:rPr>
          <w:rFonts w:hint="eastAsia"/>
          <w:kern w:val="0"/>
          <w:sz w:val="24"/>
        </w:rPr>
        <w:t>对象</w:t>
      </w:r>
      <w:r>
        <w:rPr>
          <w:kern w:val="0"/>
          <w:sz w:val="24"/>
        </w:rPr>
        <w:t>选择</w:t>
      </w:r>
      <w:r>
        <w:rPr>
          <w:rFonts w:hint="eastAsia"/>
          <w:kern w:val="0"/>
          <w:sz w:val="24"/>
        </w:rPr>
        <w:t>成都武侯220kV变电站</w:t>
      </w:r>
      <w:r>
        <w:rPr>
          <w:kern w:val="0"/>
          <w:sz w:val="24"/>
        </w:rPr>
        <w:t>。</w:t>
      </w:r>
      <w:r>
        <w:rPr>
          <w:rFonts w:hint="eastAsia"/>
          <w:kern w:val="0"/>
          <w:sz w:val="24"/>
        </w:rPr>
        <w:t>本项目</w:t>
      </w:r>
      <w:r>
        <w:rPr>
          <w:kern w:val="0"/>
          <w:sz w:val="24"/>
        </w:rPr>
        <w:t>升压站与类比升压站的类比参数情况详见下表</w:t>
      </w:r>
      <w:r>
        <w:rPr>
          <w:rFonts w:hint="eastAsia"/>
          <w:kern w:val="0"/>
          <w:sz w:val="24"/>
        </w:rPr>
        <w:t>3.1-1</w:t>
      </w:r>
      <w:r>
        <w:rPr>
          <w:kern w:val="0"/>
          <w:sz w:val="24"/>
        </w:rPr>
        <w:t>。</w:t>
      </w:r>
    </w:p>
    <w:p w14:paraId="756A4E28">
      <w:pPr>
        <w:spacing w:line="360" w:lineRule="auto"/>
        <w:ind w:firstLine="480" w:firstLineChars="200"/>
        <w:rPr>
          <w:rFonts w:hint="eastAsia"/>
          <w:kern w:val="0"/>
          <w:sz w:val="24"/>
        </w:rPr>
      </w:pPr>
      <w:r>
        <w:rPr>
          <w:rFonts w:hint="eastAsia"/>
          <w:kern w:val="0"/>
          <w:sz w:val="24"/>
        </w:rPr>
        <w:t>根据《成都武侯220kV变电站增容改造工程建设项目竣工环境保护验收调查表》，成都武侯220kV变电站增容改造工程建设项目已千2020年9月完成竣工环境保护验收工作。该变电站电压等级为220kV，已投入运行，2020年5月18日由成都同洲科技有限责任公司对项目进行监测，监测期间，变电站运行正常。</w:t>
      </w:r>
    </w:p>
    <w:p w14:paraId="1593001F">
      <w:pPr>
        <w:keepNext/>
        <w:keepLines/>
        <w:spacing w:line="360" w:lineRule="auto"/>
        <w:jc w:val="center"/>
        <w:rPr>
          <w:b/>
          <w:bCs/>
          <w:sz w:val="24"/>
          <w:szCs w:val="24"/>
        </w:rPr>
      </w:pPr>
      <w:r>
        <w:rPr>
          <w:b/>
          <w:bCs/>
          <w:sz w:val="24"/>
          <w:szCs w:val="24"/>
        </w:rPr>
        <w:t xml:space="preserve">表3.1-1  </w:t>
      </w:r>
      <w:r>
        <w:rPr>
          <w:rFonts w:hint="eastAsia"/>
          <w:b/>
          <w:bCs/>
          <w:sz w:val="24"/>
          <w:szCs w:val="24"/>
        </w:rPr>
        <w:t>本项目</w:t>
      </w:r>
      <w:r>
        <w:rPr>
          <w:b/>
          <w:bCs/>
          <w:sz w:val="24"/>
          <w:szCs w:val="24"/>
        </w:rPr>
        <w:t>与类比升压站的类比参数</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4"/>
        <w:gridCol w:w="3119"/>
        <w:gridCol w:w="2836"/>
        <w:gridCol w:w="1098"/>
      </w:tblGrid>
      <w:tr w14:paraId="6B02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03" w:type="pct"/>
            <w:vAlign w:val="center"/>
          </w:tcPr>
          <w:p w14:paraId="03E49CA1">
            <w:pPr>
              <w:keepNext/>
              <w:keepLines/>
              <w:jc w:val="center"/>
              <w:rPr>
                <w:b/>
                <w:bCs/>
                <w:kern w:val="0"/>
              </w:rPr>
            </w:pPr>
            <w:bookmarkStart w:id="305" w:name="OLE_LINK32"/>
            <w:r>
              <w:rPr>
                <w:b/>
                <w:bCs/>
                <w:kern w:val="0"/>
              </w:rPr>
              <w:t>项目</w:t>
            </w:r>
          </w:p>
        </w:tc>
        <w:tc>
          <w:tcPr>
            <w:tcW w:w="1679" w:type="pct"/>
            <w:vAlign w:val="center"/>
          </w:tcPr>
          <w:p w14:paraId="5CBD18A6">
            <w:pPr>
              <w:keepNext/>
              <w:keepLines/>
              <w:jc w:val="center"/>
              <w:rPr>
                <w:b/>
                <w:bCs/>
                <w:kern w:val="0"/>
              </w:rPr>
            </w:pPr>
            <w:r>
              <w:rPr>
                <w:b/>
                <w:bCs/>
              </w:rPr>
              <w:t>本项目升压站</w:t>
            </w:r>
          </w:p>
        </w:tc>
        <w:tc>
          <w:tcPr>
            <w:tcW w:w="1527" w:type="pct"/>
            <w:vAlign w:val="center"/>
          </w:tcPr>
          <w:p w14:paraId="6B92704C">
            <w:pPr>
              <w:keepNext/>
              <w:keepLines/>
              <w:jc w:val="center"/>
              <w:rPr>
                <w:b/>
                <w:bCs/>
                <w:kern w:val="0"/>
              </w:rPr>
            </w:pPr>
            <w:r>
              <w:rPr>
                <w:b/>
                <w:bCs/>
                <w:kern w:val="0"/>
              </w:rPr>
              <w:t>类比项目升压站</w:t>
            </w:r>
          </w:p>
        </w:tc>
        <w:tc>
          <w:tcPr>
            <w:tcW w:w="591" w:type="pct"/>
            <w:vAlign w:val="center"/>
          </w:tcPr>
          <w:p w14:paraId="50BEC748">
            <w:pPr>
              <w:keepNext/>
              <w:keepLines/>
              <w:jc w:val="center"/>
              <w:rPr>
                <w:b/>
                <w:bCs/>
                <w:kern w:val="0"/>
              </w:rPr>
            </w:pPr>
            <w:r>
              <w:rPr>
                <w:b/>
                <w:bCs/>
                <w:kern w:val="0"/>
              </w:rPr>
              <w:t>类比对象可行性</w:t>
            </w:r>
          </w:p>
        </w:tc>
      </w:tr>
      <w:tr w14:paraId="697E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03" w:type="pct"/>
            <w:vAlign w:val="center"/>
          </w:tcPr>
          <w:p w14:paraId="01CEA77A">
            <w:pPr>
              <w:keepNext/>
              <w:keepLines/>
              <w:jc w:val="center"/>
              <w:rPr>
                <w:kern w:val="0"/>
              </w:rPr>
            </w:pPr>
            <w:r>
              <w:rPr>
                <w:kern w:val="0"/>
              </w:rPr>
              <w:t>运行电压等级</w:t>
            </w:r>
          </w:p>
        </w:tc>
        <w:tc>
          <w:tcPr>
            <w:tcW w:w="1679" w:type="pct"/>
            <w:vAlign w:val="center"/>
          </w:tcPr>
          <w:p w14:paraId="40882C41">
            <w:pPr>
              <w:keepNext/>
              <w:keepLines/>
              <w:jc w:val="center"/>
              <w:rPr>
                <w:kern w:val="0"/>
              </w:rPr>
            </w:pPr>
            <w:r>
              <w:rPr>
                <w:kern w:val="0"/>
              </w:rPr>
              <w:t>110kV、220kV</w:t>
            </w:r>
          </w:p>
        </w:tc>
        <w:tc>
          <w:tcPr>
            <w:tcW w:w="1527" w:type="pct"/>
            <w:vAlign w:val="center"/>
          </w:tcPr>
          <w:p w14:paraId="6D797E69">
            <w:pPr>
              <w:keepNext/>
              <w:keepLines/>
              <w:jc w:val="center"/>
              <w:rPr>
                <w:kern w:val="0"/>
              </w:rPr>
            </w:pPr>
            <w:r>
              <w:rPr>
                <w:kern w:val="0"/>
              </w:rPr>
              <w:t>220kV</w:t>
            </w:r>
          </w:p>
        </w:tc>
        <w:tc>
          <w:tcPr>
            <w:tcW w:w="591" w:type="pct"/>
            <w:vAlign w:val="center"/>
          </w:tcPr>
          <w:p w14:paraId="78E1332D">
            <w:pPr>
              <w:keepNext/>
              <w:keepLines/>
              <w:jc w:val="center"/>
              <w:rPr>
                <w:kern w:val="0"/>
              </w:rPr>
            </w:pPr>
            <w:r>
              <w:rPr>
                <w:kern w:val="0"/>
              </w:rPr>
              <w:t>可行</w:t>
            </w:r>
          </w:p>
        </w:tc>
      </w:tr>
      <w:tr w14:paraId="10ED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203" w:type="pct"/>
            <w:vAlign w:val="center"/>
          </w:tcPr>
          <w:p w14:paraId="04AFA595">
            <w:pPr>
              <w:keepNext/>
              <w:keepLines/>
              <w:jc w:val="center"/>
              <w:rPr>
                <w:kern w:val="0"/>
              </w:rPr>
            </w:pPr>
            <w:r>
              <w:rPr>
                <w:kern w:val="0"/>
              </w:rPr>
              <w:t>主变压器规模</w:t>
            </w:r>
          </w:p>
        </w:tc>
        <w:tc>
          <w:tcPr>
            <w:tcW w:w="1679" w:type="pct"/>
            <w:vAlign w:val="center"/>
          </w:tcPr>
          <w:p w14:paraId="567CC8A4">
            <w:pPr>
              <w:keepNext/>
              <w:keepLines/>
              <w:jc w:val="center"/>
              <w:rPr>
                <w:kern w:val="0"/>
              </w:rPr>
            </w:pPr>
            <w:r>
              <w:rPr>
                <w:kern w:val="0"/>
              </w:rPr>
              <w:t>1×50MVA（新增）+2×90MVA+2×45MVA</w:t>
            </w:r>
          </w:p>
        </w:tc>
        <w:tc>
          <w:tcPr>
            <w:tcW w:w="1527" w:type="pct"/>
            <w:vAlign w:val="center"/>
          </w:tcPr>
          <w:p w14:paraId="30131330">
            <w:pPr>
              <w:keepNext/>
              <w:keepLines/>
              <w:jc w:val="center"/>
              <w:rPr>
                <w:kern w:val="0"/>
              </w:rPr>
            </w:pPr>
            <w:r>
              <w:rPr>
                <w:kern w:val="0"/>
              </w:rPr>
              <w:t>2×240MVA</w:t>
            </w:r>
          </w:p>
        </w:tc>
        <w:tc>
          <w:tcPr>
            <w:tcW w:w="591" w:type="pct"/>
            <w:vAlign w:val="center"/>
          </w:tcPr>
          <w:p w14:paraId="3BCF21C5">
            <w:pPr>
              <w:keepNext/>
              <w:keepLines/>
              <w:jc w:val="center"/>
              <w:rPr>
                <w:kern w:val="0"/>
              </w:rPr>
            </w:pPr>
            <w:r>
              <w:rPr>
                <w:kern w:val="0"/>
              </w:rPr>
              <w:t>可行</w:t>
            </w:r>
          </w:p>
        </w:tc>
      </w:tr>
      <w:tr w14:paraId="178A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03" w:type="pct"/>
            <w:vAlign w:val="center"/>
          </w:tcPr>
          <w:p w14:paraId="4420ECA5">
            <w:pPr>
              <w:widowControl/>
              <w:jc w:val="center"/>
              <w:rPr>
                <w:kern w:val="0"/>
              </w:rPr>
            </w:pPr>
            <w:r>
              <w:rPr>
                <w:kern w:val="0"/>
              </w:rPr>
              <w:t>总平面布置</w:t>
            </w:r>
          </w:p>
        </w:tc>
        <w:tc>
          <w:tcPr>
            <w:tcW w:w="1679" w:type="pct"/>
            <w:vAlign w:val="center"/>
          </w:tcPr>
          <w:p w14:paraId="5D54AF32">
            <w:pPr>
              <w:widowControl/>
              <w:jc w:val="center"/>
            </w:pPr>
            <w:r>
              <w:rPr>
                <w:kern w:val="0"/>
              </w:rPr>
              <w:t>（1）1×50MVA（新增）户外式，采用110kV配电装置，110kV主变压器；（2）2×90MVA，户内式，采用220kV配电装置、220kV主变压器；（3）2×45MVA，户内式，采用110kV配电装置、110kV主变压器</w:t>
            </w:r>
          </w:p>
        </w:tc>
        <w:tc>
          <w:tcPr>
            <w:tcW w:w="1527" w:type="pct"/>
            <w:vAlign w:val="center"/>
          </w:tcPr>
          <w:p w14:paraId="2716F7EA">
            <w:pPr>
              <w:widowControl/>
              <w:jc w:val="center"/>
              <w:rPr>
                <w:kern w:val="0"/>
              </w:rPr>
            </w:pPr>
            <w:r>
              <w:rPr>
                <w:rFonts w:hint="eastAsia"/>
              </w:rPr>
              <w:t>户外式，采用220kV配电装置、220kV主变压器及35kV配电装置</w:t>
            </w:r>
          </w:p>
        </w:tc>
        <w:tc>
          <w:tcPr>
            <w:tcW w:w="591" w:type="pct"/>
            <w:vAlign w:val="center"/>
          </w:tcPr>
          <w:p w14:paraId="2869CDD3">
            <w:pPr>
              <w:widowControl/>
              <w:jc w:val="center"/>
            </w:pPr>
            <w:r>
              <w:rPr>
                <w:kern w:val="0"/>
              </w:rPr>
              <w:t>可行</w:t>
            </w:r>
          </w:p>
        </w:tc>
      </w:tr>
      <w:tr w14:paraId="0B23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03" w:type="pct"/>
            <w:vAlign w:val="center"/>
          </w:tcPr>
          <w:p w14:paraId="59DE1859">
            <w:pPr>
              <w:widowControl/>
              <w:jc w:val="center"/>
              <w:rPr>
                <w:kern w:val="0"/>
              </w:rPr>
            </w:pPr>
            <w:r>
              <w:rPr>
                <w:kern w:val="0"/>
              </w:rPr>
              <w:t>布置方式</w:t>
            </w:r>
          </w:p>
        </w:tc>
        <w:tc>
          <w:tcPr>
            <w:tcW w:w="1679" w:type="pct"/>
            <w:vAlign w:val="center"/>
          </w:tcPr>
          <w:p w14:paraId="655208D5">
            <w:pPr>
              <w:widowControl/>
              <w:jc w:val="center"/>
              <w:rPr>
                <w:kern w:val="0"/>
              </w:rPr>
            </w:pPr>
            <w:r>
              <w:rPr>
                <w:kern w:val="0"/>
              </w:rPr>
              <w:t>户外式和户内式</w:t>
            </w:r>
          </w:p>
        </w:tc>
        <w:tc>
          <w:tcPr>
            <w:tcW w:w="1527" w:type="pct"/>
            <w:vAlign w:val="center"/>
          </w:tcPr>
          <w:p w14:paraId="5DE11ED6">
            <w:pPr>
              <w:widowControl/>
              <w:jc w:val="center"/>
              <w:rPr>
                <w:kern w:val="0"/>
              </w:rPr>
            </w:pPr>
            <w:r>
              <w:rPr>
                <w:kern w:val="0"/>
              </w:rPr>
              <w:t>户外式</w:t>
            </w:r>
          </w:p>
        </w:tc>
        <w:tc>
          <w:tcPr>
            <w:tcW w:w="591" w:type="pct"/>
            <w:vAlign w:val="center"/>
          </w:tcPr>
          <w:p w14:paraId="7F416104">
            <w:pPr>
              <w:widowControl/>
              <w:jc w:val="center"/>
              <w:rPr>
                <w:kern w:val="0"/>
              </w:rPr>
            </w:pPr>
            <w:r>
              <w:rPr>
                <w:kern w:val="0"/>
              </w:rPr>
              <w:t>可行</w:t>
            </w:r>
          </w:p>
        </w:tc>
      </w:tr>
      <w:tr w14:paraId="75F6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03" w:type="pct"/>
            <w:vAlign w:val="center"/>
          </w:tcPr>
          <w:p w14:paraId="0C242F46">
            <w:pPr>
              <w:widowControl/>
              <w:jc w:val="center"/>
              <w:rPr>
                <w:kern w:val="0"/>
              </w:rPr>
            </w:pPr>
            <w:r>
              <w:rPr>
                <w:rFonts w:hint="eastAsia"/>
                <w:kern w:val="0"/>
              </w:rPr>
              <w:t>主变与围墙距离</w:t>
            </w:r>
          </w:p>
        </w:tc>
        <w:tc>
          <w:tcPr>
            <w:tcW w:w="1679" w:type="pct"/>
            <w:vAlign w:val="center"/>
          </w:tcPr>
          <w:p w14:paraId="7AFC9B83">
            <w:pPr>
              <w:widowControl/>
              <w:jc w:val="center"/>
              <w:rPr>
                <w:rFonts w:hint="eastAsia"/>
                <w:kern w:val="0"/>
              </w:rPr>
            </w:pPr>
            <w:r>
              <w:rPr>
                <w:rFonts w:hint="eastAsia"/>
                <w:kern w:val="0"/>
              </w:rPr>
              <w:t>东侧距升压站主变约380m</w:t>
            </w:r>
          </w:p>
          <w:p w14:paraId="7A08D514">
            <w:pPr>
              <w:widowControl/>
              <w:jc w:val="center"/>
              <w:rPr>
                <w:rFonts w:hint="eastAsia"/>
                <w:kern w:val="0"/>
              </w:rPr>
            </w:pPr>
            <w:r>
              <w:rPr>
                <w:rFonts w:hint="eastAsia"/>
                <w:kern w:val="0"/>
              </w:rPr>
              <w:t>南侧距升压站主变约20m</w:t>
            </w:r>
          </w:p>
          <w:p w14:paraId="3DC6DC28">
            <w:pPr>
              <w:widowControl/>
              <w:jc w:val="center"/>
              <w:rPr>
                <w:rFonts w:hint="eastAsia"/>
                <w:kern w:val="0"/>
              </w:rPr>
            </w:pPr>
            <w:r>
              <w:rPr>
                <w:rFonts w:hint="eastAsia"/>
                <w:kern w:val="0"/>
              </w:rPr>
              <w:t>西侧距升压站主变约80m</w:t>
            </w:r>
          </w:p>
          <w:p w14:paraId="352A1E30">
            <w:pPr>
              <w:widowControl/>
              <w:jc w:val="center"/>
              <w:rPr>
                <w:kern w:val="0"/>
              </w:rPr>
            </w:pPr>
            <w:r>
              <w:rPr>
                <w:rFonts w:hint="eastAsia"/>
                <w:kern w:val="0"/>
              </w:rPr>
              <w:t>北侧距升压站主变约15m</w:t>
            </w:r>
          </w:p>
        </w:tc>
        <w:tc>
          <w:tcPr>
            <w:tcW w:w="1527" w:type="pct"/>
            <w:vAlign w:val="center"/>
          </w:tcPr>
          <w:p w14:paraId="7D0D90A0">
            <w:pPr>
              <w:widowControl/>
              <w:jc w:val="center"/>
              <w:rPr>
                <w:rFonts w:hint="eastAsia"/>
                <w:kern w:val="0"/>
              </w:rPr>
            </w:pPr>
            <w:r>
              <w:rPr>
                <w:rFonts w:hint="eastAsia"/>
                <w:kern w:val="0"/>
              </w:rPr>
              <w:t>东侧距升压站主变约</w:t>
            </w:r>
            <w:r>
              <w:rPr>
                <w:kern w:val="0"/>
              </w:rPr>
              <w:t>25</w:t>
            </w:r>
            <w:r>
              <w:rPr>
                <w:rFonts w:hint="eastAsia"/>
                <w:kern w:val="0"/>
              </w:rPr>
              <w:t>m</w:t>
            </w:r>
          </w:p>
          <w:p w14:paraId="1818E09C">
            <w:pPr>
              <w:widowControl/>
              <w:jc w:val="center"/>
              <w:rPr>
                <w:rFonts w:hint="eastAsia"/>
                <w:kern w:val="0"/>
              </w:rPr>
            </w:pPr>
            <w:r>
              <w:rPr>
                <w:rFonts w:hint="eastAsia"/>
                <w:kern w:val="0"/>
              </w:rPr>
              <w:t>南侧距升压站主变约2</w:t>
            </w:r>
            <w:r>
              <w:rPr>
                <w:kern w:val="0"/>
              </w:rPr>
              <w:t>5</w:t>
            </w:r>
            <w:r>
              <w:rPr>
                <w:rFonts w:hint="eastAsia"/>
                <w:kern w:val="0"/>
              </w:rPr>
              <w:t>m</w:t>
            </w:r>
          </w:p>
          <w:p w14:paraId="2A113BF9">
            <w:pPr>
              <w:widowControl/>
              <w:jc w:val="center"/>
              <w:rPr>
                <w:rFonts w:hint="eastAsia"/>
                <w:kern w:val="0"/>
              </w:rPr>
            </w:pPr>
            <w:r>
              <w:rPr>
                <w:rFonts w:hint="eastAsia"/>
                <w:kern w:val="0"/>
              </w:rPr>
              <w:t>西侧距升压站主变约</w:t>
            </w:r>
            <w:r>
              <w:rPr>
                <w:kern w:val="0"/>
              </w:rPr>
              <w:t>30</w:t>
            </w:r>
            <w:r>
              <w:rPr>
                <w:rFonts w:hint="eastAsia"/>
                <w:kern w:val="0"/>
              </w:rPr>
              <w:t>m</w:t>
            </w:r>
          </w:p>
          <w:p w14:paraId="7DC7D1B0">
            <w:pPr>
              <w:widowControl/>
              <w:jc w:val="center"/>
              <w:rPr>
                <w:kern w:val="0"/>
              </w:rPr>
            </w:pPr>
            <w:r>
              <w:rPr>
                <w:rFonts w:hint="eastAsia"/>
                <w:kern w:val="0"/>
              </w:rPr>
              <w:t>北侧距升压站主变约</w:t>
            </w:r>
            <w:r>
              <w:rPr>
                <w:kern w:val="0"/>
              </w:rPr>
              <w:t>120</w:t>
            </w:r>
            <w:r>
              <w:rPr>
                <w:rFonts w:hint="eastAsia"/>
                <w:kern w:val="0"/>
              </w:rPr>
              <w:t>m</w:t>
            </w:r>
          </w:p>
        </w:tc>
        <w:tc>
          <w:tcPr>
            <w:tcW w:w="591" w:type="pct"/>
            <w:vAlign w:val="center"/>
          </w:tcPr>
          <w:p w14:paraId="6E53BA54">
            <w:pPr>
              <w:widowControl/>
              <w:jc w:val="center"/>
              <w:rPr>
                <w:kern w:val="0"/>
              </w:rPr>
            </w:pPr>
            <w:r>
              <w:rPr>
                <w:kern w:val="0"/>
              </w:rPr>
              <w:t>可行</w:t>
            </w:r>
          </w:p>
        </w:tc>
      </w:tr>
      <w:tr w14:paraId="4971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03" w:type="pct"/>
            <w:vAlign w:val="center"/>
          </w:tcPr>
          <w:p w14:paraId="1E6993C9">
            <w:pPr>
              <w:widowControl/>
              <w:jc w:val="center"/>
              <w:rPr>
                <w:kern w:val="0"/>
              </w:rPr>
            </w:pPr>
            <w:r>
              <w:rPr>
                <w:kern w:val="0"/>
              </w:rPr>
              <w:t>出线规模</w:t>
            </w:r>
          </w:p>
        </w:tc>
        <w:tc>
          <w:tcPr>
            <w:tcW w:w="1679" w:type="pct"/>
            <w:vAlign w:val="center"/>
          </w:tcPr>
          <w:p w14:paraId="22CB8AB3">
            <w:pPr>
              <w:widowControl/>
              <w:jc w:val="center"/>
              <w:rPr>
                <w:kern w:val="0"/>
              </w:rPr>
            </w:pPr>
            <w:r>
              <w:rPr>
                <w:kern w:val="0"/>
              </w:rPr>
              <w:t>110kV 4回，220kV 2回</w:t>
            </w:r>
          </w:p>
        </w:tc>
        <w:tc>
          <w:tcPr>
            <w:tcW w:w="1527" w:type="pct"/>
            <w:vAlign w:val="center"/>
          </w:tcPr>
          <w:p w14:paraId="01274EFA">
            <w:pPr>
              <w:widowControl/>
              <w:jc w:val="center"/>
              <w:rPr>
                <w:kern w:val="0"/>
              </w:rPr>
            </w:pPr>
            <w:r>
              <w:rPr>
                <w:rFonts w:hint="eastAsia"/>
                <w:kern w:val="0"/>
              </w:rPr>
              <w:t>220kV架空出线8回</w:t>
            </w:r>
          </w:p>
        </w:tc>
        <w:tc>
          <w:tcPr>
            <w:tcW w:w="591" w:type="pct"/>
            <w:vAlign w:val="center"/>
          </w:tcPr>
          <w:p w14:paraId="62784A89">
            <w:pPr>
              <w:widowControl/>
              <w:jc w:val="center"/>
              <w:rPr>
                <w:kern w:val="0"/>
              </w:rPr>
            </w:pPr>
            <w:r>
              <w:rPr>
                <w:kern w:val="0"/>
              </w:rPr>
              <w:t>可行</w:t>
            </w:r>
          </w:p>
        </w:tc>
      </w:tr>
      <w:tr w14:paraId="28F2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03" w:type="pct"/>
            <w:vAlign w:val="center"/>
          </w:tcPr>
          <w:p w14:paraId="360FCCFB">
            <w:pPr>
              <w:widowControl/>
              <w:jc w:val="center"/>
              <w:rPr>
                <w:kern w:val="0"/>
              </w:rPr>
            </w:pPr>
            <w:r>
              <w:rPr>
                <w:kern w:val="0"/>
              </w:rPr>
              <w:t>出线方式</w:t>
            </w:r>
          </w:p>
        </w:tc>
        <w:tc>
          <w:tcPr>
            <w:tcW w:w="1679" w:type="pct"/>
            <w:vAlign w:val="center"/>
          </w:tcPr>
          <w:p w14:paraId="321E4413">
            <w:pPr>
              <w:widowControl/>
              <w:jc w:val="center"/>
              <w:rPr>
                <w:kern w:val="0"/>
              </w:rPr>
            </w:pPr>
            <w:r>
              <w:rPr>
                <w:kern w:val="0"/>
              </w:rPr>
              <w:t>架空出线</w:t>
            </w:r>
          </w:p>
        </w:tc>
        <w:tc>
          <w:tcPr>
            <w:tcW w:w="1527" w:type="pct"/>
            <w:vAlign w:val="center"/>
          </w:tcPr>
          <w:p w14:paraId="6C2D084B">
            <w:pPr>
              <w:widowControl/>
              <w:jc w:val="center"/>
              <w:rPr>
                <w:kern w:val="0"/>
              </w:rPr>
            </w:pPr>
            <w:r>
              <w:rPr>
                <w:kern w:val="0"/>
              </w:rPr>
              <w:t>架空出线</w:t>
            </w:r>
          </w:p>
        </w:tc>
        <w:tc>
          <w:tcPr>
            <w:tcW w:w="591" w:type="pct"/>
            <w:vAlign w:val="center"/>
          </w:tcPr>
          <w:p w14:paraId="26A94440">
            <w:pPr>
              <w:widowControl/>
              <w:jc w:val="center"/>
              <w:rPr>
                <w:kern w:val="0"/>
              </w:rPr>
            </w:pPr>
            <w:r>
              <w:rPr>
                <w:kern w:val="0"/>
              </w:rPr>
              <w:t>可行</w:t>
            </w:r>
          </w:p>
        </w:tc>
      </w:tr>
      <w:tr w14:paraId="7709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03" w:type="pct"/>
            <w:vAlign w:val="center"/>
          </w:tcPr>
          <w:p w14:paraId="7861C938">
            <w:pPr>
              <w:jc w:val="center"/>
              <w:rPr>
                <w:kern w:val="0"/>
              </w:rPr>
            </w:pPr>
            <w:r>
              <w:t>电气形式</w:t>
            </w:r>
          </w:p>
        </w:tc>
        <w:tc>
          <w:tcPr>
            <w:tcW w:w="1679" w:type="pct"/>
            <w:vAlign w:val="center"/>
          </w:tcPr>
          <w:p w14:paraId="7ACC390E">
            <w:pPr>
              <w:jc w:val="center"/>
              <w:rPr>
                <w:kern w:val="0"/>
              </w:rPr>
            </w:pPr>
            <w:r>
              <w:rPr>
                <w:rFonts w:hint="eastAsia"/>
              </w:rPr>
              <w:t>新增主变户外GIS布置、现有主变户内GIS布置</w:t>
            </w:r>
          </w:p>
        </w:tc>
        <w:tc>
          <w:tcPr>
            <w:tcW w:w="1527" w:type="pct"/>
            <w:vAlign w:val="center"/>
          </w:tcPr>
          <w:p w14:paraId="0D3B0704">
            <w:pPr>
              <w:jc w:val="center"/>
              <w:rPr>
                <w:kern w:val="0"/>
              </w:rPr>
            </w:pPr>
            <w:r>
              <w:t>户外GIS布置</w:t>
            </w:r>
          </w:p>
        </w:tc>
        <w:tc>
          <w:tcPr>
            <w:tcW w:w="591" w:type="pct"/>
            <w:vAlign w:val="center"/>
          </w:tcPr>
          <w:p w14:paraId="073E5CFF">
            <w:pPr>
              <w:jc w:val="center"/>
            </w:pPr>
            <w:r>
              <w:rPr>
                <w:kern w:val="0"/>
              </w:rPr>
              <w:t>可行</w:t>
            </w:r>
          </w:p>
        </w:tc>
      </w:tr>
      <w:tr w14:paraId="7B71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03" w:type="pct"/>
            <w:vAlign w:val="center"/>
          </w:tcPr>
          <w:p w14:paraId="2D0C31A3">
            <w:pPr>
              <w:jc w:val="center"/>
              <w:rPr>
                <w:kern w:val="0"/>
              </w:rPr>
            </w:pPr>
            <w:r>
              <w:t>环境条件</w:t>
            </w:r>
          </w:p>
        </w:tc>
        <w:tc>
          <w:tcPr>
            <w:tcW w:w="1679" w:type="pct"/>
          </w:tcPr>
          <w:p w14:paraId="34323553">
            <w:pPr>
              <w:jc w:val="center"/>
              <w:rPr>
                <w:kern w:val="0"/>
              </w:rPr>
            </w:pPr>
            <w:r>
              <w:rPr>
                <w:color w:val="000000"/>
              </w:rPr>
              <w:t>山地</w:t>
            </w:r>
          </w:p>
        </w:tc>
        <w:tc>
          <w:tcPr>
            <w:tcW w:w="1527" w:type="pct"/>
          </w:tcPr>
          <w:p w14:paraId="58FC89F5">
            <w:pPr>
              <w:jc w:val="center"/>
              <w:rPr>
                <w:kern w:val="0"/>
              </w:rPr>
            </w:pPr>
            <w:r>
              <w:rPr>
                <w:color w:val="000000"/>
              </w:rPr>
              <w:t>山地</w:t>
            </w:r>
          </w:p>
        </w:tc>
        <w:tc>
          <w:tcPr>
            <w:tcW w:w="591" w:type="pct"/>
            <w:vAlign w:val="center"/>
          </w:tcPr>
          <w:p w14:paraId="41C6961F">
            <w:pPr>
              <w:jc w:val="center"/>
              <w:rPr>
                <w:kern w:val="0"/>
              </w:rPr>
            </w:pPr>
            <w:r>
              <w:rPr>
                <w:kern w:val="0"/>
              </w:rPr>
              <w:t>可行</w:t>
            </w:r>
          </w:p>
        </w:tc>
      </w:tr>
      <w:tr w14:paraId="5ADB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03" w:type="pct"/>
            <w:vAlign w:val="center"/>
          </w:tcPr>
          <w:p w14:paraId="3E4DB058">
            <w:pPr>
              <w:jc w:val="center"/>
            </w:pPr>
            <w:r>
              <w:rPr>
                <w:rFonts w:hint="eastAsia"/>
              </w:rPr>
              <w:t>占地面积</w:t>
            </w:r>
          </w:p>
        </w:tc>
        <w:tc>
          <w:tcPr>
            <w:tcW w:w="1679" w:type="pct"/>
          </w:tcPr>
          <w:p w14:paraId="5E6E588B">
            <w:pPr>
              <w:jc w:val="center"/>
              <w:rPr>
                <w:color w:val="000000"/>
              </w:rPr>
            </w:pPr>
            <w:r>
              <w:rPr>
                <w:rFonts w:hint="eastAsia"/>
                <w:color w:val="000000"/>
              </w:rPr>
              <w:t>1</w:t>
            </w:r>
            <w:r>
              <w:rPr>
                <w:color w:val="000000"/>
              </w:rPr>
              <w:t>2000</w:t>
            </w:r>
            <w:r>
              <w:rPr>
                <w:rFonts w:hint="eastAsia"/>
                <w:color w:val="000000"/>
              </w:rPr>
              <w:t>m</w:t>
            </w:r>
            <w:r>
              <w:rPr>
                <w:color w:val="000000"/>
                <w:vertAlign w:val="superscript"/>
              </w:rPr>
              <w:t>2</w:t>
            </w:r>
          </w:p>
        </w:tc>
        <w:tc>
          <w:tcPr>
            <w:tcW w:w="1527" w:type="pct"/>
          </w:tcPr>
          <w:p w14:paraId="56F8D8F7">
            <w:pPr>
              <w:jc w:val="center"/>
              <w:rPr>
                <w:color w:val="000000"/>
              </w:rPr>
            </w:pPr>
            <w:r>
              <w:rPr>
                <w:rFonts w:hint="eastAsia"/>
                <w:color w:val="000000"/>
              </w:rPr>
              <w:t>1</w:t>
            </w:r>
            <w:r>
              <w:rPr>
                <w:color w:val="000000"/>
              </w:rPr>
              <w:t>1200</w:t>
            </w:r>
            <w:r>
              <w:rPr>
                <w:rFonts w:hint="eastAsia"/>
                <w:color w:val="000000"/>
              </w:rPr>
              <w:t>m</w:t>
            </w:r>
            <w:r>
              <w:rPr>
                <w:color w:val="000000"/>
                <w:vertAlign w:val="superscript"/>
              </w:rPr>
              <w:t>2</w:t>
            </w:r>
          </w:p>
        </w:tc>
        <w:tc>
          <w:tcPr>
            <w:tcW w:w="591" w:type="pct"/>
            <w:vAlign w:val="center"/>
          </w:tcPr>
          <w:p w14:paraId="0AA2EEE6">
            <w:pPr>
              <w:jc w:val="center"/>
              <w:rPr>
                <w:kern w:val="0"/>
              </w:rPr>
            </w:pPr>
            <w:r>
              <w:rPr>
                <w:kern w:val="0"/>
              </w:rPr>
              <w:t>可行</w:t>
            </w:r>
          </w:p>
        </w:tc>
      </w:tr>
      <w:bookmarkEnd w:id="305"/>
    </w:tbl>
    <w:p w14:paraId="5015AB32">
      <w:pPr>
        <w:pStyle w:val="5"/>
        <w:spacing w:before="0" w:after="0" w:line="360" w:lineRule="auto"/>
        <w:rPr>
          <w:rFonts w:eastAsia="黑体"/>
          <w:b w:val="0"/>
          <w:bCs w:val="0"/>
          <w:sz w:val="28"/>
          <w:szCs w:val="28"/>
        </w:rPr>
      </w:pPr>
      <w:bookmarkStart w:id="306" w:name="_Toc116995679"/>
      <w:bookmarkStart w:id="307" w:name="_Toc14414"/>
      <w:bookmarkStart w:id="308" w:name="_Toc26522"/>
      <w:bookmarkStart w:id="309" w:name="_Toc231571734"/>
      <w:bookmarkStart w:id="310" w:name="_Toc233036214"/>
      <w:bookmarkStart w:id="311" w:name="_Toc25012"/>
      <w:r>
        <w:rPr>
          <w:rFonts w:eastAsia="黑体"/>
          <w:b w:val="0"/>
          <w:bCs w:val="0"/>
          <w:sz w:val="28"/>
          <w:szCs w:val="28"/>
        </w:rPr>
        <w:t>3.2</w:t>
      </w:r>
      <w:r>
        <w:rPr>
          <w:rFonts w:hint="eastAsia" w:eastAsia="黑体"/>
          <w:b w:val="0"/>
          <w:bCs w:val="0"/>
          <w:sz w:val="28"/>
          <w:szCs w:val="28"/>
        </w:rPr>
        <w:t xml:space="preserve"> </w:t>
      </w:r>
      <w:r>
        <w:rPr>
          <w:rFonts w:eastAsia="黑体"/>
          <w:b w:val="0"/>
          <w:bCs w:val="0"/>
          <w:sz w:val="28"/>
          <w:szCs w:val="28"/>
        </w:rPr>
        <w:t>类比监测结果与评价</w:t>
      </w:r>
      <w:bookmarkEnd w:id="306"/>
      <w:bookmarkEnd w:id="307"/>
      <w:bookmarkEnd w:id="308"/>
      <w:bookmarkEnd w:id="309"/>
      <w:bookmarkEnd w:id="310"/>
      <w:bookmarkEnd w:id="311"/>
    </w:p>
    <w:p w14:paraId="6D9BC83A">
      <w:pPr>
        <w:adjustRightInd w:val="0"/>
        <w:snapToGrid w:val="0"/>
        <w:spacing w:line="360" w:lineRule="auto"/>
        <w:ind w:firstLine="480"/>
        <w:jc w:val="left"/>
        <w:rPr>
          <w:bCs/>
          <w:sz w:val="24"/>
        </w:rPr>
      </w:pPr>
      <w:bookmarkStart w:id="312" w:name="_Toc116995680"/>
      <w:r>
        <w:rPr>
          <w:rFonts w:hint="eastAsia"/>
          <w:bCs/>
          <w:sz w:val="24"/>
        </w:rPr>
        <w:t>类比对象验收期间的工频电场、磁场监测结果（详见</w:t>
      </w:r>
      <w:r>
        <w:rPr>
          <w:bCs/>
          <w:sz w:val="24"/>
        </w:rPr>
        <w:t>附件</w:t>
      </w:r>
      <w:r>
        <w:rPr>
          <w:rFonts w:hint="eastAsia"/>
          <w:bCs/>
          <w:sz w:val="24"/>
        </w:rPr>
        <w:t>）如下</w:t>
      </w:r>
      <w:r>
        <w:rPr>
          <w:bCs/>
          <w:sz w:val="24"/>
        </w:rPr>
        <w:t>：</w:t>
      </w:r>
    </w:p>
    <w:p w14:paraId="03C15979">
      <w:pPr>
        <w:adjustRightInd w:val="0"/>
        <w:snapToGrid w:val="0"/>
        <w:spacing w:line="360" w:lineRule="auto"/>
        <w:ind w:firstLine="480"/>
        <w:jc w:val="left"/>
        <w:rPr>
          <w:bCs/>
          <w:sz w:val="24"/>
        </w:rPr>
      </w:pPr>
      <w:r>
        <w:rPr>
          <w:rFonts w:hint="eastAsia"/>
          <w:bCs/>
          <w:sz w:val="24"/>
        </w:rPr>
        <w:t>（1）</w:t>
      </w:r>
      <w:r>
        <w:rPr>
          <w:bCs/>
          <w:sz w:val="24"/>
        </w:rPr>
        <w:t>监测单位</w:t>
      </w:r>
    </w:p>
    <w:p w14:paraId="6510CE01">
      <w:pPr>
        <w:adjustRightInd w:val="0"/>
        <w:snapToGrid w:val="0"/>
        <w:spacing w:line="360" w:lineRule="auto"/>
        <w:ind w:firstLine="480"/>
        <w:jc w:val="left"/>
        <w:rPr>
          <w:bCs/>
          <w:sz w:val="24"/>
        </w:rPr>
      </w:pPr>
      <w:r>
        <w:rPr>
          <w:rFonts w:hint="eastAsia"/>
          <w:bCs/>
          <w:sz w:val="24"/>
        </w:rPr>
        <w:t>成都同洲科技有限责任公司</w:t>
      </w:r>
    </w:p>
    <w:p w14:paraId="10FE699A">
      <w:pPr>
        <w:adjustRightInd w:val="0"/>
        <w:snapToGrid w:val="0"/>
        <w:spacing w:line="360" w:lineRule="auto"/>
        <w:ind w:firstLine="480"/>
        <w:jc w:val="left"/>
        <w:rPr>
          <w:bCs/>
          <w:sz w:val="24"/>
        </w:rPr>
      </w:pPr>
      <w:r>
        <w:rPr>
          <w:rFonts w:hint="eastAsia"/>
          <w:bCs/>
          <w:sz w:val="24"/>
        </w:rPr>
        <w:t>（2）</w:t>
      </w:r>
      <w:r>
        <w:rPr>
          <w:bCs/>
          <w:sz w:val="24"/>
        </w:rPr>
        <w:t>监测时间</w:t>
      </w:r>
    </w:p>
    <w:p w14:paraId="250D53E8">
      <w:pPr>
        <w:adjustRightInd w:val="0"/>
        <w:snapToGrid w:val="0"/>
        <w:spacing w:line="360" w:lineRule="auto"/>
        <w:ind w:firstLine="480"/>
        <w:jc w:val="left"/>
        <w:rPr>
          <w:bCs/>
          <w:sz w:val="24"/>
        </w:rPr>
      </w:pPr>
      <w:r>
        <w:rPr>
          <w:rFonts w:hint="eastAsia"/>
          <w:bCs/>
          <w:sz w:val="24"/>
        </w:rPr>
        <w:t>2020年5月18日~5月19日</w:t>
      </w:r>
    </w:p>
    <w:p w14:paraId="7C72E91A">
      <w:pPr>
        <w:adjustRightInd w:val="0"/>
        <w:snapToGrid w:val="0"/>
        <w:spacing w:line="360" w:lineRule="auto"/>
        <w:ind w:firstLine="480"/>
        <w:jc w:val="left"/>
        <w:rPr>
          <w:bCs/>
          <w:sz w:val="24"/>
        </w:rPr>
      </w:pPr>
      <w:r>
        <w:rPr>
          <w:rFonts w:hint="eastAsia"/>
          <w:bCs/>
          <w:sz w:val="24"/>
        </w:rPr>
        <w:t>（3）监测环境条件</w:t>
      </w:r>
    </w:p>
    <w:p w14:paraId="26B31F58">
      <w:pPr>
        <w:adjustRightInd w:val="0"/>
        <w:snapToGrid w:val="0"/>
        <w:spacing w:line="360" w:lineRule="auto"/>
        <w:ind w:firstLine="480"/>
        <w:jc w:val="left"/>
        <w:rPr>
          <w:bCs/>
          <w:sz w:val="24"/>
        </w:rPr>
      </w:pPr>
      <w:r>
        <w:rPr>
          <w:bCs/>
          <w:sz w:val="24"/>
        </w:rPr>
        <w:t>监测环境：25.4~30.5℃；湿度：22%~36%；天气状况：晴。</w:t>
      </w:r>
    </w:p>
    <w:p w14:paraId="35962785">
      <w:pPr>
        <w:adjustRightInd w:val="0"/>
        <w:snapToGrid w:val="0"/>
        <w:spacing w:line="360" w:lineRule="auto"/>
        <w:ind w:firstLine="480"/>
        <w:jc w:val="left"/>
        <w:rPr>
          <w:bCs/>
          <w:sz w:val="24"/>
        </w:rPr>
      </w:pPr>
      <w:r>
        <w:rPr>
          <w:rFonts w:hint="eastAsia"/>
          <w:bCs/>
          <w:sz w:val="24"/>
        </w:rPr>
        <w:t>（4）监测方法</w:t>
      </w:r>
    </w:p>
    <w:p w14:paraId="29C95E03">
      <w:pPr>
        <w:adjustRightInd w:val="0"/>
        <w:snapToGrid w:val="0"/>
        <w:spacing w:line="360" w:lineRule="auto"/>
        <w:ind w:firstLine="480"/>
        <w:jc w:val="left"/>
        <w:rPr>
          <w:bCs/>
          <w:sz w:val="24"/>
        </w:rPr>
      </w:pPr>
      <w:r>
        <w:rPr>
          <w:bCs/>
          <w:sz w:val="24"/>
        </w:rPr>
        <w:t>《交流输变电工程电磁环境监测方法》（HJ</w:t>
      </w:r>
      <w:r>
        <w:rPr>
          <w:rFonts w:hint="eastAsia"/>
          <w:bCs/>
          <w:sz w:val="24"/>
        </w:rPr>
        <w:t xml:space="preserve"> </w:t>
      </w:r>
      <w:r>
        <w:rPr>
          <w:bCs/>
          <w:sz w:val="24"/>
        </w:rPr>
        <w:t>681-2013）</w:t>
      </w:r>
      <w:r>
        <w:rPr>
          <w:rFonts w:hint="eastAsia"/>
          <w:bCs/>
          <w:sz w:val="24"/>
        </w:rPr>
        <w:t>。</w:t>
      </w:r>
    </w:p>
    <w:p w14:paraId="53DCD2E5">
      <w:pPr>
        <w:adjustRightInd w:val="0"/>
        <w:snapToGrid w:val="0"/>
        <w:spacing w:line="360" w:lineRule="auto"/>
        <w:ind w:firstLine="480"/>
        <w:jc w:val="left"/>
        <w:rPr>
          <w:rFonts w:hint="eastAsia"/>
          <w:bCs/>
          <w:sz w:val="24"/>
        </w:rPr>
      </w:pPr>
      <w:r>
        <w:rPr>
          <w:rFonts w:hint="eastAsia"/>
          <w:bCs/>
          <w:sz w:val="24"/>
        </w:rPr>
        <w:t>（5）监测结果</w:t>
      </w:r>
    </w:p>
    <w:p w14:paraId="78F8CF10">
      <w:pPr>
        <w:spacing w:line="360" w:lineRule="auto"/>
        <w:ind w:firstLine="480" w:firstLineChars="200"/>
        <w:contextualSpacing/>
        <w:rPr>
          <w:color w:val="000000"/>
          <w:sz w:val="24"/>
          <w:szCs w:val="24"/>
        </w:rPr>
      </w:pPr>
      <w:r>
        <w:rPr>
          <w:color w:val="000000"/>
          <w:sz w:val="24"/>
          <w:szCs w:val="24"/>
        </w:rPr>
        <w:t>工频电场、工频磁场类比监测结果见</w:t>
      </w:r>
      <w:r>
        <w:rPr>
          <w:rFonts w:hint="eastAsia"/>
          <w:color w:val="000000"/>
          <w:sz w:val="24"/>
          <w:szCs w:val="24"/>
        </w:rPr>
        <w:t>下</w:t>
      </w:r>
      <w:r>
        <w:rPr>
          <w:color w:val="000000"/>
          <w:sz w:val="24"/>
          <w:szCs w:val="24"/>
        </w:rPr>
        <w:t>表</w:t>
      </w:r>
      <w:r>
        <w:rPr>
          <w:rFonts w:hint="eastAsia"/>
          <w:color w:val="000000"/>
          <w:sz w:val="24"/>
          <w:szCs w:val="24"/>
        </w:rPr>
        <w:t>3.2-1</w:t>
      </w:r>
      <w:r>
        <w:rPr>
          <w:color w:val="000000"/>
          <w:sz w:val="24"/>
          <w:szCs w:val="24"/>
        </w:rPr>
        <w:t>。</w:t>
      </w:r>
    </w:p>
    <w:p w14:paraId="0269EC89">
      <w:pPr>
        <w:spacing w:line="360" w:lineRule="auto"/>
        <w:jc w:val="center"/>
        <w:rPr>
          <w:b/>
          <w:bCs/>
          <w:sz w:val="24"/>
          <w:szCs w:val="24"/>
        </w:rPr>
      </w:pPr>
      <w:r>
        <w:rPr>
          <w:b/>
          <w:bCs/>
          <w:sz w:val="24"/>
          <w:szCs w:val="24"/>
        </w:rPr>
        <w:t>表3.2-1</w:t>
      </w:r>
      <w:r>
        <w:rPr>
          <w:rFonts w:hint="eastAsia"/>
          <w:b/>
          <w:bCs/>
          <w:sz w:val="24"/>
          <w:szCs w:val="24"/>
        </w:rPr>
        <w:t xml:space="preserve">  </w:t>
      </w:r>
      <w:r>
        <w:rPr>
          <w:b/>
          <w:bCs/>
          <w:sz w:val="24"/>
          <w:szCs w:val="24"/>
        </w:rPr>
        <w:t>类比</w:t>
      </w:r>
      <w:r>
        <w:rPr>
          <w:rFonts w:hint="eastAsia"/>
          <w:b/>
          <w:bCs/>
          <w:sz w:val="24"/>
          <w:szCs w:val="24"/>
        </w:rPr>
        <w:t>升压站围墙外</w:t>
      </w:r>
      <w:r>
        <w:rPr>
          <w:b/>
          <w:bCs/>
          <w:sz w:val="24"/>
          <w:szCs w:val="24"/>
        </w:rPr>
        <w:t>电磁环境监测结果</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719"/>
        <w:gridCol w:w="2270"/>
        <w:gridCol w:w="2481"/>
      </w:tblGrid>
      <w:tr w14:paraId="49D7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40" w:type="pct"/>
            <w:vAlign w:val="center"/>
          </w:tcPr>
          <w:p w14:paraId="78D7989E">
            <w:pPr>
              <w:adjustRightInd w:val="0"/>
              <w:snapToGrid w:val="0"/>
              <w:jc w:val="center"/>
              <w:rPr>
                <w:b/>
                <w:bCs/>
                <w:color w:val="000000"/>
                <w:kern w:val="0"/>
              </w:rPr>
            </w:pPr>
            <w:r>
              <w:rPr>
                <w:rFonts w:hint="eastAsia"/>
                <w:b/>
                <w:bCs/>
                <w:color w:val="000000"/>
                <w:kern w:val="0"/>
              </w:rPr>
              <w:t>序号</w:t>
            </w:r>
          </w:p>
        </w:tc>
        <w:tc>
          <w:tcPr>
            <w:tcW w:w="2002" w:type="pct"/>
            <w:vAlign w:val="center"/>
          </w:tcPr>
          <w:p w14:paraId="052B09AA">
            <w:pPr>
              <w:adjustRightInd w:val="0"/>
              <w:snapToGrid w:val="0"/>
              <w:jc w:val="center"/>
              <w:rPr>
                <w:rFonts w:hint="eastAsia"/>
                <w:b/>
                <w:bCs/>
                <w:color w:val="000000"/>
                <w:kern w:val="0"/>
              </w:rPr>
            </w:pPr>
            <w:r>
              <w:rPr>
                <w:b/>
                <w:bCs/>
                <w:color w:val="000000"/>
                <w:kern w:val="0"/>
              </w:rPr>
              <w:t>监测点位</w:t>
            </w:r>
          </w:p>
        </w:tc>
        <w:tc>
          <w:tcPr>
            <w:tcW w:w="1222" w:type="pct"/>
            <w:vAlign w:val="center"/>
          </w:tcPr>
          <w:p w14:paraId="5BBFE144">
            <w:pPr>
              <w:adjustRightInd w:val="0"/>
              <w:snapToGrid w:val="0"/>
              <w:jc w:val="center"/>
              <w:rPr>
                <w:b/>
                <w:bCs/>
                <w:color w:val="000000"/>
                <w:kern w:val="0"/>
              </w:rPr>
            </w:pPr>
            <w:r>
              <w:rPr>
                <w:b/>
                <w:bCs/>
                <w:color w:val="000000"/>
                <w:kern w:val="0"/>
              </w:rPr>
              <w:t>工频电场强度（V/m）</w:t>
            </w:r>
          </w:p>
        </w:tc>
        <w:tc>
          <w:tcPr>
            <w:tcW w:w="1336" w:type="pct"/>
            <w:vAlign w:val="center"/>
          </w:tcPr>
          <w:p w14:paraId="64E742E7">
            <w:pPr>
              <w:adjustRightInd w:val="0"/>
              <w:snapToGrid w:val="0"/>
              <w:jc w:val="center"/>
              <w:rPr>
                <w:b/>
                <w:bCs/>
                <w:color w:val="000000"/>
                <w:kern w:val="0"/>
              </w:rPr>
            </w:pPr>
            <w:r>
              <w:rPr>
                <w:b/>
                <w:bCs/>
                <w:color w:val="000000"/>
                <w:kern w:val="0"/>
              </w:rPr>
              <w:t>工频磁感应强度（μT）</w:t>
            </w:r>
          </w:p>
        </w:tc>
      </w:tr>
      <w:tr w14:paraId="4B49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0" w:type="pct"/>
            <w:noWrap/>
            <w:vAlign w:val="center"/>
          </w:tcPr>
          <w:p w14:paraId="6D117CF7">
            <w:pPr>
              <w:adjustRightInd w:val="0"/>
              <w:snapToGrid w:val="0"/>
              <w:jc w:val="center"/>
              <w:rPr>
                <w:color w:val="000000"/>
                <w:kern w:val="0"/>
              </w:rPr>
            </w:pPr>
            <w:r>
              <w:rPr>
                <w:color w:val="000000"/>
                <w:kern w:val="0"/>
              </w:rPr>
              <w:t>1</w:t>
            </w:r>
          </w:p>
        </w:tc>
        <w:tc>
          <w:tcPr>
            <w:tcW w:w="2002" w:type="pct"/>
            <w:vAlign w:val="center"/>
          </w:tcPr>
          <w:p w14:paraId="4432BA9B">
            <w:pPr>
              <w:adjustRightInd w:val="0"/>
              <w:snapToGrid w:val="0"/>
              <w:jc w:val="center"/>
              <w:rPr>
                <w:color w:val="000000"/>
                <w:kern w:val="0"/>
              </w:rPr>
            </w:pPr>
            <w:r>
              <w:rPr>
                <w:bCs/>
              </w:rPr>
              <w:t>武侯220kV变电站东侧围墙外5m处</w:t>
            </w:r>
          </w:p>
        </w:tc>
        <w:tc>
          <w:tcPr>
            <w:tcW w:w="1222" w:type="pct"/>
            <w:noWrap/>
            <w:vAlign w:val="center"/>
          </w:tcPr>
          <w:p w14:paraId="5B673BA8">
            <w:pPr>
              <w:jc w:val="center"/>
            </w:pPr>
            <w:r>
              <w:rPr>
                <w:color w:val="000000"/>
              </w:rPr>
              <w:t>522.35</w:t>
            </w:r>
          </w:p>
        </w:tc>
        <w:tc>
          <w:tcPr>
            <w:tcW w:w="1336" w:type="pct"/>
            <w:noWrap/>
            <w:vAlign w:val="center"/>
          </w:tcPr>
          <w:p w14:paraId="68C3E2BE">
            <w:pPr>
              <w:jc w:val="center"/>
            </w:pPr>
            <w:r>
              <w:rPr>
                <w:color w:val="000000"/>
              </w:rPr>
              <w:t>1.6600</w:t>
            </w:r>
          </w:p>
        </w:tc>
      </w:tr>
      <w:tr w14:paraId="070D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0" w:type="pct"/>
            <w:noWrap/>
            <w:vAlign w:val="center"/>
          </w:tcPr>
          <w:p w14:paraId="143E33BD">
            <w:pPr>
              <w:adjustRightInd w:val="0"/>
              <w:snapToGrid w:val="0"/>
              <w:jc w:val="center"/>
              <w:rPr>
                <w:color w:val="000000"/>
                <w:kern w:val="0"/>
              </w:rPr>
            </w:pPr>
            <w:r>
              <w:rPr>
                <w:color w:val="000000"/>
                <w:kern w:val="0"/>
              </w:rPr>
              <w:t>2</w:t>
            </w:r>
          </w:p>
        </w:tc>
        <w:tc>
          <w:tcPr>
            <w:tcW w:w="2002" w:type="pct"/>
            <w:vAlign w:val="center"/>
          </w:tcPr>
          <w:p w14:paraId="2989ABF0">
            <w:pPr>
              <w:adjustRightInd w:val="0"/>
              <w:snapToGrid w:val="0"/>
              <w:jc w:val="center"/>
              <w:rPr>
                <w:color w:val="000000"/>
                <w:kern w:val="0"/>
              </w:rPr>
            </w:pPr>
            <w:r>
              <w:rPr>
                <w:bCs/>
              </w:rPr>
              <w:t>武侯220kV变电站南侧围墙外5m处</w:t>
            </w:r>
          </w:p>
        </w:tc>
        <w:tc>
          <w:tcPr>
            <w:tcW w:w="1222" w:type="pct"/>
            <w:noWrap/>
            <w:vAlign w:val="center"/>
          </w:tcPr>
          <w:p w14:paraId="1C942076">
            <w:pPr>
              <w:jc w:val="center"/>
            </w:pPr>
            <w:r>
              <w:rPr>
                <w:color w:val="000000"/>
              </w:rPr>
              <w:t>893.03</w:t>
            </w:r>
          </w:p>
        </w:tc>
        <w:tc>
          <w:tcPr>
            <w:tcW w:w="1336" w:type="pct"/>
            <w:noWrap/>
            <w:vAlign w:val="center"/>
          </w:tcPr>
          <w:p w14:paraId="1297705F">
            <w:pPr>
              <w:jc w:val="center"/>
            </w:pPr>
            <w:r>
              <w:rPr>
                <w:color w:val="000000"/>
              </w:rPr>
              <w:t>2.0409</w:t>
            </w:r>
          </w:p>
        </w:tc>
      </w:tr>
      <w:tr w14:paraId="5D62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0" w:type="pct"/>
            <w:noWrap/>
            <w:vAlign w:val="center"/>
          </w:tcPr>
          <w:p w14:paraId="7411A597">
            <w:pPr>
              <w:adjustRightInd w:val="0"/>
              <w:snapToGrid w:val="0"/>
              <w:jc w:val="center"/>
              <w:rPr>
                <w:color w:val="000000"/>
                <w:kern w:val="0"/>
              </w:rPr>
            </w:pPr>
            <w:r>
              <w:rPr>
                <w:color w:val="000000"/>
                <w:kern w:val="0"/>
              </w:rPr>
              <w:t>3</w:t>
            </w:r>
          </w:p>
        </w:tc>
        <w:tc>
          <w:tcPr>
            <w:tcW w:w="2002" w:type="pct"/>
            <w:vAlign w:val="center"/>
          </w:tcPr>
          <w:p w14:paraId="0B01FA0C">
            <w:pPr>
              <w:adjustRightInd w:val="0"/>
              <w:snapToGrid w:val="0"/>
              <w:jc w:val="center"/>
              <w:rPr>
                <w:color w:val="000000"/>
                <w:kern w:val="0"/>
              </w:rPr>
            </w:pPr>
            <w:r>
              <w:rPr>
                <w:bCs/>
              </w:rPr>
              <w:t>武侯220kV变电站西侧围墙外5m处</w:t>
            </w:r>
          </w:p>
        </w:tc>
        <w:tc>
          <w:tcPr>
            <w:tcW w:w="1222" w:type="pct"/>
            <w:noWrap/>
            <w:vAlign w:val="center"/>
          </w:tcPr>
          <w:p w14:paraId="63656E10">
            <w:pPr>
              <w:jc w:val="center"/>
            </w:pPr>
            <w:r>
              <w:rPr>
                <w:color w:val="000000"/>
              </w:rPr>
              <w:t>29.30</w:t>
            </w:r>
          </w:p>
        </w:tc>
        <w:tc>
          <w:tcPr>
            <w:tcW w:w="1336" w:type="pct"/>
            <w:noWrap/>
            <w:vAlign w:val="center"/>
          </w:tcPr>
          <w:p w14:paraId="7C0DFD58">
            <w:pPr>
              <w:jc w:val="center"/>
            </w:pPr>
            <w:r>
              <w:rPr>
                <w:color w:val="000000"/>
              </w:rPr>
              <w:t>0.4302</w:t>
            </w:r>
          </w:p>
        </w:tc>
      </w:tr>
      <w:tr w14:paraId="6463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0" w:type="pct"/>
            <w:noWrap/>
            <w:vAlign w:val="center"/>
          </w:tcPr>
          <w:p w14:paraId="34B6DA5C">
            <w:pPr>
              <w:adjustRightInd w:val="0"/>
              <w:snapToGrid w:val="0"/>
              <w:jc w:val="center"/>
              <w:rPr>
                <w:color w:val="000000"/>
                <w:kern w:val="0"/>
              </w:rPr>
            </w:pPr>
            <w:r>
              <w:rPr>
                <w:color w:val="000000"/>
                <w:kern w:val="0"/>
              </w:rPr>
              <w:t>4</w:t>
            </w:r>
          </w:p>
        </w:tc>
        <w:tc>
          <w:tcPr>
            <w:tcW w:w="2002" w:type="pct"/>
            <w:vAlign w:val="center"/>
          </w:tcPr>
          <w:p w14:paraId="58BF932E">
            <w:pPr>
              <w:adjustRightInd w:val="0"/>
              <w:snapToGrid w:val="0"/>
              <w:jc w:val="center"/>
              <w:rPr>
                <w:color w:val="000000"/>
                <w:kern w:val="0"/>
              </w:rPr>
            </w:pPr>
            <w:r>
              <w:rPr>
                <w:bCs/>
              </w:rPr>
              <w:t>武侯220kV变电站北侧围墙外5m处</w:t>
            </w:r>
          </w:p>
        </w:tc>
        <w:tc>
          <w:tcPr>
            <w:tcW w:w="1222" w:type="pct"/>
            <w:noWrap/>
            <w:vAlign w:val="center"/>
          </w:tcPr>
          <w:p w14:paraId="3D08AC9B">
            <w:pPr>
              <w:jc w:val="center"/>
            </w:pPr>
            <w:r>
              <w:rPr>
                <w:color w:val="000000"/>
              </w:rPr>
              <w:t>878.16</w:t>
            </w:r>
          </w:p>
        </w:tc>
        <w:tc>
          <w:tcPr>
            <w:tcW w:w="1336" w:type="pct"/>
            <w:noWrap/>
            <w:vAlign w:val="center"/>
          </w:tcPr>
          <w:p w14:paraId="3DFE5CB8">
            <w:pPr>
              <w:jc w:val="center"/>
            </w:pPr>
            <w:r>
              <w:rPr>
                <w:color w:val="000000"/>
              </w:rPr>
              <w:t>4.1043</w:t>
            </w:r>
          </w:p>
        </w:tc>
      </w:tr>
    </w:tbl>
    <w:p w14:paraId="4577B90B">
      <w:pPr>
        <w:spacing w:line="360" w:lineRule="auto"/>
        <w:ind w:firstLine="480" w:firstLineChars="200"/>
        <w:contextualSpacing/>
        <w:rPr>
          <w:color w:val="000000"/>
          <w:sz w:val="24"/>
          <w:szCs w:val="24"/>
        </w:rPr>
      </w:pPr>
      <w:r>
        <w:rPr>
          <w:rFonts w:hint="eastAsia"/>
          <w:color w:val="000000"/>
          <w:sz w:val="24"/>
          <w:szCs w:val="24"/>
        </w:rPr>
        <w:t>根据类比成都武侯220kV变电站监测结果显示，成都武侯220kV变电站厂界工频电场在0.029kV/m~0.893kV/m之间，工频磁场在0.4302µT~4.1043µT之间，均低于《电磁环境控制限值》（GB8</w:t>
      </w:r>
      <w:r>
        <w:rPr>
          <w:color w:val="000000"/>
          <w:sz w:val="24"/>
          <w:szCs w:val="24"/>
        </w:rPr>
        <w:t xml:space="preserve"> </w:t>
      </w:r>
      <w:r>
        <w:rPr>
          <w:rFonts w:hint="eastAsia"/>
          <w:color w:val="000000"/>
          <w:sz w:val="24"/>
          <w:szCs w:val="24"/>
        </w:rPr>
        <w:t>702-2014）规定，即工频电场强度低于4kV/m，工频磁感应强度低于100µT。</w:t>
      </w:r>
    </w:p>
    <w:p w14:paraId="5DC911FC">
      <w:pPr>
        <w:spacing w:line="360" w:lineRule="auto"/>
        <w:ind w:firstLine="480" w:firstLineChars="200"/>
        <w:rPr>
          <w:sz w:val="24"/>
          <w:szCs w:val="24"/>
        </w:rPr>
      </w:pPr>
      <w:r>
        <w:rPr>
          <w:rFonts w:hint="eastAsia"/>
          <w:sz w:val="24"/>
          <w:szCs w:val="24"/>
        </w:rPr>
        <w:t>综上分析，</w:t>
      </w:r>
      <w:r>
        <w:rPr>
          <w:sz w:val="24"/>
          <w:szCs w:val="24"/>
        </w:rPr>
        <w:t>本项目</w:t>
      </w:r>
      <w:r>
        <w:rPr>
          <w:rFonts w:hint="eastAsia"/>
          <w:sz w:val="24"/>
          <w:szCs w:val="24"/>
        </w:rPr>
        <w:t>建成后</w:t>
      </w:r>
      <w:r>
        <w:rPr>
          <w:sz w:val="24"/>
          <w:szCs w:val="24"/>
        </w:rPr>
        <w:t>工频电场强度</w:t>
      </w:r>
      <w:r>
        <w:rPr>
          <w:rFonts w:hint="eastAsia"/>
          <w:sz w:val="24"/>
          <w:szCs w:val="24"/>
        </w:rPr>
        <w:t>与</w:t>
      </w:r>
      <w:r>
        <w:rPr>
          <w:sz w:val="24"/>
          <w:szCs w:val="24"/>
        </w:rPr>
        <w:t>工频磁感应强度</w:t>
      </w:r>
      <w:r>
        <w:rPr>
          <w:rFonts w:hint="eastAsia"/>
          <w:sz w:val="24"/>
          <w:szCs w:val="24"/>
        </w:rPr>
        <w:t>能够满足</w:t>
      </w:r>
      <w:r>
        <w:rPr>
          <w:sz w:val="24"/>
          <w:szCs w:val="24"/>
        </w:rPr>
        <w:t>《电磁环境控制限值》（GB</w:t>
      </w:r>
      <w:r>
        <w:rPr>
          <w:rFonts w:hint="eastAsia"/>
          <w:sz w:val="24"/>
          <w:szCs w:val="24"/>
        </w:rPr>
        <w:t xml:space="preserve"> </w:t>
      </w:r>
      <w:r>
        <w:rPr>
          <w:sz w:val="24"/>
          <w:szCs w:val="24"/>
        </w:rPr>
        <w:t>8702-2014）</w:t>
      </w:r>
      <w:r>
        <w:rPr>
          <w:rFonts w:hint="eastAsia"/>
          <w:sz w:val="24"/>
          <w:szCs w:val="24"/>
        </w:rPr>
        <w:t>要求</w:t>
      </w:r>
      <w:r>
        <w:rPr>
          <w:sz w:val="24"/>
          <w:szCs w:val="24"/>
        </w:rPr>
        <w:t>。</w:t>
      </w:r>
    </w:p>
    <w:p w14:paraId="55B1C085">
      <w:pPr>
        <w:pStyle w:val="3"/>
        <w:spacing w:before="0" w:after="0" w:line="360" w:lineRule="auto"/>
        <w:rPr>
          <w:rFonts w:ascii="Times New Roman" w:hAnsi="Times New Roman" w:eastAsia="黑体"/>
          <w:b w:val="0"/>
          <w:bCs w:val="0"/>
          <w:sz w:val="30"/>
          <w:szCs w:val="30"/>
        </w:rPr>
      </w:pPr>
      <w:bookmarkStart w:id="313" w:name="_Toc23923"/>
      <w:bookmarkStart w:id="314" w:name="_Toc233036215"/>
      <w:bookmarkStart w:id="315" w:name="_Toc3566"/>
      <w:bookmarkStart w:id="316" w:name="_Toc231571735"/>
      <w:r>
        <w:rPr>
          <w:rFonts w:ascii="Times New Roman" w:hAnsi="Times New Roman" w:eastAsia="黑体"/>
          <w:b w:val="0"/>
          <w:bCs w:val="0"/>
          <w:sz w:val="30"/>
          <w:szCs w:val="30"/>
        </w:rPr>
        <w:t>4</w:t>
      </w:r>
      <w:r>
        <w:rPr>
          <w:rFonts w:hint="eastAsia" w:ascii="Times New Roman" w:hAnsi="Times New Roman" w:eastAsia="黑体"/>
          <w:b w:val="0"/>
          <w:bCs w:val="0"/>
          <w:sz w:val="30"/>
          <w:szCs w:val="30"/>
        </w:rPr>
        <w:t xml:space="preserve"> </w:t>
      </w:r>
      <w:r>
        <w:rPr>
          <w:rFonts w:ascii="Times New Roman" w:hAnsi="Times New Roman" w:eastAsia="黑体"/>
          <w:b w:val="0"/>
          <w:bCs w:val="0"/>
          <w:sz w:val="30"/>
          <w:szCs w:val="30"/>
        </w:rPr>
        <w:t>电磁环境保护措施</w:t>
      </w:r>
      <w:bookmarkEnd w:id="312"/>
      <w:bookmarkEnd w:id="313"/>
      <w:bookmarkEnd w:id="314"/>
      <w:bookmarkEnd w:id="315"/>
      <w:bookmarkEnd w:id="316"/>
    </w:p>
    <w:p w14:paraId="3C2E1E81">
      <w:pPr>
        <w:spacing w:line="360" w:lineRule="auto"/>
        <w:ind w:firstLine="480" w:firstLineChars="200"/>
        <w:rPr>
          <w:rFonts w:hint="eastAsia"/>
          <w:sz w:val="24"/>
          <w:szCs w:val="24"/>
        </w:rPr>
      </w:pPr>
      <w:r>
        <w:rPr>
          <w:rFonts w:hint="eastAsia"/>
          <w:sz w:val="24"/>
          <w:szCs w:val="24"/>
        </w:rPr>
        <w:t>根据现状和类比分析，本项目</w:t>
      </w:r>
      <w:r>
        <w:rPr>
          <w:sz w:val="24"/>
          <w:szCs w:val="24"/>
        </w:rPr>
        <w:t>需采取的电磁环境保护措施</w:t>
      </w:r>
      <w:r>
        <w:rPr>
          <w:rFonts w:hint="eastAsia"/>
          <w:sz w:val="24"/>
          <w:szCs w:val="24"/>
        </w:rPr>
        <w:t>如下：</w:t>
      </w:r>
    </w:p>
    <w:p w14:paraId="7FC0C5B3">
      <w:pPr>
        <w:spacing w:line="360" w:lineRule="auto"/>
        <w:ind w:firstLine="480" w:firstLineChars="200"/>
        <w:rPr>
          <w:rFonts w:cs="宋体"/>
          <w:bCs/>
          <w:sz w:val="24"/>
        </w:rPr>
      </w:pPr>
      <w:bookmarkStart w:id="317" w:name="OLE_LINK70"/>
      <w:r>
        <w:rPr>
          <w:rFonts w:hint="eastAsia"/>
          <w:sz w:val="24"/>
        </w:rPr>
        <w:t>（1）对周边环境保护目标，宣传可能产生的辐射环境影响不会对身体健康造成不利影响，消除周边民众担忧，增强环境保护意识和安全意识。</w:t>
      </w:r>
    </w:p>
    <w:p w14:paraId="503F591F">
      <w:pPr>
        <w:pStyle w:val="212"/>
        <w:ind w:firstLine="480"/>
      </w:pPr>
      <w:r>
        <w:rPr>
          <w:rFonts w:hint="eastAsia"/>
        </w:rPr>
        <w:t>（</w:t>
      </w:r>
      <w:r>
        <w:t>2</w:t>
      </w:r>
      <w:r>
        <w:rPr>
          <w:rFonts w:hint="eastAsia"/>
        </w:rPr>
        <w:t>）升压站内电气设备采取集中布置方式，在设计中应按有关规程采取一系列的控制过电压、电磁感应场强水平的措施，如保证导体和电气设备之间的电气安全距离，选用具有低辐射、抗干扰能力的设备，设置防雷接地保护装置，选用带屏蔽层的电缆、屏蔽层接地等，将可以有效地降低电磁环境影响。</w:t>
      </w:r>
    </w:p>
    <w:p w14:paraId="487FAF86">
      <w:pPr>
        <w:pStyle w:val="212"/>
        <w:ind w:firstLine="480"/>
        <w:rPr>
          <w:rFonts w:ascii="宋体"/>
          <w:szCs w:val="24"/>
        </w:rPr>
      </w:pPr>
      <w:r>
        <w:rPr>
          <w:rFonts w:hint="eastAsia"/>
        </w:rPr>
        <w:t>（</w:t>
      </w:r>
      <w:r>
        <w:t>3</w:t>
      </w:r>
      <w:r>
        <w:rPr>
          <w:rFonts w:hint="eastAsia"/>
        </w:rPr>
        <w:t>）</w:t>
      </w:r>
      <w:r>
        <w:rPr>
          <w:rFonts w:hint="eastAsia" w:ascii="宋体"/>
          <w:szCs w:val="24"/>
        </w:rPr>
        <w:t>牢固各连接处。在设备的高压导电部件上设置不同形状和数量的均压环（或罩），以改善电场分布，并将导体和瓷件表面的电场控制在一定数值内，使它们在额定电压下，不发生电晕放电。</w:t>
      </w:r>
    </w:p>
    <w:p w14:paraId="5F5604C8">
      <w:pPr>
        <w:pStyle w:val="212"/>
        <w:ind w:firstLine="480"/>
      </w:pPr>
      <w:r>
        <w:rPr>
          <w:rFonts w:hint="eastAsia"/>
        </w:rPr>
        <w:t>（4）运行期间做好环境保护设施的维护和运行管理，加强巡查和检查，保障发挥环境保护作用。定期开展环境监测，确保电磁、噪声、废水排放符合GB 8702、GB 12348、GB 8978等国家标准要求，并及时解决公众合理的环境保护诉求。</w:t>
      </w:r>
    </w:p>
    <w:p w14:paraId="60A3F894">
      <w:pPr>
        <w:pStyle w:val="212"/>
        <w:ind w:firstLine="480"/>
      </w:pPr>
      <w:r>
        <w:rPr>
          <w:rFonts w:hint="eastAsia"/>
        </w:rPr>
        <w:t>（</w:t>
      </w:r>
      <w:r>
        <w:rPr>
          <w:rFonts w:hint="eastAsia"/>
          <w:lang w:val="en-US"/>
        </w:rPr>
        <w:t>5</w:t>
      </w:r>
      <w:r>
        <w:rPr>
          <w:rFonts w:hint="eastAsia"/>
        </w:rPr>
        <w:t>）针对变电工程站内可能发生的突发环境事件，应按照HJ 169等国家有关规定制定突发环境事件应急预案，并定期演练。</w:t>
      </w:r>
    </w:p>
    <w:p w14:paraId="50A99403">
      <w:pPr>
        <w:spacing w:line="360" w:lineRule="auto"/>
        <w:ind w:firstLine="480" w:firstLineChars="200"/>
        <w:rPr>
          <w:sz w:val="24"/>
          <w:szCs w:val="24"/>
        </w:rPr>
      </w:pPr>
      <w:r>
        <w:rPr>
          <w:rFonts w:hint="eastAsia"/>
          <w:sz w:val="24"/>
        </w:rPr>
        <w:t>（6）建设单位应在危险位置建立各种警告、防护标识，避免意外事故。对当地群众进行有关高压输电线路和设备方面的环境宣传工作，帮助群众建立环境保护意识和自我防护意识。</w:t>
      </w:r>
      <w:bookmarkEnd w:id="317"/>
    </w:p>
    <w:p w14:paraId="792C016F">
      <w:pPr>
        <w:pStyle w:val="3"/>
        <w:spacing w:before="0" w:after="0" w:line="360" w:lineRule="auto"/>
        <w:rPr>
          <w:rFonts w:hint="eastAsia" w:ascii="Times New Roman" w:hAnsi="Times New Roman" w:eastAsia="黑体"/>
          <w:b w:val="0"/>
          <w:bCs w:val="0"/>
          <w:sz w:val="30"/>
          <w:szCs w:val="30"/>
        </w:rPr>
      </w:pPr>
      <w:bookmarkStart w:id="318" w:name="_Toc2289"/>
      <w:bookmarkStart w:id="319" w:name="_Toc233036216"/>
      <w:bookmarkStart w:id="320" w:name="_Toc231571736"/>
      <w:bookmarkStart w:id="321" w:name="_Toc15514"/>
      <w:r>
        <w:rPr>
          <w:rFonts w:hint="eastAsia" w:ascii="Times New Roman" w:hAnsi="Times New Roman" w:eastAsia="黑体"/>
          <w:b w:val="0"/>
          <w:bCs w:val="0"/>
          <w:sz w:val="30"/>
          <w:szCs w:val="30"/>
        </w:rPr>
        <w:t>5 电磁环境监测计划</w:t>
      </w:r>
      <w:bookmarkEnd w:id="318"/>
      <w:bookmarkEnd w:id="319"/>
      <w:bookmarkEnd w:id="320"/>
      <w:bookmarkEnd w:id="321"/>
    </w:p>
    <w:p w14:paraId="7E726CFB">
      <w:pPr>
        <w:widowControl/>
        <w:autoSpaceDE w:val="0"/>
        <w:autoSpaceDN w:val="0"/>
        <w:spacing w:line="360" w:lineRule="auto"/>
        <w:ind w:firstLine="480" w:firstLineChars="200"/>
        <w:rPr>
          <w:bCs/>
          <w:sz w:val="24"/>
        </w:rPr>
      </w:pPr>
      <w:r>
        <w:rPr>
          <w:bCs/>
          <w:sz w:val="24"/>
        </w:rPr>
        <w:t>运营</w:t>
      </w:r>
      <w:r>
        <w:rPr>
          <w:rFonts w:hint="eastAsia"/>
          <w:bCs/>
          <w:sz w:val="24"/>
        </w:rPr>
        <w:t>期间电磁</w:t>
      </w:r>
      <w:r>
        <w:rPr>
          <w:bCs/>
          <w:sz w:val="24"/>
        </w:rPr>
        <w:t>环境主要监测的是</w:t>
      </w:r>
      <w:r>
        <w:rPr>
          <w:rFonts w:hint="eastAsia"/>
          <w:bCs/>
          <w:sz w:val="24"/>
        </w:rPr>
        <w:t>升压站厂界四周</w:t>
      </w:r>
      <w:r>
        <w:rPr>
          <w:bCs/>
          <w:sz w:val="24"/>
        </w:rPr>
        <w:t>。监测点位、监测因子、监测频率及时间见</w:t>
      </w:r>
      <w:r>
        <w:rPr>
          <w:rFonts w:hint="eastAsia"/>
          <w:bCs/>
          <w:sz w:val="24"/>
        </w:rPr>
        <w:t>下表5-1</w:t>
      </w:r>
      <w:r>
        <w:rPr>
          <w:bCs/>
          <w:sz w:val="24"/>
        </w:rPr>
        <w:t>。</w:t>
      </w:r>
    </w:p>
    <w:p w14:paraId="7318EE88">
      <w:pPr>
        <w:keepNext/>
        <w:keepLines/>
        <w:spacing w:line="360" w:lineRule="auto"/>
        <w:jc w:val="center"/>
        <w:rPr>
          <w:b/>
          <w:bCs/>
          <w:sz w:val="24"/>
          <w:szCs w:val="24"/>
        </w:rPr>
      </w:pPr>
      <w:r>
        <w:rPr>
          <w:b/>
          <w:bCs/>
          <w:sz w:val="24"/>
          <w:szCs w:val="24"/>
        </w:rPr>
        <w:t>表</w:t>
      </w:r>
      <w:r>
        <w:rPr>
          <w:rFonts w:hint="eastAsia"/>
          <w:b/>
          <w:bCs/>
          <w:sz w:val="24"/>
          <w:szCs w:val="24"/>
        </w:rPr>
        <w:t>5-1  电磁</w:t>
      </w:r>
      <w:r>
        <w:rPr>
          <w:b/>
          <w:bCs/>
          <w:sz w:val="24"/>
          <w:szCs w:val="24"/>
        </w:rPr>
        <w:t>环境监测一览表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3827"/>
        <w:gridCol w:w="1134"/>
        <w:gridCol w:w="1123"/>
        <w:gridCol w:w="2102"/>
      </w:tblGrid>
      <w:tr w14:paraId="4E6D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101" w:type="dxa"/>
            <w:noWrap/>
            <w:vAlign w:val="center"/>
          </w:tcPr>
          <w:p w14:paraId="1FF74131">
            <w:pPr>
              <w:keepNext/>
              <w:keepLines/>
              <w:jc w:val="center"/>
              <w:rPr>
                <w:b/>
                <w:bCs/>
              </w:rPr>
            </w:pPr>
            <w:r>
              <w:rPr>
                <w:b/>
                <w:bCs/>
              </w:rPr>
              <w:t>监测对象</w:t>
            </w:r>
          </w:p>
        </w:tc>
        <w:tc>
          <w:tcPr>
            <w:tcW w:w="3827" w:type="dxa"/>
            <w:noWrap/>
            <w:vAlign w:val="center"/>
          </w:tcPr>
          <w:p w14:paraId="34FBAAB5">
            <w:pPr>
              <w:keepNext/>
              <w:keepLines/>
              <w:jc w:val="center"/>
              <w:rPr>
                <w:b/>
                <w:bCs/>
              </w:rPr>
            </w:pPr>
            <w:r>
              <w:rPr>
                <w:b/>
                <w:bCs/>
              </w:rPr>
              <w:t>监测点</w:t>
            </w:r>
          </w:p>
        </w:tc>
        <w:tc>
          <w:tcPr>
            <w:tcW w:w="1134" w:type="dxa"/>
            <w:noWrap/>
            <w:vAlign w:val="center"/>
          </w:tcPr>
          <w:p w14:paraId="77637B28">
            <w:pPr>
              <w:keepNext/>
              <w:keepLines/>
              <w:jc w:val="center"/>
              <w:rPr>
                <w:rFonts w:hint="eastAsia"/>
                <w:b/>
                <w:bCs/>
              </w:rPr>
            </w:pPr>
            <w:r>
              <w:rPr>
                <w:b/>
                <w:bCs/>
              </w:rPr>
              <w:t>监测</w:t>
            </w:r>
            <w:r>
              <w:rPr>
                <w:rFonts w:hint="eastAsia"/>
                <w:b/>
                <w:bCs/>
              </w:rPr>
              <w:t>项目</w:t>
            </w:r>
          </w:p>
        </w:tc>
        <w:tc>
          <w:tcPr>
            <w:tcW w:w="1123" w:type="dxa"/>
            <w:noWrap/>
            <w:vAlign w:val="center"/>
          </w:tcPr>
          <w:p w14:paraId="250B1EAF">
            <w:pPr>
              <w:keepNext/>
              <w:keepLines/>
              <w:jc w:val="center"/>
              <w:rPr>
                <w:b/>
                <w:bCs/>
              </w:rPr>
            </w:pPr>
            <w:r>
              <w:rPr>
                <w:b/>
                <w:bCs/>
              </w:rPr>
              <w:t>监测时间及频次</w:t>
            </w:r>
          </w:p>
        </w:tc>
        <w:tc>
          <w:tcPr>
            <w:tcW w:w="2102" w:type="dxa"/>
            <w:noWrap/>
            <w:vAlign w:val="center"/>
          </w:tcPr>
          <w:p w14:paraId="08F05984">
            <w:pPr>
              <w:keepNext/>
              <w:keepLines/>
              <w:jc w:val="center"/>
              <w:rPr>
                <w:b/>
                <w:bCs/>
              </w:rPr>
            </w:pPr>
            <w:r>
              <w:rPr>
                <w:b/>
                <w:bCs/>
              </w:rPr>
              <w:t>监测方法</w:t>
            </w:r>
          </w:p>
        </w:tc>
      </w:tr>
      <w:tr w14:paraId="5F0A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01" w:type="dxa"/>
            <w:noWrap/>
            <w:vAlign w:val="center"/>
          </w:tcPr>
          <w:p w14:paraId="46B6D6BA">
            <w:pPr>
              <w:keepNext/>
              <w:keepLines/>
              <w:jc w:val="center"/>
            </w:pPr>
            <w:r>
              <w:rPr>
                <w:rFonts w:hint="eastAsia"/>
              </w:rPr>
              <w:t>以礼河电厂三级电站</w:t>
            </w:r>
          </w:p>
        </w:tc>
        <w:tc>
          <w:tcPr>
            <w:tcW w:w="3827" w:type="dxa"/>
            <w:noWrap/>
            <w:vAlign w:val="center"/>
          </w:tcPr>
          <w:p w14:paraId="483E045E">
            <w:pPr>
              <w:keepNext/>
              <w:keepLines/>
              <w:autoSpaceDE w:val="0"/>
              <w:autoSpaceDN w:val="0"/>
              <w:jc w:val="center"/>
            </w:pPr>
            <w:r>
              <w:t>厂界周边东南西北4个点位</w:t>
            </w:r>
            <w:r>
              <w:rPr>
                <w:rFonts w:hint="eastAsia"/>
              </w:rPr>
              <w:t>及</w:t>
            </w:r>
            <w:r>
              <w:t>衰减</w:t>
            </w:r>
            <w:r>
              <w:rPr>
                <w:rFonts w:hint="eastAsia"/>
              </w:rPr>
              <w:t>断面（厂界外0m、5m、10m、15m、20m、25m、30m、35m、40m、45m、50m处）</w:t>
            </w:r>
          </w:p>
        </w:tc>
        <w:tc>
          <w:tcPr>
            <w:tcW w:w="1134" w:type="dxa"/>
            <w:vMerge w:val="restart"/>
            <w:noWrap/>
            <w:vAlign w:val="center"/>
          </w:tcPr>
          <w:p w14:paraId="0B8C2155">
            <w:pPr>
              <w:keepNext/>
              <w:keepLines/>
              <w:jc w:val="center"/>
              <w:rPr>
                <w:rFonts w:hint="eastAsia"/>
              </w:rPr>
            </w:pPr>
            <w:r>
              <w:t>工频电场强度、工频磁感应强度</w:t>
            </w:r>
          </w:p>
        </w:tc>
        <w:tc>
          <w:tcPr>
            <w:tcW w:w="1123" w:type="dxa"/>
            <w:vMerge w:val="restart"/>
            <w:noWrap/>
            <w:vAlign w:val="center"/>
          </w:tcPr>
          <w:p w14:paraId="7F65D6A0">
            <w:pPr>
              <w:keepNext/>
              <w:keepLines/>
              <w:jc w:val="center"/>
            </w:pPr>
            <w:r>
              <w:t>运营期监测一次</w:t>
            </w:r>
          </w:p>
        </w:tc>
        <w:tc>
          <w:tcPr>
            <w:tcW w:w="2102" w:type="dxa"/>
            <w:vMerge w:val="restart"/>
            <w:noWrap/>
            <w:vAlign w:val="center"/>
          </w:tcPr>
          <w:p w14:paraId="7A66CFA1">
            <w:pPr>
              <w:keepNext/>
              <w:keepLines/>
              <w:jc w:val="center"/>
            </w:pPr>
            <w:r>
              <w:rPr>
                <w:rFonts w:hint="eastAsia"/>
              </w:rPr>
              <w:t>《交流输变电工程电磁环境监测方法》（HJ 681-2013）</w:t>
            </w:r>
          </w:p>
        </w:tc>
      </w:tr>
      <w:tr w14:paraId="350C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01" w:type="dxa"/>
            <w:noWrap/>
            <w:vAlign w:val="center"/>
          </w:tcPr>
          <w:p w14:paraId="39517B1A">
            <w:pPr>
              <w:keepNext/>
              <w:keepLines/>
              <w:jc w:val="center"/>
              <w:rPr>
                <w:rFonts w:hint="eastAsia"/>
              </w:rPr>
            </w:pPr>
            <w:r>
              <w:rPr>
                <w:rFonts w:hint="eastAsia"/>
              </w:rPr>
              <w:t>电磁保护目标</w:t>
            </w:r>
          </w:p>
        </w:tc>
        <w:tc>
          <w:tcPr>
            <w:tcW w:w="3827" w:type="dxa"/>
            <w:noWrap/>
            <w:vAlign w:val="center"/>
          </w:tcPr>
          <w:p w14:paraId="6DD253A7">
            <w:pPr>
              <w:keepNext/>
              <w:keepLines/>
              <w:autoSpaceDE w:val="0"/>
              <w:autoSpaceDN w:val="0"/>
              <w:jc w:val="center"/>
            </w:pPr>
            <w:r>
              <w:rPr>
                <w:rFonts w:hint="eastAsia"/>
              </w:rPr>
              <w:t>散户：以礼河电厂三级电站厂界东侧20m</w:t>
            </w:r>
          </w:p>
        </w:tc>
        <w:tc>
          <w:tcPr>
            <w:tcW w:w="1134" w:type="dxa"/>
            <w:vMerge w:val="continue"/>
            <w:noWrap/>
            <w:vAlign w:val="center"/>
          </w:tcPr>
          <w:p w14:paraId="38D47652">
            <w:pPr>
              <w:keepNext/>
              <w:keepLines/>
              <w:jc w:val="center"/>
            </w:pPr>
          </w:p>
        </w:tc>
        <w:tc>
          <w:tcPr>
            <w:tcW w:w="1123" w:type="dxa"/>
            <w:vMerge w:val="continue"/>
            <w:noWrap/>
            <w:vAlign w:val="center"/>
          </w:tcPr>
          <w:p w14:paraId="3AC44359">
            <w:pPr>
              <w:keepNext/>
              <w:keepLines/>
              <w:jc w:val="center"/>
            </w:pPr>
          </w:p>
        </w:tc>
        <w:tc>
          <w:tcPr>
            <w:tcW w:w="2102" w:type="dxa"/>
            <w:vMerge w:val="continue"/>
            <w:noWrap/>
            <w:vAlign w:val="center"/>
          </w:tcPr>
          <w:p w14:paraId="75BAAD60">
            <w:pPr>
              <w:keepNext/>
              <w:keepLines/>
              <w:jc w:val="center"/>
              <w:rPr>
                <w:rFonts w:hint="eastAsia"/>
              </w:rPr>
            </w:pPr>
          </w:p>
        </w:tc>
      </w:tr>
    </w:tbl>
    <w:p w14:paraId="341E482C">
      <w:pPr>
        <w:pStyle w:val="3"/>
        <w:spacing w:before="0" w:after="0" w:line="360" w:lineRule="auto"/>
        <w:rPr>
          <w:rFonts w:ascii="Times New Roman" w:hAnsi="Times New Roman" w:eastAsia="黑体"/>
          <w:b w:val="0"/>
          <w:bCs w:val="0"/>
        </w:rPr>
      </w:pPr>
      <w:bookmarkStart w:id="322" w:name="_Toc116995681"/>
      <w:bookmarkStart w:id="323" w:name="_Toc4036"/>
      <w:bookmarkStart w:id="324" w:name="_Toc15491"/>
      <w:bookmarkStart w:id="325" w:name="_Toc233036217"/>
      <w:bookmarkStart w:id="326" w:name="_Toc231571737"/>
      <w:r>
        <w:rPr>
          <w:rFonts w:hint="eastAsia" w:ascii="Times New Roman" w:hAnsi="Times New Roman" w:eastAsia="黑体"/>
          <w:b w:val="0"/>
          <w:bCs w:val="0"/>
        </w:rPr>
        <w:t xml:space="preserve">6 </w:t>
      </w:r>
      <w:r>
        <w:rPr>
          <w:rFonts w:ascii="Times New Roman" w:hAnsi="Times New Roman" w:eastAsia="黑体"/>
          <w:b w:val="0"/>
          <w:bCs w:val="0"/>
          <w:sz w:val="30"/>
          <w:szCs w:val="30"/>
        </w:rPr>
        <w:t>电磁环境影响评价结论</w:t>
      </w:r>
      <w:bookmarkEnd w:id="322"/>
      <w:bookmarkEnd w:id="323"/>
      <w:bookmarkEnd w:id="324"/>
      <w:bookmarkEnd w:id="325"/>
      <w:bookmarkEnd w:id="326"/>
    </w:p>
    <w:p w14:paraId="090DB568">
      <w:pPr>
        <w:pStyle w:val="5"/>
        <w:spacing w:before="0" w:after="0" w:line="360" w:lineRule="auto"/>
        <w:rPr>
          <w:rFonts w:eastAsia="黑体"/>
          <w:b w:val="0"/>
          <w:bCs w:val="0"/>
          <w:sz w:val="28"/>
          <w:szCs w:val="28"/>
        </w:rPr>
      </w:pPr>
      <w:bookmarkStart w:id="327" w:name="_Toc231571738"/>
      <w:bookmarkStart w:id="328" w:name="_Toc233036218"/>
      <w:r>
        <w:rPr>
          <w:rFonts w:hint="eastAsia" w:eastAsia="黑体"/>
          <w:b w:val="0"/>
          <w:bCs w:val="0"/>
          <w:sz w:val="28"/>
          <w:szCs w:val="28"/>
        </w:rPr>
        <w:t>6</w:t>
      </w:r>
      <w:r>
        <w:rPr>
          <w:rFonts w:eastAsia="黑体"/>
          <w:b w:val="0"/>
          <w:bCs w:val="0"/>
          <w:sz w:val="28"/>
          <w:szCs w:val="28"/>
        </w:rPr>
        <w:t>.1</w:t>
      </w:r>
      <w:r>
        <w:rPr>
          <w:rFonts w:hint="eastAsia" w:eastAsia="黑体"/>
          <w:b w:val="0"/>
          <w:bCs w:val="0"/>
          <w:sz w:val="28"/>
          <w:szCs w:val="28"/>
        </w:rPr>
        <w:t xml:space="preserve"> </w:t>
      </w:r>
      <w:r>
        <w:rPr>
          <w:rFonts w:eastAsia="黑体"/>
          <w:b w:val="0"/>
          <w:bCs w:val="0"/>
          <w:sz w:val="28"/>
          <w:szCs w:val="28"/>
        </w:rPr>
        <w:t>电磁环境影响预测评价</w:t>
      </w:r>
      <w:bookmarkEnd w:id="327"/>
      <w:bookmarkEnd w:id="328"/>
    </w:p>
    <w:p w14:paraId="10DD8645">
      <w:pPr>
        <w:spacing w:line="360" w:lineRule="auto"/>
        <w:ind w:firstLine="480" w:firstLineChars="200"/>
        <w:contextualSpacing/>
        <w:rPr>
          <w:color w:val="000000"/>
          <w:sz w:val="24"/>
        </w:rPr>
      </w:pPr>
      <w:r>
        <w:rPr>
          <w:color w:val="000000"/>
          <w:sz w:val="24"/>
        </w:rPr>
        <w:t>工程建成投运后，电磁环境满足相关限值要求，其所产生的电磁环境影响不会对周围环境造成明显影响。</w:t>
      </w:r>
    </w:p>
    <w:p w14:paraId="5386795C">
      <w:pPr>
        <w:pStyle w:val="5"/>
        <w:spacing w:before="0" w:after="0" w:line="360" w:lineRule="auto"/>
        <w:rPr>
          <w:rFonts w:eastAsia="黑体"/>
          <w:b w:val="0"/>
          <w:bCs w:val="0"/>
          <w:sz w:val="28"/>
          <w:szCs w:val="28"/>
        </w:rPr>
      </w:pPr>
      <w:bookmarkStart w:id="329" w:name="_Toc233036219"/>
      <w:bookmarkStart w:id="330" w:name="_Toc231571739"/>
      <w:r>
        <w:rPr>
          <w:rFonts w:hint="eastAsia" w:eastAsia="黑体"/>
          <w:b w:val="0"/>
          <w:bCs w:val="0"/>
          <w:sz w:val="28"/>
          <w:szCs w:val="28"/>
        </w:rPr>
        <w:t>6</w:t>
      </w:r>
      <w:r>
        <w:rPr>
          <w:rFonts w:eastAsia="黑体"/>
          <w:b w:val="0"/>
          <w:bCs w:val="0"/>
          <w:sz w:val="28"/>
          <w:szCs w:val="28"/>
        </w:rPr>
        <w:t>.2</w:t>
      </w:r>
      <w:r>
        <w:rPr>
          <w:rFonts w:hint="eastAsia" w:eastAsia="黑体"/>
          <w:b w:val="0"/>
          <w:bCs w:val="0"/>
          <w:sz w:val="28"/>
          <w:szCs w:val="28"/>
        </w:rPr>
        <w:t xml:space="preserve"> </w:t>
      </w:r>
      <w:r>
        <w:rPr>
          <w:rFonts w:eastAsia="黑体"/>
          <w:b w:val="0"/>
          <w:bCs w:val="0"/>
          <w:sz w:val="28"/>
          <w:szCs w:val="28"/>
        </w:rPr>
        <w:t>电磁环境影响专章评价结论</w:t>
      </w:r>
      <w:bookmarkEnd w:id="329"/>
      <w:bookmarkEnd w:id="330"/>
    </w:p>
    <w:p w14:paraId="0175B3D7">
      <w:pPr>
        <w:spacing w:line="360" w:lineRule="auto"/>
        <w:ind w:firstLine="480" w:firstLineChars="200"/>
        <w:contextualSpacing/>
        <w:rPr>
          <w:color w:val="000000"/>
          <w:kern w:val="0"/>
          <w:sz w:val="24"/>
          <w:szCs w:val="22"/>
        </w:rPr>
      </w:pPr>
      <w:r>
        <w:rPr>
          <w:color w:val="000000"/>
          <w:kern w:val="0"/>
          <w:sz w:val="24"/>
          <w:szCs w:val="22"/>
        </w:rPr>
        <w:t>本项目新建</w:t>
      </w:r>
      <w:r>
        <w:rPr>
          <w:rFonts w:hint="eastAsia"/>
          <w:color w:val="000000"/>
          <w:kern w:val="0"/>
          <w:sz w:val="24"/>
          <w:szCs w:val="22"/>
        </w:rPr>
        <w:t>1</w:t>
      </w:r>
      <w:r>
        <w:rPr>
          <w:color w:val="000000"/>
          <w:kern w:val="0"/>
          <w:sz w:val="24"/>
          <w:szCs w:val="22"/>
        </w:rPr>
        <w:t>10kV升压站，新建主变规模1×50MVA，现有水电发电主变规模270MVA（2×45MVA+2×90MVA），整个以礼河三级电站主变规模总容量320MVA，通过类比卧龙山风电场升压站，可以预测本电站建成运行后，其围墙外的工频电场强度将小于4kV/m，工频磁感应强度远小于100μT，电磁环境均能满足《电磁环境控制限值》（GB 8702-2014）评价标准的限值要求，对周边电磁环境造成影响较小。</w:t>
      </w:r>
    </w:p>
    <w:p w14:paraId="1C6F146F">
      <w:pPr>
        <w:spacing w:line="360" w:lineRule="auto"/>
        <w:ind w:firstLine="480" w:firstLineChars="200"/>
        <w:contextualSpacing/>
        <w:rPr>
          <w:color w:val="000000"/>
          <w:kern w:val="0"/>
          <w:sz w:val="24"/>
          <w:szCs w:val="22"/>
        </w:rPr>
      </w:pPr>
      <w:r>
        <w:rPr>
          <w:color w:val="000000"/>
          <w:kern w:val="0"/>
          <w:sz w:val="24"/>
          <w:szCs w:val="22"/>
        </w:rPr>
        <w:t>根据现场调查，本项目电磁环境保护目标以礼河电厂三级电站厂界东20m散户的工频电场强度小于4kV/m，工频磁感应强度小于100μT，电磁环境均能满足《电磁环境控制限值》（GB 8702-2014）评价标准的限值要求，以礼河电厂三级电站整个厂区产生的工频电场和工频磁场对以礼河电厂三级电站厂界东侧20m散户周边的影响较小。</w:t>
      </w:r>
    </w:p>
    <w:p w14:paraId="182E9829">
      <w:pPr>
        <w:spacing w:line="360" w:lineRule="auto"/>
        <w:ind w:firstLine="480" w:firstLineChars="200"/>
        <w:contextualSpacing/>
      </w:pPr>
      <w:r>
        <w:rPr>
          <w:color w:val="000000"/>
          <w:kern w:val="0"/>
          <w:sz w:val="24"/>
          <w:szCs w:val="22"/>
        </w:rPr>
        <w:t>综上，绿坪村光伏发电项目升压站建成后，以礼河电厂三级电站整个厂区运行期间电磁环境影响不大，满足相关限值要求，从环保角度而言是可行的。</w:t>
      </w:r>
    </w:p>
    <w:sectPr>
      <w:footerReference r:id="rId12" w:type="default"/>
      <w:pgSz w:w="11905" w:h="16838"/>
      <w:pgMar w:top="1531" w:right="1417" w:bottom="1531" w:left="1417" w:header="851" w:footer="1077" w:gutter="0"/>
      <w:pgBorders>
        <w:top w:val="none" w:sz="0" w:space="0"/>
        <w:left w:val="none" w:sz="0" w:space="0"/>
        <w:bottom w:val="none" w:sz="0" w:space="0"/>
        <w:right w:val="none" w:sz="0" w:space="0"/>
      </w:pgBorders>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TimesNewRomanPS-BoldMT">
    <w:altName w:val="Times New Roman"/>
    <w:panose1 w:val="00000000000000000000"/>
    <w:charset w:val="00"/>
    <w:family w:val="roman"/>
    <w:pitch w:val="default"/>
    <w:sig w:usb0="00000000" w:usb1="00000000" w:usb2="00000000" w:usb3="00000000" w:csb0="00040001" w:csb1="00000000"/>
  </w:font>
  <w:font w:name="TimesNewRomanPSMT">
    <w:altName w:val="Times New Roman"/>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方正小标宋_GBK">
    <w:altName w:val="Arial Unicode MS"/>
    <w:panose1 w:val="03000509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MS Mincho">
    <w:panose1 w:val="02020609040205080304"/>
    <w:charset w:val="80"/>
    <w:family w:val="modern"/>
    <w:pitch w:val="default"/>
    <w:sig w:usb0="A00002BF" w:usb1="68C7FCFB" w:usb2="00000010" w:usb3="00000000" w:csb0="4002009F" w:csb1="DFD70000"/>
  </w:font>
  <w:font w:name="Wingdings 2">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Liberation Serif">
    <w:altName w:val="Times New Roman"/>
    <w:panose1 w:val="00000000000000000000"/>
    <w:charset w:val="01"/>
    <w:family w:val="auto"/>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8971C">
    <w:pPr>
      <w:pStyle w:val="18"/>
      <w:framePr w:wrap="around" w:vAnchor="text" w:hAnchor="margin" w:xAlign="outside" w:y="1"/>
      <w:rPr>
        <w:rStyle w:val="34"/>
      </w:rPr>
    </w:pPr>
    <w:r>
      <w:fldChar w:fldCharType="begin"/>
    </w:r>
    <w:r>
      <w:rPr>
        <w:rStyle w:val="34"/>
      </w:rPr>
      <w:instrText xml:space="preserve">PAGE  </w:instrText>
    </w:r>
    <w:r>
      <w:fldChar w:fldCharType="end"/>
    </w:r>
  </w:p>
  <w:p w14:paraId="24A3F0A0">
    <w:pPr>
      <w:pStyle w:val="1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6F030">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949BF">
    <w:pPr>
      <w:pStyle w:val="18"/>
      <w:jc w:val="center"/>
    </w:pPr>
    <w:r>
      <w:fldChar w:fldCharType="begin"/>
    </w:r>
    <w:r>
      <w:instrText xml:space="preserve">PAGE   \* MERGEFORMAT</w:instrText>
    </w:r>
    <w:r>
      <w:fldChar w:fldCharType="separate"/>
    </w:r>
    <w:r>
      <w:rPr>
        <w:lang w:val="zh-CN" w:eastAsia="zh-CN"/>
      </w:rPr>
      <w:t>24</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2982F">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31B8B">
    <w:pPr>
      <w:pStyle w:val="18"/>
      <w:tabs>
        <w:tab w:val="clear" w:pos="8306"/>
      </w:tabs>
    </w:pPr>
    <w:r>
      <w:rPr>
        <w:rFonts w:hint="eastAsia"/>
      </w:rPr>
      <w:tab/>
    </w:r>
    <w:r>
      <w:rPr>
        <w:rFonts w:hint="eastAsia"/>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49ADD">
    <w:pPr>
      <w:pStyle w:val="18"/>
      <w:jc w:val="center"/>
      <w:rPr>
        <w:rFonts w:hint="eastAsia"/>
      </w:rPr>
    </w:pPr>
    <w:r>
      <w:fldChar w:fldCharType="begin"/>
    </w:r>
    <w:r>
      <w:instrText xml:space="preserve">PAGE   \* MERGEFORMAT</w:instrText>
    </w:r>
    <w:r>
      <w:fldChar w:fldCharType="separate"/>
    </w:r>
    <w:r>
      <w:rPr>
        <w:lang w:val="zh-CN"/>
      </w:rPr>
      <w:t>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D6B57">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F7077">
    <w:pPr>
      <w:pStyle w:val="1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E55EE">
    <w:pPr>
      <w:pStyle w:val="1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FF524">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FA0020"/>
    <w:multiLevelType w:val="singleLevel"/>
    <w:tmpl w:val="B1FA0020"/>
    <w:lvl w:ilvl="0" w:tentative="0">
      <w:start w:val="1"/>
      <w:numFmt w:val="decimal"/>
      <w:suff w:val="nothing"/>
      <w:lvlText w:val="%1"/>
      <w:lvlJc w:val="left"/>
      <w:pPr>
        <w:ind w:left="425" w:hanging="425"/>
      </w:pPr>
      <w:rPr>
        <w:rFonts w:hint="default"/>
      </w:rPr>
    </w:lvl>
  </w:abstractNum>
  <w:abstractNum w:abstractNumId="1">
    <w:nsid w:val="B422034A"/>
    <w:multiLevelType w:val="singleLevel"/>
    <w:tmpl w:val="B422034A"/>
    <w:lvl w:ilvl="0" w:tentative="0">
      <w:start w:val="1"/>
      <w:numFmt w:val="decimal"/>
      <w:suff w:val="nothing"/>
      <w:lvlText w:val="%1"/>
      <w:lvlJc w:val="left"/>
      <w:pPr>
        <w:ind w:left="425" w:hanging="425"/>
      </w:pPr>
      <w:rPr>
        <w:rFonts w:hint="default"/>
      </w:rPr>
    </w:lvl>
  </w:abstractNum>
  <w:abstractNum w:abstractNumId="2">
    <w:nsid w:val="BC6FB7AD"/>
    <w:multiLevelType w:val="singleLevel"/>
    <w:tmpl w:val="BC6FB7AD"/>
    <w:lvl w:ilvl="0" w:tentative="0">
      <w:start w:val="4"/>
      <w:numFmt w:val="decimal"/>
      <w:suff w:val="nothing"/>
      <w:lvlText w:val="%1）"/>
      <w:lvlJc w:val="left"/>
    </w:lvl>
  </w:abstractNum>
  <w:abstractNum w:abstractNumId="3">
    <w:nsid w:val="00000006"/>
    <w:multiLevelType w:val="multilevel"/>
    <w:tmpl w:val="00000006"/>
    <w:lvl w:ilvl="0" w:tentative="0">
      <w:start w:val="1"/>
      <w:numFmt w:val="decimal"/>
      <w:suff w:val="nothing"/>
      <w:lvlText w:val="%1"/>
      <w:lvlJc w:val="left"/>
      <w:pPr>
        <w:ind w:left="0" w:firstLine="400"/>
      </w:pPr>
      <w:rPr>
        <w:rFonts w:hint="default"/>
      </w:rPr>
    </w:lvl>
    <w:lvl w:ilvl="1" w:tentative="0">
      <w:start w:val="1"/>
      <w:numFmt w:val="decimal"/>
      <w:lvlText w:val="%2."/>
      <w:lvlJc w:val="left"/>
      <w:pPr>
        <w:ind w:left="0" w:firstLine="0"/>
      </w:pPr>
      <w:rPr>
        <w:rFonts w:hint="eastAsia"/>
        <w:b w:val="0"/>
        <w:i w:val="0"/>
        <w:sz w:val="32"/>
        <w:szCs w:val="32"/>
      </w:rPr>
    </w:lvl>
    <w:lvl w:ilvl="2" w:tentative="0">
      <w:start w:val="1"/>
      <w:numFmt w:val="decimal"/>
      <w:pStyle w:val="70"/>
      <w:suff w:val="nothing"/>
      <w:lvlText w:val="%1%2.%3　"/>
      <w:lvlJc w:val="left"/>
      <w:pPr>
        <w:ind w:left="426" w:firstLine="0"/>
      </w:pPr>
      <w:rPr>
        <w:rFonts w:hint="eastAsia" w:ascii="黑体" w:hAnsi="Times New Roman" w:eastAsia="黑体"/>
        <w:b w:val="0"/>
        <w:i w:val="0"/>
        <w:sz w:val="28"/>
        <w:szCs w:val="28"/>
      </w:rPr>
    </w:lvl>
    <w:lvl w:ilvl="3" w:tentative="0">
      <w:start w:val="1"/>
      <w:numFmt w:val="decimal"/>
      <w:pStyle w:val="69"/>
      <w:suff w:val="nothing"/>
      <w:lvlText w:val="%1%2.%3.%4　"/>
      <w:lvlJc w:val="left"/>
      <w:pPr>
        <w:ind w:left="0" w:firstLine="0"/>
      </w:pPr>
      <w:rPr>
        <w:rFonts w:hint="eastAsia" w:ascii="黑体" w:hAnsi="Times New Roman" w:eastAsia="黑体"/>
        <w:b w:val="0"/>
        <w:i w:val="0"/>
        <w:sz w:val="24"/>
        <w:szCs w:val="24"/>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13C0707A"/>
    <w:multiLevelType w:val="multilevel"/>
    <w:tmpl w:val="13C0707A"/>
    <w:lvl w:ilvl="0" w:tentative="0">
      <w:start w:val="1"/>
      <w:numFmt w:val="decimal"/>
      <w:lvlText w:val="%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6283F44"/>
    <w:multiLevelType w:val="singleLevel"/>
    <w:tmpl w:val="26283F44"/>
    <w:lvl w:ilvl="0" w:tentative="0">
      <w:start w:val="2"/>
      <w:numFmt w:val="decimal"/>
      <w:suff w:val="space"/>
      <w:lvlText w:val="%1."/>
      <w:lvlJc w:val="left"/>
    </w:lvl>
  </w:abstractNum>
  <w:abstractNum w:abstractNumId="6">
    <w:nsid w:val="30643684"/>
    <w:multiLevelType w:val="multilevel"/>
    <w:tmpl w:val="30643684"/>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FC64015"/>
    <w:multiLevelType w:val="multilevel"/>
    <w:tmpl w:val="3FC64015"/>
    <w:lvl w:ilvl="0" w:tentative="0">
      <w:start w:val="1"/>
      <w:numFmt w:val="decimal"/>
      <w:lvlText w:val="%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27BF5FC"/>
    <w:multiLevelType w:val="singleLevel"/>
    <w:tmpl w:val="527BF5FC"/>
    <w:lvl w:ilvl="0" w:tentative="0">
      <w:start w:val="1"/>
      <w:numFmt w:val="decimal"/>
      <w:suff w:val="nothing"/>
      <w:lvlText w:val="%1"/>
      <w:lvlJc w:val="left"/>
      <w:pPr>
        <w:ind w:left="425" w:hanging="425"/>
      </w:pPr>
      <w:rPr>
        <w:rFonts w:hint="default"/>
      </w:rPr>
    </w:lvl>
  </w:abstractNum>
  <w:abstractNum w:abstractNumId="9">
    <w:nsid w:val="75F215DE"/>
    <w:multiLevelType w:val="multilevel"/>
    <w:tmpl w:val="75F215DE"/>
    <w:lvl w:ilvl="0" w:tentative="0">
      <w:start w:val="1"/>
      <w:numFmt w:val="japaneseCounting"/>
      <w:lvlText w:val="%1、"/>
      <w:lvlJc w:val="left"/>
      <w:pPr>
        <w:ind w:left="465" w:hanging="465"/>
      </w:pPr>
      <w:rPr>
        <w:rFonts w:hint="default"/>
      </w:rPr>
    </w:lvl>
    <w:lvl w:ilvl="1" w:tentative="0">
      <w:start w:val="1"/>
      <w:numFmt w:val="lowerLetter"/>
      <w:lvlText w:val="%2)"/>
      <w:lvlJc w:val="left"/>
      <w:pPr>
        <w:ind w:left="840" w:hanging="420"/>
      </w:pPr>
    </w:lvl>
    <w:lvl w:ilvl="2" w:tentative="0">
      <w:start w:val="1"/>
      <w:numFmt w:val="lowerRoman"/>
      <w:pStyle w:val="107"/>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9AE2D3A"/>
    <w:multiLevelType w:val="singleLevel"/>
    <w:tmpl w:val="79AE2D3A"/>
    <w:lvl w:ilvl="0" w:tentative="0">
      <w:start w:val="1"/>
      <w:numFmt w:val="decimal"/>
      <w:suff w:val="nothing"/>
      <w:lvlText w:val="%1"/>
      <w:lvlJc w:val="left"/>
      <w:pPr>
        <w:ind w:left="425" w:hanging="425"/>
      </w:pPr>
      <w:rPr>
        <w:rFonts w:hint="default"/>
      </w:rPr>
    </w:lvl>
  </w:abstractNum>
  <w:num w:numId="1">
    <w:abstractNumId w:val="3"/>
  </w:num>
  <w:num w:numId="2">
    <w:abstractNumId w:val="9"/>
  </w:num>
  <w:num w:numId="3">
    <w:abstractNumId w:val="8"/>
  </w:num>
  <w:num w:numId="4">
    <w:abstractNumId w:val="10"/>
  </w:num>
  <w:num w:numId="5">
    <w:abstractNumId w:val="0"/>
  </w:num>
  <w:num w:numId="6">
    <w:abstractNumId w:val="1"/>
  </w:num>
  <w:num w:numId="7">
    <w:abstractNumId w:val="5"/>
  </w:num>
  <w:num w:numId="8">
    <w:abstractNumId w:val="2"/>
  </w:num>
  <w:num w:numId="9">
    <w:abstractNumId w:val="6"/>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0"/>
  <w:doNotHyphenateCaps/>
  <w:drawingGridHorizontalSpacing w:val="21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BiYzQ1NDY1YjQ0MjBjMWNmZDQyYjE1NzJjMWYwMDcifQ=="/>
  </w:docVars>
  <w:rsids>
    <w:rsidRoot w:val="00172A27"/>
    <w:rsid w:val="00000B03"/>
    <w:rsid w:val="00001B2D"/>
    <w:rsid w:val="00001CED"/>
    <w:rsid w:val="00001E67"/>
    <w:rsid w:val="000021EE"/>
    <w:rsid w:val="00002DCD"/>
    <w:rsid w:val="00003CD8"/>
    <w:rsid w:val="00005CC9"/>
    <w:rsid w:val="00013B6C"/>
    <w:rsid w:val="000143B6"/>
    <w:rsid w:val="00014965"/>
    <w:rsid w:val="0001523A"/>
    <w:rsid w:val="0001595C"/>
    <w:rsid w:val="00015A0C"/>
    <w:rsid w:val="00016ECB"/>
    <w:rsid w:val="00017988"/>
    <w:rsid w:val="0002299D"/>
    <w:rsid w:val="00026809"/>
    <w:rsid w:val="000269F6"/>
    <w:rsid w:val="00027991"/>
    <w:rsid w:val="00031939"/>
    <w:rsid w:val="000328B2"/>
    <w:rsid w:val="00032D25"/>
    <w:rsid w:val="00033AE6"/>
    <w:rsid w:val="00036166"/>
    <w:rsid w:val="0003652C"/>
    <w:rsid w:val="000365E2"/>
    <w:rsid w:val="00040AF5"/>
    <w:rsid w:val="00040BD3"/>
    <w:rsid w:val="0004281C"/>
    <w:rsid w:val="00044A7E"/>
    <w:rsid w:val="00045429"/>
    <w:rsid w:val="000506B6"/>
    <w:rsid w:val="00051603"/>
    <w:rsid w:val="0005219D"/>
    <w:rsid w:val="00052FE4"/>
    <w:rsid w:val="00054F78"/>
    <w:rsid w:val="0005568F"/>
    <w:rsid w:val="00060A01"/>
    <w:rsid w:val="0006153D"/>
    <w:rsid w:val="00061B1F"/>
    <w:rsid w:val="00061EBD"/>
    <w:rsid w:val="00065AD3"/>
    <w:rsid w:val="00065BB6"/>
    <w:rsid w:val="00065D03"/>
    <w:rsid w:val="000664DB"/>
    <w:rsid w:val="00067E2F"/>
    <w:rsid w:val="000702BE"/>
    <w:rsid w:val="0007105F"/>
    <w:rsid w:val="0007127D"/>
    <w:rsid w:val="00071AE5"/>
    <w:rsid w:val="000733FC"/>
    <w:rsid w:val="000736CF"/>
    <w:rsid w:val="00073B90"/>
    <w:rsid w:val="00074783"/>
    <w:rsid w:val="00077025"/>
    <w:rsid w:val="000801E0"/>
    <w:rsid w:val="0008097C"/>
    <w:rsid w:val="00080DE3"/>
    <w:rsid w:val="00081557"/>
    <w:rsid w:val="0008167B"/>
    <w:rsid w:val="000822FD"/>
    <w:rsid w:val="00082A29"/>
    <w:rsid w:val="00082BB5"/>
    <w:rsid w:val="0008331D"/>
    <w:rsid w:val="00083C18"/>
    <w:rsid w:val="00085617"/>
    <w:rsid w:val="00087160"/>
    <w:rsid w:val="00090012"/>
    <w:rsid w:val="0009260E"/>
    <w:rsid w:val="00092899"/>
    <w:rsid w:val="00093F23"/>
    <w:rsid w:val="00095577"/>
    <w:rsid w:val="000971E5"/>
    <w:rsid w:val="000A178E"/>
    <w:rsid w:val="000A4CCB"/>
    <w:rsid w:val="000A557E"/>
    <w:rsid w:val="000A60A8"/>
    <w:rsid w:val="000A7278"/>
    <w:rsid w:val="000B058F"/>
    <w:rsid w:val="000B3384"/>
    <w:rsid w:val="000B4EB2"/>
    <w:rsid w:val="000B5596"/>
    <w:rsid w:val="000B5CDB"/>
    <w:rsid w:val="000B693F"/>
    <w:rsid w:val="000B7029"/>
    <w:rsid w:val="000B7422"/>
    <w:rsid w:val="000C024B"/>
    <w:rsid w:val="000C09AC"/>
    <w:rsid w:val="000C0A63"/>
    <w:rsid w:val="000C10DB"/>
    <w:rsid w:val="000C1758"/>
    <w:rsid w:val="000C437E"/>
    <w:rsid w:val="000C5A5F"/>
    <w:rsid w:val="000C7227"/>
    <w:rsid w:val="000C73A0"/>
    <w:rsid w:val="000C764D"/>
    <w:rsid w:val="000C7FDC"/>
    <w:rsid w:val="000D0A17"/>
    <w:rsid w:val="000D0E25"/>
    <w:rsid w:val="000D2C5A"/>
    <w:rsid w:val="000D31FC"/>
    <w:rsid w:val="000D3E15"/>
    <w:rsid w:val="000D4305"/>
    <w:rsid w:val="000D469C"/>
    <w:rsid w:val="000D5F14"/>
    <w:rsid w:val="000D620E"/>
    <w:rsid w:val="000D77B0"/>
    <w:rsid w:val="000E1718"/>
    <w:rsid w:val="000E486F"/>
    <w:rsid w:val="000E4B8C"/>
    <w:rsid w:val="000E531D"/>
    <w:rsid w:val="000E5F16"/>
    <w:rsid w:val="000E61F0"/>
    <w:rsid w:val="000E64C9"/>
    <w:rsid w:val="000E7CD8"/>
    <w:rsid w:val="000F1337"/>
    <w:rsid w:val="000F1F38"/>
    <w:rsid w:val="000F25D5"/>
    <w:rsid w:val="000F3533"/>
    <w:rsid w:val="000F3A06"/>
    <w:rsid w:val="000F3DC3"/>
    <w:rsid w:val="000F4452"/>
    <w:rsid w:val="000F59CF"/>
    <w:rsid w:val="000F6B24"/>
    <w:rsid w:val="000F6DA1"/>
    <w:rsid w:val="000F701B"/>
    <w:rsid w:val="00102193"/>
    <w:rsid w:val="00102F33"/>
    <w:rsid w:val="001056A0"/>
    <w:rsid w:val="001063AB"/>
    <w:rsid w:val="0010655B"/>
    <w:rsid w:val="00107904"/>
    <w:rsid w:val="0011006C"/>
    <w:rsid w:val="001112C2"/>
    <w:rsid w:val="001123DF"/>
    <w:rsid w:val="00112F9E"/>
    <w:rsid w:val="001130D0"/>
    <w:rsid w:val="00115279"/>
    <w:rsid w:val="00117459"/>
    <w:rsid w:val="0011749A"/>
    <w:rsid w:val="00120064"/>
    <w:rsid w:val="001200BE"/>
    <w:rsid w:val="00120859"/>
    <w:rsid w:val="001216F8"/>
    <w:rsid w:val="00122091"/>
    <w:rsid w:val="00122850"/>
    <w:rsid w:val="001240D7"/>
    <w:rsid w:val="00124B17"/>
    <w:rsid w:val="0012796A"/>
    <w:rsid w:val="00127A68"/>
    <w:rsid w:val="001321C9"/>
    <w:rsid w:val="00134916"/>
    <w:rsid w:val="00135464"/>
    <w:rsid w:val="001356E1"/>
    <w:rsid w:val="001359E6"/>
    <w:rsid w:val="00140B13"/>
    <w:rsid w:val="00141B68"/>
    <w:rsid w:val="00142766"/>
    <w:rsid w:val="0014295F"/>
    <w:rsid w:val="00142CE3"/>
    <w:rsid w:val="001460E7"/>
    <w:rsid w:val="00146677"/>
    <w:rsid w:val="001466DA"/>
    <w:rsid w:val="00146749"/>
    <w:rsid w:val="00150568"/>
    <w:rsid w:val="00151CAB"/>
    <w:rsid w:val="0015271E"/>
    <w:rsid w:val="00152A7E"/>
    <w:rsid w:val="001530C6"/>
    <w:rsid w:val="00153654"/>
    <w:rsid w:val="001547AF"/>
    <w:rsid w:val="00154814"/>
    <w:rsid w:val="00154DE1"/>
    <w:rsid w:val="00155B40"/>
    <w:rsid w:val="00157435"/>
    <w:rsid w:val="00157555"/>
    <w:rsid w:val="00160415"/>
    <w:rsid w:val="00161ED1"/>
    <w:rsid w:val="00161FA2"/>
    <w:rsid w:val="001621BF"/>
    <w:rsid w:val="001623D8"/>
    <w:rsid w:val="001625E3"/>
    <w:rsid w:val="00162871"/>
    <w:rsid w:val="00162F0A"/>
    <w:rsid w:val="001630B2"/>
    <w:rsid w:val="0016351E"/>
    <w:rsid w:val="00163EEA"/>
    <w:rsid w:val="001644CC"/>
    <w:rsid w:val="00164EC8"/>
    <w:rsid w:val="00167485"/>
    <w:rsid w:val="00167A07"/>
    <w:rsid w:val="0017046A"/>
    <w:rsid w:val="001704A3"/>
    <w:rsid w:val="00172A27"/>
    <w:rsid w:val="00173433"/>
    <w:rsid w:val="001739F5"/>
    <w:rsid w:val="0017504D"/>
    <w:rsid w:val="00175135"/>
    <w:rsid w:val="00177282"/>
    <w:rsid w:val="00177422"/>
    <w:rsid w:val="00177A36"/>
    <w:rsid w:val="00177D8A"/>
    <w:rsid w:val="00180180"/>
    <w:rsid w:val="001805EF"/>
    <w:rsid w:val="00181534"/>
    <w:rsid w:val="00182E0E"/>
    <w:rsid w:val="00182FE9"/>
    <w:rsid w:val="001839E0"/>
    <w:rsid w:val="00184F10"/>
    <w:rsid w:val="00185546"/>
    <w:rsid w:val="001879CD"/>
    <w:rsid w:val="00190A76"/>
    <w:rsid w:val="00191449"/>
    <w:rsid w:val="0019146B"/>
    <w:rsid w:val="0019182B"/>
    <w:rsid w:val="00191A8F"/>
    <w:rsid w:val="00191E5F"/>
    <w:rsid w:val="001920E8"/>
    <w:rsid w:val="00194398"/>
    <w:rsid w:val="00196ED8"/>
    <w:rsid w:val="00197B5A"/>
    <w:rsid w:val="00197E5E"/>
    <w:rsid w:val="001A0F3B"/>
    <w:rsid w:val="001A1020"/>
    <w:rsid w:val="001A2702"/>
    <w:rsid w:val="001A2DFD"/>
    <w:rsid w:val="001A385B"/>
    <w:rsid w:val="001A386A"/>
    <w:rsid w:val="001A4C9D"/>
    <w:rsid w:val="001A7D2A"/>
    <w:rsid w:val="001B02B9"/>
    <w:rsid w:val="001B0488"/>
    <w:rsid w:val="001B167C"/>
    <w:rsid w:val="001B41E5"/>
    <w:rsid w:val="001B574C"/>
    <w:rsid w:val="001B5C73"/>
    <w:rsid w:val="001C0AF9"/>
    <w:rsid w:val="001C155A"/>
    <w:rsid w:val="001C1ACD"/>
    <w:rsid w:val="001C3C12"/>
    <w:rsid w:val="001C48C0"/>
    <w:rsid w:val="001C4BE9"/>
    <w:rsid w:val="001C4FBE"/>
    <w:rsid w:val="001C661D"/>
    <w:rsid w:val="001C6D03"/>
    <w:rsid w:val="001C73F1"/>
    <w:rsid w:val="001D4F70"/>
    <w:rsid w:val="001D5F68"/>
    <w:rsid w:val="001D6726"/>
    <w:rsid w:val="001D746F"/>
    <w:rsid w:val="001E124E"/>
    <w:rsid w:val="001E7BE4"/>
    <w:rsid w:val="001F1AF8"/>
    <w:rsid w:val="001F3347"/>
    <w:rsid w:val="001F4440"/>
    <w:rsid w:val="001F4635"/>
    <w:rsid w:val="001F4840"/>
    <w:rsid w:val="001F4B4C"/>
    <w:rsid w:val="001F5E5D"/>
    <w:rsid w:val="001F6553"/>
    <w:rsid w:val="001F69E4"/>
    <w:rsid w:val="00201DBB"/>
    <w:rsid w:val="00202C9C"/>
    <w:rsid w:val="00203CBC"/>
    <w:rsid w:val="00206A65"/>
    <w:rsid w:val="002070F7"/>
    <w:rsid w:val="0021108E"/>
    <w:rsid w:val="00212308"/>
    <w:rsid w:val="00212A0C"/>
    <w:rsid w:val="00212D31"/>
    <w:rsid w:val="002130C7"/>
    <w:rsid w:val="0021630A"/>
    <w:rsid w:val="00216729"/>
    <w:rsid w:val="002206D5"/>
    <w:rsid w:val="002218A8"/>
    <w:rsid w:val="0022306D"/>
    <w:rsid w:val="00224D9E"/>
    <w:rsid w:val="00225BCA"/>
    <w:rsid w:val="00226574"/>
    <w:rsid w:val="002278EC"/>
    <w:rsid w:val="00232709"/>
    <w:rsid w:val="002357C7"/>
    <w:rsid w:val="002367C4"/>
    <w:rsid w:val="0023699D"/>
    <w:rsid w:val="00240F48"/>
    <w:rsid w:val="00242E2B"/>
    <w:rsid w:val="00243E75"/>
    <w:rsid w:val="0024553B"/>
    <w:rsid w:val="00246292"/>
    <w:rsid w:val="002463DB"/>
    <w:rsid w:val="002472EC"/>
    <w:rsid w:val="00247823"/>
    <w:rsid w:val="002518B9"/>
    <w:rsid w:val="0025280D"/>
    <w:rsid w:val="0025679E"/>
    <w:rsid w:val="0025734D"/>
    <w:rsid w:val="00257708"/>
    <w:rsid w:val="002600F9"/>
    <w:rsid w:val="00260C68"/>
    <w:rsid w:val="0026249E"/>
    <w:rsid w:val="00262F16"/>
    <w:rsid w:val="002648B0"/>
    <w:rsid w:val="00264DE3"/>
    <w:rsid w:val="00266DE8"/>
    <w:rsid w:val="002723A5"/>
    <w:rsid w:val="00275271"/>
    <w:rsid w:val="002752E9"/>
    <w:rsid w:val="0027535E"/>
    <w:rsid w:val="00275458"/>
    <w:rsid w:val="00275AA6"/>
    <w:rsid w:val="00277F6E"/>
    <w:rsid w:val="002807D5"/>
    <w:rsid w:val="00280C1C"/>
    <w:rsid w:val="00281D6E"/>
    <w:rsid w:val="00282093"/>
    <w:rsid w:val="00282CCD"/>
    <w:rsid w:val="00283780"/>
    <w:rsid w:val="002842EA"/>
    <w:rsid w:val="002860F6"/>
    <w:rsid w:val="00286D4C"/>
    <w:rsid w:val="0028743D"/>
    <w:rsid w:val="00290411"/>
    <w:rsid w:val="00292B3F"/>
    <w:rsid w:val="00292B7B"/>
    <w:rsid w:val="00292DAB"/>
    <w:rsid w:val="002944CE"/>
    <w:rsid w:val="00294E98"/>
    <w:rsid w:val="00294F0D"/>
    <w:rsid w:val="00296D55"/>
    <w:rsid w:val="002A11B2"/>
    <w:rsid w:val="002A12CF"/>
    <w:rsid w:val="002A168C"/>
    <w:rsid w:val="002A2C48"/>
    <w:rsid w:val="002A3EED"/>
    <w:rsid w:val="002A413B"/>
    <w:rsid w:val="002A443B"/>
    <w:rsid w:val="002A4A39"/>
    <w:rsid w:val="002A5A17"/>
    <w:rsid w:val="002A6259"/>
    <w:rsid w:val="002A6425"/>
    <w:rsid w:val="002A71EE"/>
    <w:rsid w:val="002B23E4"/>
    <w:rsid w:val="002B49E2"/>
    <w:rsid w:val="002B5DFC"/>
    <w:rsid w:val="002B5E29"/>
    <w:rsid w:val="002B610F"/>
    <w:rsid w:val="002B6FF8"/>
    <w:rsid w:val="002B71A1"/>
    <w:rsid w:val="002B7B00"/>
    <w:rsid w:val="002B7C44"/>
    <w:rsid w:val="002C0D04"/>
    <w:rsid w:val="002C1388"/>
    <w:rsid w:val="002C238E"/>
    <w:rsid w:val="002C2D3B"/>
    <w:rsid w:val="002C30D4"/>
    <w:rsid w:val="002C3C6A"/>
    <w:rsid w:val="002C6AA3"/>
    <w:rsid w:val="002C764B"/>
    <w:rsid w:val="002D0302"/>
    <w:rsid w:val="002D1133"/>
    <w:rsid w:val="002D1D90"/>
    <w:rsid w:val="002D249A"/>
    <w:rsid w:val="002D3325"/>
    <w:rsid w:val="002D3F2C"/>
    <w:rsid w:val="002D42DB"/>
    <w:rsid w:val="002D5AC5"/>
    <w:rsid w:val="002D5B4A"/>
    <w:rsid w:val="002E082F"/>
    <w:rsid w:val="002E19B3"/>
    <w:rsid w:val="002E1C89"/>
    <w:rsid w:val="002E1F3A"/>
    <w:rsid w:val="002E298A"/>
    <w:rsid w:val="002E303B"/>
    <w:rsid w:val="002E3A9C"/>
    <w:rsid w:val="002E3C09"/>
    <w:rsid w:val="002E50AF"/>
    <w:rsid w:val="002E50E1"/>
    <w:rsid w:val="002E533F"/>
    <w:rsid w:val="002E5577"/>
    <w:rsid w:val="002E7541"/>
    <w:rsid w:val="002F02A4"/>
    <w:rsid w:val="002F0C4E"/>
    <w:rsid w:val="002F26A7"/>
    <w:rsid w:val="002F272B"/>
    <w:rsid w:val="002F5374"/>
    <w:rsid w:val="002F5961"/>
    <w:rsid w:val="002F5B9A"/>
    <w:rsid w:val="002F5C93"/>
    <w:rsid w:val="002F6017"/>
    <w:rsid w:val="002F64B7"/>
    <w:rsid w:val="002F7C6D"/>
    <w:rsid w:val="002F7E37"/>
    <w:rsid w:val="003027E4"/>
    <w:rsid w:val="0030332C"/>
    <w:rsid w:val="003052C2"/>
    <w:rsid w:val="003057BE"/>
    <w:rsid w:val="00305D03"/>
    <w:rsid w:val="00306740"/>
    <w:rsid w:val="00306EC3"/>
    <w:rsid w:val="00307EC4"/>
    <w:rsid w:val="00310336"/>
    <w:rsid w:val="00312296"/>
    <w:rsid w:val="0031340E"/>
    <w:rsid w:val="00313A62"/>
    <w:rsid w:val="00314655"/>
    <w:rsid w:val="0031622E"/>
    <w:rsid w:val="00316464"/>
    <w:rsid w:val="00316F6F"/>
    <w:rsid w:val="0032073A"/>
    <w:rsid w:val="003209AD"/>
    <w:rsid w:val="00321D8E"/>
    <w:rsid w:val="00324724"/>
    <w:rsid w:val="00324916"/>
    <w:rsid w:val="00324FFD"/>
    <w:rsid w:val="003254EF"/>
    <w:rsid w:val="0033107A"/>
    <w:rsid w:val="00331119"/>
    <w:rsid w:val="00333ACA"/>
    <w:rsid w:val="00334996"/>
    <w:rsid w:val="00336969"/>
    <w:rsid w:val="00336C52"/>
    <w:rsid w:val="00341B3E"/>
    <w:rsid w:val="00341B42"/>
    <w:rsid w:val="00341C4E"/>
    <w:rsid w:val="00341E13"/>
    <w:rsid w:val="00341F30"/>
    <w:rsid w:val="003420C1"/>
    <w:rsid w:val="00342E2E"/>
    <w:rsid w:val="00343211"/>
    <w:rsid w:val="00344DE4"/>
    <w:rsid w:val="00345154"/>
    <w:rsid w:val="0034560E"/>
    <w:rsid w:val="0034658A"/>
    <w:rsid w:val="00346A4B"/>
    <w:rsid w:val="003500E0"/>
    <w:rsid w:val="00350523"/>
    <w:rsid w:val="0035167B"/>
    <w:rsid w:val="003520D0"/>
    <w:rsid w:val="003525F9"/>
    <w:rsid w:val="00352975"/>
    <w:rsid w:val="00353FDB"/>
    <w:rsid w:val="00353FF3"/>
    <w:rsid w:val="00356868"/>
    <w:rsid w:val="00357E01"/>
    <w:rsid w:val="003625D4"/>
    <w:rsid w:val="00362C76"/>
    <w:rsid w:val="0036359F"/>
    <w:rsid w:val="003639C6"/>
    <w:rsid w:val="0036485B"/>
    <w:rsid w:val="00372668"/>
    <w:rsid w:val="00372942"/>
    <w:rsid w:val="00373B0D"/>
    <w:rsid w:val="00373C97"/>
    <w:rsid w:val="003744DE"/>
    <w:rsid w:val="00374708"/>
    <w:rsid w:val="003748E9"/>
    <w:rsid w:val="00374FB4"/>
    <w:rsid w:val="00375D25"/>
    <w:rsid w:val="00376988"/>
    <w:rsid w:val="00376F56"/>
    <w:rsid w:val="00381A72"/>
    <w:rsid w:val="00384677"/>
    <w:rsid w:val="0038478B"/>
    <w:rsid w:val="0038657B"/>
    <w:rsid w:val="00386DDC"/>
    <w:rsid w:val="0038774A"/>
    <w:rsid w:val="00387A9D"/>
    <w:rsid w:val="003952DA"/>
    <w:rsid w:val="00395333"/>
    <w:rsid w:val="00396F7E"/>
    <w:rsid w:val="003A05B2"/>
    <w:rsid w:val="003A1948"/>
    <w:rsid w:val="003A2BB6"/>
    <w:rsid w:val="003A5831"/>
    <w:rsid w:val="003A5F5B"/>
    <w:rsid w:val="003A635C"/>
    <w:rsid w:val="003A63C8"/>
    <w:rsid w:val="003B152A"/>
    <w:rsid w:val="003B380D"/>
    <w:rsid w:val="003B4F40"/>
    <w:rsid w:val="003B545B"/>
    <w:rsid w:val="003B7006"/>
    <w:rsid w:val="003C1BB5"/>
    <w:rsid w:val="003C2C5A"/>
    <w:rsid w:val="003C4C80"/>
    <w:rsid w:val="003C550B"/>
    <w:rsid w:val="003C7754"/>
    <w:rsid w:val="003C77BB"/>
    <w:rsid w:val="003C7F28"/>
    <w:rsid w:val="003D0B73"/>
    <w:rsid w:val="003D1AF7"/>
    <w:rsid w:val="003D2276"/>
    <w:rsid w:val="003D3030"/>
    <w:rsid w:val="003D3EE9"/>
    <w:rsid w:val="003D3F19"/>
    <w:rsid w:val="003D60C3"/>
    <w:rsid w:val="003E08F7"/>
    <w:rsid w:val="003E1F28"/>
    <w:rsid w:val="003E367B"/>
    <w:rsid w:val="003E4C04"/>
    <w:rsid w:val="003E5EDB"/>
    <w:rsid w:val="003E614D"/>
    <w:rsid w:val="003E6840"/>
    <w:rsid w:val="003E6B2F"/>
    <w:rsid w:val="003E7681"/>
    <w:rsid w:val="003F0809"/>
    <w:rsid w:val="003F1101"/>
    <w:rsid w:val="003F1326"/>
    <w:rsid w:val="003F23CE"/>
    <w:rsid w:val="003F45F2"/>
    <w:rsid w:val="003F611C"/>
    <w:rsid w:val="003F6531"/>
    <w:rsid w:val="003F6CDE"/>
    <w:rsid w:val="003F70CB"/>
    <w:rsid w:val="003F755C"/>
    <w:rsid w:val="003F78C9"/>
    <w:rsid w:val="0040205D"/>
    <w:rsid w:val="004027F3"/>
    <w:rsid w:val="00402D26"/>
    <w:rsid w:val="00406C30"/>
    <w:rsid w:val="00406DEC"/>
    <w:rsid w:val="00406F01"/>
    <w:rsid w:val="004074E1"/>
    <w:rsid w:val="00407669"/>
    <w:rsid w:val="00407DE2"/>
    <w:rsid w:val="004111C1"/>
    <w:rsid w:val="00411986"/>
    <w:rsid w:val="00411B36"/>
    <w:rsid w:val="004121AD"/>
    <w:rsid w:val="004121D7"/>
    <w:rsid w:val="00412209"/>
    <w:rsid w:val="00413564"/>
    <w:rsid w:val="0041537B"/>
    <w:rsid w:val="0041605D"/>
    <w:rsid w:val="00416D50"/>
    <w:rsid w:val="0041775B"/>
    <w:rsid w:val="00417772"/>
    <w:rsid w:val="00420E6A"/>
    <w:rsid w:val="00420FFE"/>
    <w:rsid w:val="00421B9E"/>
    <w:rsid w:val="0042280F"/>
    <w:rsid w:val="004236C5"/>
    <w:rsid w:val="0042504A"/>
    <w:rsid w:val="0042506C"/>
    <w:rsid w:val="004255F9"/>
    <w:rsid w:val="004256D1"/>
    <w:rsid w:val="00425DA4"/>
    <w:rsid w:val="00430151"/>
    <w:rsid w:val="00431785"/>
    <w:rsid w:val="00433CA9"/>
    <w:rsid w:val="004350C0"/>
    <w:rsid w:val="0043521D"/>
    <w:rsid w:val="0043577A"/>
    <w:rsid w:val="00437522"/>
    <w:rsid w:val="00437D46"/>
    <w:rsid w:val="004400CD"/>
    <w:rsid w:val="0044060B"/>
    <w:rsid w:val="00442024"/>
    <w:rsid w:val="0044254C"/>
    <w:rsid w:val="0044299E"/>
    <w:rsid w:val="00443F6A"/>
    <w:rsid w:val="0044597F"/>
    <w:rsid w:val="00450A17"/>
    <w:rsid w:val="00450A23"/>
    <w:rsid w:val="004536F0"/>
    <w:rsid w:val="0045388A"/>
    <w:rsid w:val="00454BA3"/>
    <w:rsid w:val="00454DD1"/>
    <w:rsid w:val="00456262"/>
    <w:rsid w:val="00460D1D"/>
    <w:rsid w:val="00461ADD"/>
    <w:rsid w:val="004628D5"/>
    <w:rsid w:val="00464153"/>
    <w:rsid w:val="00465185"/>
    <w:rsid w:val="00466120"/>
    <w:rsid w:val="00466321"/>
    <w:rsid w:val="004672AF"/>
    <w:rsid w:val="00467C2D"/>
    <w:rsid w:val="00467D72"/>
    <w:rsid w:val="004727B0"/>
    <w:rsid w:val="004736B8"/>
    <w:rsid w:val="00473759"/>
    <w:rsid w:val="004737E1"/>
    <w:rsid w:val="0047542A"/>
    <w:rsid w:val="0047667B"/>
    <w:rsid w:val="0047711D"/>
    <w:rsid w:val="00480247"/>
    <w:rsid w:val="0048081D"/>
    <w:rsid w:val="0048117E"/>
    <w:rsid w:val="00482184"/>
    <w:rsid w:val="004822C8"/>
    <w:rsid w:val="004822E3"/>
    <w:rsid w:val="00482BB0"/>
    <w:rsid w:val="0048530A"/>
    <w:rsid w:val="004855F6"/>
    <w:rsid w:val="00485709"/>
    <w:rsid w:val="004862EF"/>
    <w:rsid w:val="00486834"/>
    <w:rsid w:val="00486F0C"/>
    <w:rsid w:val="00490835"/>
    <w:rsid w:val="00490AC2"/>
    <w:rsid w:val="00491B3A"/>
    <w:rsid w:val="00491BED"/>
    <w:rsid w:val="004920D1"/>
    <w:rsid w:val="004920DA"/>
    <w:rsid w:val="00494670"/>
    <w:rsid w:val="004974A6"/>
    <w:rsid w:val="004A0EB4"/>
    <w:rsid w:val="004A1D30"/>
    <w:rsid w:val="004A3114"/>
    <w:rsid w:val="004A35DA"/>
    <w:rsid w:val="004A3823"/>
    <w:rsid w:val="004A59BB"/>
    <w:rsid w:val="004B154F"/>
    <w:rsid w:val="004B43A3"/>
    <w:rsid w:val="004B4C49"/>
    <w:rsid w:val="004B4E60"/>
    <w:rsid w:val="004B4F1A"/>
    <w:rsid w:val="004B537F"/>
    <w:rsid w:val="004B577F"/>
    <w:rsid w:val="004B58A5"/>
    <w:rsid w:val="004B63D9"/>
    <w:rsid w:val="004B719C"/>
    <w:rsid w:val="004B7968"/>
    <w:rsid w:val="004C0882"/>
    <w:rsid w:val="004C15E0"/>
    <w:rsid w:val="004C1A62"/>
    <w:rsid w:val="004C239B"/>
    <w:rsid w:val="004C300B"/>
    <w:rsid w:val="004C3C5D"/>
    <w:rsid w:val="004C3E65"/>
    <w:rsid w:val="004C4A61"/>
    <w:rsid w:val="004C507D"/>
    <w:rsid w:val="004C55BE"/>
    <w:rsid w:val="004C6249"/>
    <w:rsid w:val="004C676F"/>
    <w:rsid w:val="004D362A"/>
    <w:rsid w:val="004D397E"/>
    <w:rsid w:val="004D6CF1"/>
    <w:rsid w:val="004D6E25"/>
    <w:rsid w:val="004E0B19"/>
    <w:rsid w:val="004E0C3D"/>
    <w:rsid w:val="004E1DFC"/>
    <w:rsid w:val="004E5B30"/>
    <w:rsid w:val="004E721E"/>
    <w:rsid w:val="004F0779"/>
    <w:rsid w:val="004F1230"/>
    <w:rsid w:val="004F173F"/>
    <w:rsid w:val="004F177C"/>
    <w:rsid w:val="004F2097"/>
    <w:rsid w:val="004F2DCE"/>
    <w:rsid w:val="004F3458"/>
    <w:rsid w:val="004F3BAF"/>
    <w:rsid w:val="004F69DE"/>
    <w:rsid w:val="004F719C"/>
    <w:rsid w:val="004F761C"/>
    <w:rsid w:val="00501335"/>
    <w:rsid w:val="005017EA"/>
    <w:rsid w:val="0050230E"/>
    <w:rsid w:val="005039CB"/>
    <w:rsid w:val="005052E3"/>
    <w:rsid w:val="0050558F"/>
    <w:rsid w:val="005057E0"/>
    <w:rsid w:val="00506286"/>
    <w:rsid w:val="00510021"/>
    <w:rsid w:val="00510239"/>
    <w:rsid w:val="00510813"/>
    <w:rsid w:val="005118C5"/>
    <w:rsid w:val="00511DE0"/>
    <w:rsid w:val="00512E52"/>
    <w:rsid w:val="00512EA0"/>
    <w:rsid w:val="0051457D"/>
    <w:rsid w:val="00514791"/>
    <w:rsid w:val="0051654A"/>
    <w:rsid w:val="00517F02"/>
    <w:rsid w:val="00521E1F"/>
    <w:rsid w:val="0052216B"/>
    <w:rsid w:val="005224AE"/>
    <w:rsid w:val="00522BE7"/>
    <w:rsid w:val="00524547"/>
    <w:rsid w:val="005258A2"/>
    <w:rsid w:val="0052613A"/>
    <w:rsid w:val="00526CC5"/>
    <w:rsid w:val="00526D58"/>
    <w:rsid w:val="005303D3"/>
    <w:rsid w:val="00530F7C"/>
    <w:rsid w:val="005315A0"/>
    <w:rsid w:val="00533A0B"/>
    <w:rsid w:val="00534567"/>
    <w:rsid w:val="00534F43"/>
    <w:rsid w:val="005357C5"/>
    <w:rsid w:val="00535A84"/>
    <w:rsid w:val="00536426"/>
    <w:rsid w:val="00536889"/>
    <w:rsid w:val="005376C0"/>
    <w:rsid w:val="00537816"/>
    <w:rsid w:val="00537C28"/>
    <w:rsid w:val="00537C55"/>
    <w:rsid w:val="00540171"/>
    <w:rsid w:val="00540F03"/>
    <w:rsid w:val="00542122"/>
    <w:rsid w:val="00542E07"/>
    <w:rsid w:val="00543A6B"/>
    <w:rsid w:val="00543DB1"/>
    <w:rsid w:val="005444AE"/>
    <w:rsid w:val="00545F44"/>
    <w:rsid w:val="00550076"/>
    <w:rsid w:val="005502E8"/>
    <w:rsid w:val="00551526"/>
    <w:rsid w:val="00554A7B"/>
    <w:rsid w:val="00554B0B"/>
    <w:rsid w:val="00554E76"/>
    <w:rsid w:val="0055572C"/>
    <w:rsid w:val="0056064F"/>
    <w:rsid w:val="0056191C"/>
    <w:rsid w:val="00561B84"/>
    <w:rsid w:val="0056212F"/>
    <w:rsid w:val="00563274"/>
    <w:rsid w:val="00563A77"/>
    <w:rsid w:val="00564299"/>
    <w:rsid w:val="00565B40"/>
    <w:rsid w:val="00565F1E"/>
    <w:rsid w:val="005663A9"/>
    <w:rsid w:val="005678E2"/>
    <w:rsid w:val="00567B54"/>
    <w:rsid w:val="00570107"/>
    <w:rsid w:val="005712A9"/>
    <w:rsid w:val="00571D98"/>
    <w:rsid w:val="005720AE"/>
    <w:rsid w:val="005731E3"/>
    <w:rsid w:val="0057457C"/>
    <w:rsid w:val="0057612A"/>
    <w:rsid w:val="00577DC8"/>
    <w:rsid w:val="0058030D"/>
    <w:rsid w:val="00582045"/>
    <w:rsid w:val="00590AE3"/>
    <w:rsid w:val="005918F1"/>
    <w:rsid w:val="005944D2"/>
    <w:rsid w:val="005954F3"/>
    <w:rsid w:val="00595BEE"/>
    <w:rsid w:val="00596862"/>
    <w:rsid w:val="005A06B7"/>
    <w:rsid w:val="005A163A"/>
    <w:rsid w:val="005A1759"/>
    <w:rsid w:val="005A3CDF"/>
    <w:rsid w:val="005A4446"/>
    <w:rsid w:val="005A50ED"/>
    <w:rsid w:val="005A60A7"/>
    <w:rsid w:val="005A7C08"/>
    <w:rsid w:val="005A7C59"/>
    <w:rsid w:val="005B1404"/>
    <w:rsid w:val="005B5E76"/>
    <w:rsid w:val="005B6B4C"/>
    <w:rsid w:val="005B7CE8"/>
    <w:rsid w:val="005B7DFC"/>
    <w:rsid w:val="005C0863"/>
    <w:rsid w:val="005C0C47"/>
    <w:rsid w:val="005C2F4F"/>
    <w:rsid w:val="005C2FF1"/>
    <w:rsid w:val="005C36A0"/>
    <w:rsid w:val="005C39DE"/>
    <w:rsid w:val="005C3B65"/>
    <w:rsid w:val="005C3DCB"/>
    <w:rsid w:val="005C4CAF"/>
    <w:rsid w:val="005C5BF2"/>
    <w:rsid w:val="005D012B"/>
    <w:rsid w:val="005D0369"/>
    <w:rsid w:val="005D1EAB"/>
    <w:rsid w:val="005D3A51"/>
    <w:rsid w:val="005D4DD7"/>
    <w:rsid w:val="005D53FE"/>
    <w:rsid w:val="005D73C0"/>
    <w:rsid w:val="005D7625"/>
    <w:rsid w:val="005D7A0F"/>
    <w:rsid w:val="005E0438"/>
    <w:rsid w:val="005E0D29"/>
    <w:rsid w:val="005E1791"/>
    <w:rsid w:val="005E2CE6"/>
    <w:rsid w:val="005E2EFA"/>
    <w:rsid w:val="005E30B5"/>
    <w:rsid w:val="005E3F9F"/>
    <w:rsid w:val="005E58D6"/>
    <w:rsid w:val="005E5B46"/>
    <w:rsid w:val="005E5DB6"/>
    <w:rsid w:val="005E6324"/>
    <w:rsid w:val="005E6BEF"/>
    <w:rsid w:val="005E79F7"/>
    <w:rsid w:val="005F073E"/>
    <w:rsid w:val="005F228B"/>
    <w:rsid w:val="005F29CD"/>
    <w:rsid w:val="005F34D6"/>
    <w:rsid w:val="005F377E"/>
    <w:rsid w:val="005F3E28"/>
    <w:rsid w:val="005F4BA9"/>
    <w:rsid w:val="005F4DFB"/>
    <w:rsid w:val="005F52CA"/>
    <w:rsid w:val="005F6CC0"/>
    <w:rsid w:val="00600E3E"/>
    <w:rsid w:val="00601D00"/>
    <w:rsid w:val="0060212A"/>
    <w:rsid w:val="00602F20"/>
    <w:rsid w:val="00603E5B"/>
    <w:rsid w:val="00604BC8"/>
    <w:rsid w:val="00605CAE"/>
    <w:rsid w:val="00606FAC"/>
    <w:rsid w:val="00612017"/>
    <w:rsid w:val="006125B5"/>
    <w:rsid w:val="006131AC"/>
    <w:rsid w:val="006132D9"/>
    <w:rsid w:val="00615010"/>
    <w:rsid w:val="0061508C"/>
    <w:rsid w:val="00615678"/>
    <w:rsid w:val="00615B4C"/>
    <w:rsid w:val="00615B5D"/>
    <w:rsid w:val="00617919"/>
    <w:rsid w:val="00620A1A"/>
    <w:rsid w:val="0062146F"/>
    <w:rsid w:val="006216A0"/>
    <w:rsid w:val="006223A9"/>
    <w:rsid w:val="00622C0E"/>
    <w:rsid w:val="00624CE2"/>
    <w:rsid w:val="00630340"/>
    <w:rsid w:val="00630B22"/>
    <w:rsid w:val="00630D87"/>
    <w:rsid w:val="00632E39"/>
    <w:rsid w:val="006330B2"/>
    <w:rsid w:val="006334B3"/>
    <w:rsid w:val="0063397C"/>
    <w:rsid w:val="006343AF"/>
    <w:rsid w:val="00635D82"/>
    <w:rsid w:val="0063634A"/>
    <w:rsid w:val="00637ED9"/>
    <w:rsid w:val="006405D4"/>
    <w:rsid w:val="00641784"/>
    <w:rsid w:val="00641AAA"/>
    <w:rsid w:val="00641DBB"/>
    <w:rsid w:val="00641DFF"/>
    <w:rsid w:val="00641FBC"/>
    <w:rsid w:val="0064250D"/>
    <w:rsid w:val="006430FA"/>
    <w:rsid w:val="006439CF"/>
    <w:rsid w:val="00643ECB"/>
    <w:rsid w:val="00644370"/>
    <w:rsid w:val="00644EC5"/>
    <w:rsid w:val="00645D22"/>
    <w:rsid w:val="0065053D"/>
    <w:rsid w:val="00650CE4"/>
    <w:rsid w:val="006529B4"/>
    <w:rsid w:val="006535EB"/>
    <w:rsid w:val="006550CE"/>
    <w:rsid w:val="006623AA"/>
    <w:rsid w:val="00663016"/>
    <w:rsid w:val="0066372C"/>
    <w:rsid w:val="00665A5F"/>
    <w:rsid w:val="00667D76"/>
    <w:rsid w:val="0067057B"/>
    <w:rsid w:val="006713C5"/>
    <w:rsid w:val="006725B5"/>
    <w:rsid w:val="00673393"/>
    <w:rsid w:val="00673928"/>
    <w:rsid w:val="00673FD0"/>
    <w:rsid w:val="00674605"/>
    <w:rsid w:val="006748B8"/>
    <w:rsid w:val="00677C52"/>
    <w:rsid w:val="00682FDB"/>
    <w:rsid w:val="0068535B"/>
    <w:rsid w:val="006853FA"/>
    <w:rsid w:val="006859EB"/>
    <w:rsid w:val="0068736E"/>
    <w:rsid w:val="00692119"/>
    <w:rsid w:val="0069290A"/>
    <w:rsid w:val="00693836"/>
    <w:rsid w:val="006942C4"/>
    <w:rsid w:val="006944E7"/>
    <w:rsid w:val="0069504B"/>
    <w:rsid w:val="00695DFC"/>
    <w:rsid w:val="006965F5"/>
    <w:rsid w:val="00697032"/>
    <w:rsid w:val="006975AC"/>
    <w:rsid w:val="006A0776"/>
    <w:rsid w:val="006A15BA"/>
    <w:rsid w:val="006A15FB"/>
    <w:rsid w:val="006A3990"/>
    <w:rsid w:val="006A4032"/>
    <w:rsid w:val="006A5547"/>
    <w:rsid w:val="006A66E1"/>
    <w:rsid w:val="006A72BF"/>
    <w:rsid w:val="006A765C"/>
    <w:rsid w:val="006A796E"/>
    <w:rsid w:val="006B072B"/>
    <w:rsid w:val="006B332A"/>
    <w:rsid w:val="006B33BD"/>
    <w:rsid w:val="006B3C43"/>
    <w:rsid w:val="006B4566"/>
    <w:rsid w:val="006B520B"/>
    <w:rsid w:val="006B6CBC"/>
    <w:rsid w:val="006B6FE0"/>
    <w:rsid w:val="006B7634"/>
    <w:rsid w:val="006B7FC4"/>
    <w:rsid w:val="006C1953"/>
    <w:rsid w:val="006C20DD"/>
    <w:rsid w:val="006C26E1"/>
    <w:rsid w:val="006C3F75"/>
    <w:rsid w:val="006C43EC"/>
    <w:rsid w:val="006C48E4"/>
    <w:rsid w:val="006C5569"/>
    <w:rsid w:val="006C5A48"/>
    <w:rsid w:val="006C6A48"/>
    <w:rsid w:val="006C707D"/>
    <w:rsid w:val="006D170E"/>
    <w:rsid w:val="006D1C02"/>
    <w:rsid w:val="006D3EE9"/>
    <w:rsid w:val="006D3FC6"/>
    <w:rsid w:val="006D4A0A"/>
    <w:rsid w:val="006D4A1A"/>
    <w:rsid w:val="006D4ECE"/>
    <w:rsid w:val="006D6386"/>
    <w:rsid w:val="006E06AF"/>
    <w:rsid w:val="006E18EF"/>
    <w:rsid w:val="006E363E"/>
    <w:rsid w:val="006E61AF"/>
    <w:rsid w:val="006F0644"/>
    <w:rsid w:val="006F1789"/>
    <w:rsid w:val="006F369A"/>
    <w:rsid w:val="006F478F"/>
    <w:rsid w:val="006F548E"/>
    <w:rsid w:val="006F5DEF"/>
    <w:rsid w:val="006F7D6D"/>
    <w:rsid w:val="00700321"/>
    <w:rsid w:val="00700726"/>
    <w:rsid w:val="00700E54"/>
    <w:rsid w:val="00701397"/>
    <w:rsid w:val="00701712"/>
    <w:rsid w:val="00705BE3"/>
    <w:rsid w:val="00706C5D"/>
    <w:rsid w:val="0071146C"/>
    <w:rsid w:val="007118E6"/>
    <w:rsid w:val="00713AC9"/>
    <w:rsid w:val="00713E4D"/>
    <w:rsid w:val="00717E77"/>
    <w:rsid w:val="00720A2E"/>
    <w:rsid w:val="00720AE8"/>
    <w:rsid w:val="007214F7"/>
    <w:rsid w:val="007223AD"/>
    <w:rsid w:val="007225C9"/>
    <w:rsid w:val="00723A55"/>
    <w:rsid w:val="007243FA"/>
    <w:rsid w:val="007270B6"/>
    <w:rsid w:val="007301A9"/>
    <w:rsid w:val="00730B51"/>
    <w:rsid w:val="00731EB4"/>
    <w:rsid w:val="00732CA4"/>
    <w:rsid w:val="00733941"/>
    <w:rsid w:val="007348FA"/>
    <w:rsid w:val="00734CA2"/>
    <w:rsid w:val="00735CD7"/>
    <w:rsid w:val="00736BB2"/>
    <w:rsid w:val="00740035"/>
    <w:rsid w:val="007404FD"/>
    <w:rsid w:val="00740D5C"/>
    <w:rsid w:val="0074268C"/>
    <w:rsid w:val="00743B79"/>
    <w:rsid w:val="007456C5"/>
    <w:rsid w:val="007460B0"/>
    <w:rsid w:val="00746284"/>
    <w:rsid w:val="007478C2"/>
    <w:rsid w:val="00750FC4"/>
    <w:rsid w:val="0075145B"/>
    <w:rsid w:val="00752EEC"/>
    <w:rsid w:val="007537CE"/>
    <w:rsid w:val="00754034"/>
    <w:rsid w:val="0075451F"/>
    <w:rsid w:val="00754BF1"/>
    <w:rsid w:val="00755A30"/>
    <w:rsid w:val="00755E1C"/>
    <w:rsid w:val="00755E2F"/>
    <w:rsid w:val="00756556"/>
    <w:rsid w:val="00757D8E"/>
    <w:rsid w:val="0076132B"/>
    <w:rsid w:val="00762101"/>
    <w:rsid w:val="007623AE"/>
    <w:rsid w:val="00762CF3"/>
    <w:rsid w:val="00766DF6"/>
    <w:rsid w:val="007678E5"/>
    <w:rsid w:val="00767BA1"/>
    <w:rsid w:val="007706CA"/>
    <w:rsid w:val="00770B19"/>
    <w:rsid w:val="00774FA0"/>
    <w:rsid w:val="00776620"/>
    <w:rsid w:val="007771CB"/>
    <w:rsid w:val="00777B6D"/>
    <w:rsid w:val="00780376"/>
    <w:rsid w:val="007805AC"/>
    <w:rsid w:val="0078356D"/>
    <w:rsid w:val="007835EB"/>
    <w:rsid w:val="00784457"/>
    <w:rsid w:val="00784855"/>
    <w:rsid w:val="00784F39"/>
    <w:rsid w:val="0078504D"/>
    <w:rsid w:val="0078545C"/>
    <w:rsid w:val="00787BCC"/>
    <w:rsid w:val="007906C4"/>
    <w:rsid w:val="007940EA"/>
    <w:rsid w:val="00794540"/>
    <w:rsid w:val="007946F8"/>
    <w:rsid w:val="00794C6F"/>
    <w:rsid w:val="00794E00"/>
    <w:rsid w:val="00795F2C"/>
    <w:rsid w:val="007961C3"/>
    <w:rsid w:val="0079659E"/>
    <w:rsid w:val="007967E8"/>
    <w:rsid w:val="00796AFC"/>
    <w:rsid w:val="007A0240"/>
    <w:rsid w:val="007A127F"/>
    <w:rsid w:val="007A1C7B"/>
    <w:rsid w:val="007A29D1"/>
    <w:rsid w:val="007A53DB"/>
    <w:rsid w:val="007A63F2"/>
    <w:rsid w:val="007A64DB"/>
    <w:rsid w:val="007A70C7"/>
    <w:rsid w:val="007A7773"/>
    <w:rsid w:val="007B13E4"/>
    <w:rsid w:val="007B2B6E"/>
    <w:rsid w:val="007B47DA"/>
    <w:rsid w:val="007B5CE0"/>
    <w:rsid w:val="007B65D0"/>
    <w:rsid w:val="007B68DE"/>
    <w:rsid w:val="007C10F3"/>
    <w:rsid w:val="007C1593"/>
    <w:rsid w:val="007C1857"/>
    <w:rsid w:val="007C3062"/>
    <w:rsid w:val="007C514F"/>
    <w:rsid w:val="007D0124"/>
    <w:rsid w:val="007D072F"/>
    <w:rsid w:val="007D0F95"/>
    <w:rsid w:val="007D18D8"/>
    <w:rsid w:val="007D3A65"/>
    <w:rsid w:val="007D54B8"/>
    <w:rsid w:val="007D5B4D"/>
    <w:rsid w:val="007D783D"/>
    <w:rsid w:val="007D7ECB"/>
    <w:rsid w:val="007E25A1"/>
    <w:rsid w:val="007E2E38"/>
    <w:rsid w:val="007E4137"/>
    <w:rsid w:val="007E45C3"/>
    <w:rsid w:val="007E4BD2"/>
    <w:rsid w:val="007E4E4A"/>
    <w:rsid w:val="007E510D"/>
    <w:rsid w:val="007E7145"/>
    <w:rsid w:val="007E78FD"/>
    <w:rsid w:val="007E79DC"/>
    <w:rsid w:val="007F1CE4"/>
    <w:rsid w:val="007F3086"/>
    <w:rsid w:val="007F340B"/>
    <w:rsid w:val="007F3916"/>
    <w:rsid w:val="007F5068"/>
    <w:rsid w:val="007F5BA5"/>
    <w:rsid w:val="007F6DD1"/>
    <w:rsid w:val="007F76BF"/>
    <w:rsid w:val="007F79A7"/>
    <w:rsid w:val="00800DBF"/>
    <w:rsid w:val="00801179"/>
    <w:rsid w:val="0080135D"/>
    <w:rsid w:val="00801833"/>
    <w:rsid w:val="00802479"/>
    <w:rsid w:val="008041C3"/>
    <w:rsid w:val="00805372"/>
    <w:rsid w:val="0080571A"/>
    <w:rsid w:val="00805B7B"/>
    <w:rsid w:val="00806923"/>
    <w:rsid w:val="00806BC5"/>
    <w:rsid w:val="00806D73"/>
    <w:rsid w:val="00810664"/>
    <w:rsid w:val="0081293E"/>
    <w:rsid w:val="00814FFB"/>
    <w:rsid w:val="00820568"/>
    <w:rsid w:val="008206B0"/>
    <w:rsid w:val="00822CA6"/>
    <w:rsid w:val="0082524F"/>
    <w:rsid w:val="00825EEF"/>
    <w:rsid w:val="00830C95"/>
    <w:rsid w:val="00831A80"/>
    <w:rsid w:val="008321DA"/>
    <w:rsid w:val="00832657"/>
    <w:rsid w:val="008332C8"/>
    <w:rsid w:val="00833743"/>
    <w:rsid w:val="0083401A"/>
    <w:rsid w:val="008340A4"/>
    <w:rsid w:val="00836799"/>
    <w:rsid w:val="00837028"/>
    <w:rsid w:val="00837131"/>
    <w:rsid w:val="008414BA"/>
    <w:rsid w:val="00843575"/>
    <w:rsid w:val="00843DD6"/>
    <w:rsid w:val="0084536B"/>
    <w:rsid w:val="00845F57"/>
    <w:rsid w:val="00846060"/>
    <w:rsid w:val="00846252"/>
    <w:rsid w:val="0084649E"/>
    <w:rsid w:val="00847816"/>
    <w:rsid w:val="0085032C"/>
    <w:rsid w:val="00850B63"/>
    <w:rsid w:val="008521E0"/>
    <w:rsid w:val="008525B0"/>
    <w:rsid w:val="008543E9"/>
    <w:rsid w:val="008572C1"/>
    <w:rsid w:val="00857C88"/>
    <w:rsid w:val="008624A4"/>
    <w:rsid w:val="008624E9"/>
    <w:rsid w:val="00864B07"/>
    <w:rsid w:val="00865584"/>
    <w:rsid w:val="0086702C"/>
    <w:rsid w:val="0086763C"/>
    <w:rsid w:val="00867CBC"/>
    <w:rsid w:val="00872A4E"/>
    <w:rsid w:val="008767DE"/>
    <w:rsid w:val="00876C30"/>
    <w:rsid w:val="00877017"/>
    <w:rsid w:val="008773C0"/>
    <w:rsid w:val="00880364"/>
    <w:rsid w:val="008808CF"/>
    <w:rsid w:val="00882A2A"/>
    <w:rsid w:val="00882A83"/>
    <w:rsid w:val="00883890"/>
    <w:rsid w:val="00883BF0"/>
    <w:rsid w:val="00884C4B"/>
    <w:rsid w:val="00884E1C"/>
    <w:rsid w:val="00884E3E"/>
    <w:rsid w:val="00885103"/>
    <w:rsid w:val="0088516B"/>
    <w:rsid w:val="00886C4C"/>
    <w:rsid w:val="0088711C"/>
    <w:rsid w:val="008902DE"/>
    <w:rsid w:val="00890945"/>
    <w:rsid w:val="00890E50"/>
    <w:rsid w:val="00891127"/>
    <w:rsid w:val="00891DBA"/>
    <w:rsid w:val="00892282"/>
    <w:rsid w:val="00892698"/>
    <w:rsid w:val="00892CCB"/>
    <w:rsid w:val="00892ECF"/>
    <w:rsid w:val="00892F06"/>
    <w:rsid w:val="00892FA1"/>
    <w:rsid w:val="0089398B"/>
    <w:rsid w:val="00893FC8"/>
    <w:rsid w:val="00894285"/>
    <w:rsid w:val="0089539C"/>
    <w:rsid w:val="008976BC"/>
    <w:rsid w:val="008A2460"/>
    <w:rsid w:val="008A3376"/>
    <w:rsid w:val="008A40AE"/>
    <w:rsid w:val="008A4E19"/>
    <w:rsid w:val="008A57A0"/>
    <w:rsid w:val="008A5960"/>
    <w:rsid w:val="008A5EEA"/>
    <w:rsid w:val="008A67C5"/>
    <w:rsid w:val="008A6857"/>
    <w:rsid w:val="008A7538"/>
    <w:rsid w:val="008A7A61"/>
    <w:rsid w:val="008A7AC4"/>
    <w:rsid w:val="008B00E8"/>
    <w:rsid w:val="008B1242"/>
    <w:rsid w:val="008B22E1"/>
    <w:rsid w:val="008B3C78"/>
    <w:rsid w:val="008B4AE9"/>
    <w:rsid w:val="008C07D8"/>
    <w:rsid w:val="008C30AD"/>
    <w:rsid w:val="008C31EE"/>
    <w:rsid w:val="008C3CEB"/>
    <w:rsid w:val="008C530A"/>
    <w:rsid w:val="008C703F"/>
    <w:rsid w:val="008C774F"/>
    <w:rsid w:val="008C796E"/>
    <w:rsid w:val="008C7ED5"/>
    <w:rsid w:val="008D068E"/>
    <w:rsid w:val="008D0F7A"/>
    <w:rsid w:val="008D1F96"/>
    <w:rsid w:val="008D2102"/>
    <w:rsid w:val="008D4C48"/>
    <w:rsid w:val="008D50C3"/>
    <w:rsid w:val="008D5AE0"/>
    <w:rsid w:val="008D63BE"/>
    <w:rsid w:val="008D778F"/>
    <w:rsid w:val="008E0CFF"/>
    <w:rsid w:val="008E13D3"/>
    <w:rsid w:val="008E22E9"/>
    <w:rsid w:val="008E24FA"/>
    <w:rsid w:val="008E3949"/>
    <w:rsid w:val="008E5D6B"/>
    <w:rsid w:val="008E689B"/>
    <w:rsid w:val="008E76F0"/>
    <w:rsid w:val="008F15FE"/>
    <w:rsid w:val="008F1AD6"/>
    <w:rsid w:val="008F2A94"/>
    <w:rsid w:val="008F5187"/>
    <w:rsid w:val="008F5261"/>
    <w:rsid w:val="008F709C"/>
    <w:rsid w:val="008F70C9"/>
    <w:rsid w:val="008F75ED"/>
    <w:rsid w:val="00901D88"/>
    <w:rsid w:val="00902E3F"/>
    <w:rsid w:val="00902FE1"/>
    <w:rsid w:val="0090312B"/>
    <w:rsid w:val="00903B90"/>
    <w:rsid w:val="00903FD6"/>
    <w:rsid w:val="00904961"/>
    <w:rsid w:val="009052BB"/>
    <w:rsid w:val="009061C5"/>
    <w:rsid w:val="009078C3"/>
    <w:rsid w:val="009106E5"/>
    <w:rsid w:val="00910DAC"/>
    <w:rsid w:val="00912DE4"/>
    <w:rsid w:val="0091695B"/>
    <w:rsid w:val="0091736D"/>
    <w:rsid w:val="00917D32"/>
    <w:rsid w:val="00921085"/>
    <w:rsid w:val="0092206D"/>
    <w:rsid w:val="009224F1"/>
    <w:rsid w:val="009225A8"/>
    <w:rsid w:val="0092320E"/>
    <w:rsid w:val="009274FF"/>
    <w:rsid w:val="00931001"/>
    <w:rsid w:val="009311B8"/>
    <w:rsid w:val="009317F0"/>
    <w:rsid w:val="00931863"/>
    <w:rsid w:val="009322A0"/>
    <w:rsid w:val="009324E8"/>
    <w:rsid w:val="0093277D"/>
    <w:rsid w:val="00933524"/>
    <w:rsid w:val="00933667"/>
    <w:rsid w:val="009357D7"/>
    <w:rsid w:val="009359D3"/>
    <w:rsid w:val="00935D83"/>
    <w:rsid w:val="009368A5"/>
    <w:rsid w:val="009369C6"/>
    <w:rsid w:val="00937A07"/>
    <w:rsid w:val="00937BA5"/>
    <w:rsid w:val="00941058"/>
    <w:rsid w:val="0094183C"/>
    <w:rsid w:val="009419C0"/>
    <w:rsid w:val="0094278D"/>
    <w:rsid w:val="009431B1"/>
    <w:rsid w:val="00945FA5"/>
    <w:rsid w:val="0095308A"/>
    <w:rsid w:val="009536D9"/>
    <w:rsid w:val="00954369"/>
    <w:rsid w:val="00955AEE"/>
    <w:rsid w:val="00955EC0"/>
    <w:rsid w:val="00956F14"/>
    <w:rsid w:val="00960A3D"/>
    <w:rsid w:val="009620FD"/>
    <w:rsid w:val="0096247A"/>
    <w:rsid w:val="00962D58"/>
    <w:rsid w:val="00964DE7"/>
    <w:rsid w:val="00965F4B"/>
    <w:rsid w:val="009702DD"/>
    <w:rsid w:val="00970F8A"/>
    <w:rsid w:val="00971A2D"/>
    <w:rsid w:val="00971FB5"/>
    <w:rsid w:val="00972D2A"/>
    <w:rsid w:val="00975692"/>
    <w:rsid w:val="00975CC5"/>
    <w:rsid w:val="00976328"/>
    <w:rsid w:val="00976B4E"/>
    <w:rsid w:val="00976FC2"/>
    <w:rsid w:val="00977142"/>
    <w:rsid w:val="009779D1"/>
    <w:rsid w:val="0098123C"/>
    <w:rsid w:val="009817A7"/>
    <w:rsid w:val="0098236E"/>
    <w:rsid w:val="0098242B"/>
    <w:rsid w:val="00982BA8"/>
    <w:rsid w:val="00983399"/>
    <w:rsid w:val="00984458"/>
    <w:rsid w:val="00984ADF"/>
    <w:rsid w:val="00985283"/>
    <w:rsid w:val="00985B26"/>
    <w:rsid w:val="00987148"/>
    <w:rsid w:val="00987322"/>
    <w:rsid w:val="00992B33"/>
    <w:rsid w:val="00993A1E"/>
    <w:rsid w:val="00995234"/>
    <w:rsid w:val="009966FC"/>
    <w:rsid w:val="00996AC5"/>
    <w:rsid w:val="00996F46"/>
    <w:rsid w:val="00997B0F"/>
    <w:rsid w:val="009A0C62"/>
    <w:rsid w:val="009A0F3B"/>
    <w:rsid w:val="009A159F"/>
    <w:rsid w:val="009A41BC"/>
    <w:rsid w:val="009A4412"/>
    <w:rsid w:val="009A52BF"/>
    <w:rsid w:val="009A72C7"/>
    <w:rsid w:val="009A7A5F"/>
    <w:rsid w:val="009A7F3D"/>
    <w:rsid w:val="009B0897"/>
    <w:rsid w:val="009B5098"/>
    <w:rsid w:val="009B7C79"/>
    <w:rsid w:val="009C0815"/>
    <w:rsid w:val="009C4A53"/>
    <w:rsid w:val="009C5B51"/>
    <w:rsid w:val="009C6266"/>
    <w:rsid w:val="009D0852"/>
    <w:rsid w:val="009D1FBF"/>
    <w:rsid w:val="009D3BE0"/>
    <w:rsid w:val="009D3E49"/>
    <w:rsid w:val="009D60E4"/>
    <w:rsid w:val="009E25A2"/>
    <w:rsid w:val="009E321F"/>
    <w:rsid w:val="009E399C"/>
    <w:rsid w:val="009E3A63"/>
    <w:rsid w:val="009E3EC7"/>
    <w:rsid w:val="009E43A6"/>
    <w:rsid w:val="009E43C1"/>
    <w:rsid w:val="009E6928"/>
    <w:rsid w:val="009E7BD3"/>
    <w:rsid w:val="009E7E95"/>
    <w:rsid w:val="009F0E3E"/>
    <w:rsid w:val="009F116F"/>
    <w:rsid w:val="009F28ED"/>
    <w:rsid w:val="009F329E"/>
    <w:rsid w:val="009F7ED3"/>
    <w:rsid w:val="00A01705"/>
    <w:rsid w:val="00A01718"/>
    <w:rsid w:val="00A0241E"/>
    <w:rsid w:val="00A03607"/>
    <w:rsid w:val="00A047FF"/>
    <w:rsid w:val="00A04FEF"/>
    <w:rsid w:val="00A0708E"/>
    <w:rsid w:val="00A071FD"/>
    <w:rsid w:val="00A07F4A"/>
    <w:rsid w:val="00A11798"/>
    <w:rsid w:val="00A121BF"/>
    <w:rsid w:val="00A122CD"/>
    <w:rsid w:val="00A126C9"/>
    <w:rsid w:val="00A12874"/>
    <w:rsid w:val="00A12A32"/>
    <w:rsid w:val="00A12E55"/>
    <w:rsid w:val="00A13221"/>
    <w:rsid w:val="00A14248"/>
    <w:rsid w:val="00A14947"/>
    <w:rsid w:val="00A153F3"/>
    <w:rsid w:val="00A1627C"/>
    <w:rsid w:val="00A176C6"/>
    <w:rsid w:val="00A20B36"/>
    <w:rsid w:val="00A21105"/>
    <w:rsid w:val="00A21E8E"/>
    <w:rsid w:val="00A23861"/>
    <w:rsid w:val="00A23DC5"/>
    <w:rsid w:val="00A27657"/>
    <w:rsid w:val="00A34028"/>
    <w:rsid w:val="00A35568"/>
    <w:rsid w:val="00A35E8F"/>
    <w:rsid w:val="00A37056"/>
    <w:rsid w:val="00A413AF"/>
    <w:rsid w:val="00A413BE"/>
    <w:rsid w:val="00A41C53"/>
    <w:rsid w:val="00A4358F"/>
    <w:rsid w:val="00A441CF"/>
    <w:rsid w:val="00A4450D"/>
    <w:rsid w:val="00A45A4A"/>
    <w:rsid w:val="00A46F67"/>
    <w:rsid w:val="00A47993"/>
    <w:rsid w:val="00A545FA"/>
    <w:rsid w:val="00A54AA1"/>
    <w:rsid w:val="00A54ED5"/>
    <w:rsid w:val="00A568FF"/>
    <w:rsid w:val="00A57F75"/>
    <w:rsid w:val="00A6053C"/>
    <w:rsid w:val="00A61089"/>
    <w:rsid w:val="00A61496"/>
    <w:rsid w:val="00A61833"/>
    <w:rsid w:val="00A624C6"/>
    <w:rsid w:val="00A62B1B"/>
    <w:rsid w:val="00A63CEC"/>
    <w:rsid w:val="00A644D3"/>
    <w:rsid w:val="00A7031E"/>
    <w:rsid w:val="00A72567"/>
    <w:rsid w:val="00A728B1"/>
    <w:rsid w:val="00A73A8C"/>
    <w:rsid w:val="00A74A64"/>
    <w:rsid w:val="00A763DE"/>
    <w:rsid w:val="00A7732F"/>
    <w:rsid w:val="00A77496"/>
    <w:rsid w:val="00A7753F"/>
    <w:rsid w:val="00A77FAD"/>
    <w:rsid w:val="00A803D6"/>
    <w:rsid w:val="00A80808"/>
    <w:rsid w:val="00A81282"/>
    <w:rsid w:val="00A831FB"/>
    <w:rsid w:val="00A86015"/>
    <w:rsid w:val="00A8713F"/>
    <w:rsid w:val="00A8754E"/>
    <w:rsid w:val="00A87B39"/>
    <w:rsid w:val="00A90A48"/>
    <w:rsid w:val="00A91167"/>
    <w:rsid w:val="00A9128A"/>
    <w:rsid w:val="00A9171C"/>
    <w:rsid w:val="00A92FFD"/>
    <w:rsid w:val="00A942CB"/>
    <w:rsid w:val="00A95975"/>
    <w:rsid w:val="00A960A9"/>
    <w:rsid w:val="00A9708D"/>
    <w:rsid w:val="00AA1E3C"/>
    <w:rsid w:val="00AA1F93"/>
    <w:rsid w:val="00AA2C17"/>
    <w:rsid w:val="00AA4172"/>
    <w:rsid w:val="00AA4DC3"/>
    <w:rsid w:val="00AA5C46"/>
    <w:rsid w:val="00AA5E3C"/>
    <w:rsid w:val="00AA7498"/>
    <w:rsid w:val="00AB0F25"/>
    <w:rsid w:val="00AB18BC"/>
    <w:rsid w:val="00AB1914"/>
    <w:rsid w:val="00AB1BB9"/>
    <w:rsid w:val="00AB28B8"/>
    <w:rsid w:val="00AB5330"/>
    <w:rsid w:val="00AB7747"/>
    <w:rsid w:val="00AC1510"/>
    <w:rsid w:val="00AC2532"/>
    <w:rsid w:val="00AC49D3"/>
    <w:rsid w:val="00AC7273"/>
    <w:rsid w:val="00AD0005"/>
    <w:rsid w:val="00AD01A5"/>
    <w:rsid w:val="00AD1507"/>
    <w:rsid w:val="00AD24B8"/>
    <w:rsid w:val="00AD2973"/>
    <w:rsid w:val="00AD4391"/>
    <w:rsid w:val="00AD57D0"/>
    <w:rsid w:val="00AD5A70"/>
    <w:rsid w:val="00AD738B"/>
    <w:rsid w:val="00AE1BF4"/>
    <w:rsid w:val="00AE1CEE"/>
    <w:rsid w:val="00AE529C"/>
    <w:rsid w:val="00AE5D97"/>
    <w:rsid w:val="00AE6794"/>
    <w:rsid w:val="00AF0D31"/>
    <w:rsid w:val="00AF1C1B"/>
    <w:rsid w:val="00AF408D"/>
    <w:rsid w:val="00AF5248"/>
    <w:rsid w:val="00AF5F75"/>
    <w:rsid w:val="00AF6340"/>
    <w:rsid w:val="00AF6EB5"/>
    <w:rsid w:val="00AF748C"/>
    <w:rsid w:val="00AF7ACE"/>
    <w:rsid w:val="00B01110"/>
    <w:rsid w:val="00B02262"/>
    <w:rsid w:val="00B02299"/>
    <w:rsid w:val="00B03CEC"/>
    <w:rsid w:val="00B1122E"/>
    <w:rsid w:val="00B1190C"/>
    <w:rsid w:val="00B1209F"/>
    <w:rsid w:val="00B12AD0"/>
    <w:rsid w:val="00B15116"/>
    <w:rsid w:val="00B1521E"/>
    <w:rsid w:val="00B15736"/>
    <w:rsid w:val="00B16442"/>
    <w:rsid w:val="00B16D36"/>
    <w:rsid w:val="00B176FF"/>
    <w:rsid w:val="00B23B38"/>
    <w:rsid w:val="00B24162"/>
    <w:rsid w:val="00B2476A"/>
    <w:rsid w:val="00B24F30"/>
    <w:rsid w:val="00B2742B"/>
    <w:rsid w:val="00B27FDE"/>
    <w:rsid w:val="00B30748"/>
    <w:rsid w:val="00B309D3"/>
    <w:rsid w:val="00B31ABF"/>
    <w:rsid w:val="00B32EF8"/>
    <w:rsid w:val="00B335AE"/>
    <w:rsid w:val="00B34AF9"/>
    <w:rsid w:val="00B34E8A"/>
    <w:rsid w:val="00B353A8"/>
    <w:rsid w:val="00B37CE1"/>
    <w:rsid w:val="00B403D7"/>
    <w:rsid w:val="00B40ACF"/>
    <w:rsid w:val="00B42AE9"/>
    <w:rsid w:val="00B42E36"/>
    <w:rsid w:val="00B44297"/>
    <w:rsid w:val="00B44887"/>
    <w:rsid w:val="00B44A7F"/>
    <w:rsid w:val="00B469A0"/>
    <w:rsid w:val="00B46BAA"/>
    <w:rsid w:val="00B46C25"/>
    <w:rsid w:val="00B47064"/>
    <w:rsid w:val="00B47676"/>
    <w:rsid w:val="00B50B31"/>
    <w:rsid w:val="00B50B5F"/>
    <w:rsid w:val="00B52D52"/>
    <w:rsid w:val="00B54128"/>
    <w:rsid w:val="00B55826"/>
    <w:rsid w:val="00B55F4B"/>
    <w:rsid w:val="00B5764E"/>
    <w:rsid w:val="00B60426"/>
    <w:rsid w:val="00B605EF"/>
    <w:rsid w:val="00B61749"/>
    <w:rsid w:val="00B622DD"/>
    <w:rsid w:val="00B63522"/>
    <w:rsid w:val="00B63FA4"/>
    <w:rsid w:val="00B6620F"/>
    <w:rsid w:val="00B678CD"/>
    <w:rsid w:val="00B71837"/>
    <w:rsid w:val="00B724AC"/>
    <w:rsid w:val="00B741D6"/>
    <w:rsid w:val="00B7551F"/>
    <w:rsid w:val="00B75EEB"/>
    <w:rsid w:val="00B76647"/>
    <w:rsid w:val="00B76F1D"/>
    <w:rsid w:val="00B772C0"/>
    <w:rsid w:val="00B77D67"/>
    <w:rsid w:val="00B77E96"/>
    <w:rsid w:val="00B8082A"/>
    <w:rsid w:val="00B8129A"/>
    <w:rsid w:val="00B8262B"/>
    <w:rsid w:val="00B8278A"/>
    <w:rsid w:val="00B82EA2"/>
    <w:rsid w:val="00B84D10"/>
    <w:rsid w:val="00B84ED1"/>
    <w:rsid w:val="00B850CF"/>
    <w:rsid w:val="00B87604"/>
    <w:rsid w:val="00B90EDD"/>
    <w:rsid w:val="00B91C53"/>
    <w:rsid w:val="00B92A19"/>
    <w:rsid w:val="00B939B3"/>
    <w:rsid w:val="00B947C2"/>
    <w:rsid w:val="00B94F1A"/>
    <w:rsid w:val="00B9544C"/>
    <w:rsid w:val="00B9754B"/>
    <w:rsid w:val="00B97A03"/>
    <w:rsid w:val="00BA100C"/>
    <w:rsid w:val="00BA29E9"/>
    <w:rsid w:val="00BA4048"/>
    <w:rsid w:val="00BA7295"/>
    <w:rsid w:val="00BB03DD"/>
    <w:rsid w:val="00BB25C5"/>
    <w:rsid w:val="00BB3618"/>
    <w:rsid w:val="00BB4AB6"/>
    <w:rsid w:val="00BC0C9E"/>
    <w:rsid w:val="00BC1991"/>
    <w:rsid w:val="00BC1C7F"/>
    <w:rsid w:val="00BC32DC"/>
    <w:rsid w:val="00BC4615"/>
    <w:rsid w:val="00BD03C6"/>
    <w:rsid w:val="00BD1B51"/>
    <w:rsid w:val="00BD3491"/>
    <w:rsid w:val="00BD39BE"/>
    <w:rsid w:val="00BD47F6"/>
    <w:rsid w:val="00BD5106"/>
    <w:rsid w:val="00BD543D"/>
    <w:rsid w:val="00BD681E"/>
    <w:rsid w:val="00BD71AF"/>
    <w:rsid w:val="00BD7BB4"/>
    <w:rsid w:val="00BE312D"/>
    <w:rsid w:val="00BE3FCA"/>
    <w:rsid w:val="00BE589F"/>
    <w:rsid w:val="00BE72B8"/>
    <w:rsid w:val="00BE7E37"/>
    <w:rsid w:val="00BF1462"/>
    <w:rsid w:val="00BF3162"/>
    <w:rsid w:val="00BF383B"/>
    <w:rsid w:val="00BF4CC6"/>
    <w:rsid w:val="00BF5953"/>
    <w:rsid w:val="00BF7129"/>
    <w:rsid w:val="00BF75BE"/>
    <w:rsid w:val="00C005C0"/>
    <w:rsid w:val="00C018C7"/>
    <w:rsid w:val="00C02C3B"/>
    <w:rsid w:val="00C02D48"/>
    <w:rsid w:val="00C03506"/>
    <w:rsid w:val="00C03F39"/>
    <w:rsid w:val="00C05719"/>
    <w:rsid w:val="00C06961"/>
    <w:rsid w:val="00C07EBB"/>
    <w:rsid w:val="00C10578"/>
    <w:rsid w:val="00C11E04"/>
    <w:rsid w:val="00C13373"/>
    <w:rsid w:val="00C14D43"/>
    <w:rsid w:val="00C16F92"/>
    <w:rsid w:val="00C1775B"/>
    <w:rsid w:val="00C17D62"/>
    <w:rsid w:val="00C20C9F"/>
    <w:rsid w:val="00C21FDC"/>
    <w:rsid w:val="00C24EE7"/>
    <w:rsid w:val="00C25772"/>
    <w:rsid w:val="00C2596A"/>
    <w:rsid w:val="00C27055"/>
    <w:rsid w:val="00C271BE"/>
    <w:rsid w:val="00C27425"/>
    <w:rsid w:val="00C27E68"/>
    <w:rsid w:val="00C328FE"/>
    <w:rsid w:val="00C33A05"/>
    <w:rsid w:val="00C35063"/>
    <w:rsid w:val="00C402C0"/>
    <w:rsid w:val="00C4032F"/>
    <w:rsid w:val="00C40DD3"/>
    <w:rsid w:val="00C42500"/>
    <w:rsid w:val="00C42932"/>
    <w:rsid w:val="00C42FC2"/>
    <w:rsid w:val="00C4409D"/>
    <w:rsid w:val="00C4471E"/>
    <w:rsid w:val="00C4477C"/>
    <w:rsid w:val="00C44830"/>
    <w:rsid w:val="00C455BE"/>
    <w:rsid w:val="00C458D3"/>
    <w:rsid w:val="00C461AB"/>
    <w:rsid w:val="00C46272"/>
    <w:rsid w:val="00C50BD6"/>
    <w:rsid w:val="00C5126B"/>
    <w:rsid w:val="00C51A04"/>
    <w:rsid w:val="00C51E5F"/>
    <w:rsid w:val="00C52D9C"/>
    <w:rsid w:val="00C53037"/>
    <w:rsid w:val="00C53302"/>
    <w:rsid w:val="00C534B3"/>
    <w:rsid w:val="00C53D28"/>
    <w:rsid w:val="00C54E36"/>
    <w:rsid w:val="00C55657"/>
    <w:rsid w:val="00C55832"/>
    <w:rsid w:val="00C57427"/>
    <w:rsid w:val="00C57647"/>
    <w:rsid w:val="00C57729"/>
    <w:rsid w:val="00C61ACC"/>
    <w:rsid w:val="00C61C2C"/>
    <w:rsid w:val="00C61E4B"/>
    <w:rsid w:val="00C62E3A"/>
    <w:rsid w:val="00C63D2E"/>
    <w:rsid w:val="00C64503"/>
    <w:rsid w:val="00C64A1F"/>
    <w:rsid w:val="00C64BFF"/>
    <w:rsid w:val="00C64E70"/>
    <w:rsid w:val="00C65C92"/>
    <w:rsid w:val="00C65CC5"/>
    <w:rsid w:val="00C73BF4"/>
    <w:rsid w:val="00C763C9"/>
    <w:rsid w:val="00C76457"/>
    <w:rsid w:val="00C80016"/>
    <w:rsid w:val="00C80057"/>
    <w:rsid w:val="00C80087"/>
    <w:rsid w:val="00C82212"/>
    <w:rsid w:val="00C82546"/>
    <w:rsid w:val="00C82C79"/>
    <w:rsid w:val="00C84173"/>
    <w:rsid w:val="00C843F2"/>
    <w:rsid w:val="00C84753"/>
    <w:rsid w:val="00C84FDF"/>
    <w:rsid w:val="00C9045E"/>
    <w:rsid w:val="00C90720"/>
    <w:rsid w:val="00C90D25"/>
    <w:rsid w:val="00C91101"/>
    <w:rsid w:val="00C91611"/>
    <w:rsid w:val="00C93158"/>
    <w:rsid w:val="00C93392"/>
    <w:rsid w:val="00C9344E"/>
    <w:rsid w:val="00C95855"/>
    <w:rsid w:val="00C964DA"/>
    <w:rsid w:val="00C96840"/>
    <w:rsid w:val="00CA1C08"/>
    <w:rsid w:val="00CA1E31"/>
    <w:rsid w:val="00CA203A"/>
    <w:rsid w:val="00CA2087"/>
    <w:rsid w:val="00CA2243"/>
    <w:rsid w:val="00CA2D8C"/>
    <w:rsid w:val="00CA2F0E"/>
    <w:rsid w:val="00CA2F63"/>
    <w:rsid w:val="00CA3585"/>
    <w:rsid w:val="00CA3D5A"/>
    <w:rsid w:val="00CA4C7C"/>
    <w:rsid w:val="00CA4FD5"/>
    <w:rsid w:val="00CA5218"/>
    <w:rsid w:val="00CA52FC"/>
    <w:rsid w:val="00CA5C44"/>
    <w:rsid w:val="00CB0183"/>
    <w:rsid w:val="00CB0452"/>
    <w:rsid w:val="00CB1EA3"/>
    <w:rsid w:val="00CB3CE5"/>
    <w:rsid w:val="00CB552C"/>
    <w:rsid w:val="00CB6A9E"/>
    <w:rsid w:val="00CC013B"/>
    <w:rsid w:val="00CC01FD"/>
    <w:rsid w:val="00CC0CB7"/>
    <w:rsid w:val="00CC1CCD"/>
    <w:rsid w:val="00CC218D"/>
    <w:rsid w:val="00CC2963"/>
    <w:rsid w:val="00CC2D51"/>
    <w:rsid w:val="00CC30C8"/>
    <w:rsid w:val="00CC3683"/>
    <w:rsid w:val="00CC3706"/>
    <w:rsid w:val="00CC4F45"/>
    <w:rsid w:val="00CC5D63"/>
    <w:rsid w:val="00CC5EE3"/>
    <w:rsid w:val="00CC6181"/>
    <w:rsid w:val="00CD0507"/>
    <w:rsid w:val="00CD2BCD"/>
    <w:rsid w:val="00CD329B"/>
    <w:rsid w:val="00CD36AA"/>
    <w:rsid w:val="00CD3791"/>
    <w:rsid w:val="00CD4D7D"/>
    <w:rsid w:val="00CD5730"/>
    <w:rsid w:val="00CD65B0"/>
    <w:rsid w:val="00CE02CD"/>
    <w:rsid w:val="00CE0347"/>
    <w:rsid w:val="00CE10E9"/>
    <w:rsid w:val="00CE15BC"/>
    <w:rsid w:val="00CE6B63"/>
    <w:rsid w:val="00CF036C"/>
    <w:rsid w:val="00CF107A"/>
    <w:rsid w:val="00CF1173"/>
    <w:rsid w:val="00CF221A"/>
    <w:rsid w:val="00CF47A7"/>
    <w:rsid w:val="00CF481B"/>
    <w:rsid w:val="00CF6579"/>
    <w:rsid w:val="00D0072E"/>
    <w:rsid w:val="00D01067"/>
    <w:rsid w:val="00D0406B"/>
    <w:rsid w:val="00D059BA"/>
    <w:rsid w:val="00D06161"/>
    <w:rsid w:val="00D07B3B"/>
    <w:rsid w:val="00D10B93"/>
    <w:rsid w:val="00D129CC"/>
    <w:rsid w:val="00D12C00"/>
    <w:rsid w:val="00D13214"/>
    <w:rsid w:val="00D15727"/>
    <w:rsid w:val="00D16332"/>
    <w:rsid w:val="00D168D6"/>
    <w:rsid w:val="00D17466"/>
    <w:rsid w:val="00D2002B"/>
    <w:rsid w:val="00D24972"/>
    <w:rsid w:val="00D2515E"/>
    <w:rsid w:val="00D26F19"/>
    <w:rsid w:val="00D27D21"/>
    <w:rsid w:val="00D308ED"/>
    <w:rsid w:val="00D34F74"/>
    <w:rsid w:val="00D367FE"/>
    <w:rsid w:val="00D3690F"/>
    <w:rsid w:val="00D36E09"/>
    <w:rsid w:val="00D36F23"/>
    <w:rsid w:val="00D404D9"/>
    <w:rsid w:val="00D40862"/>
    <w:rsid w:val="00D41AFB"/>
    <w:rsid w:val="00D44D12"/>
    <w:rsid w:val="00D469B3"/>
    <w:rsid w:val="00D47DDE"/>
    <w:rsid w:val="00D532C8"/>
    <w:rsid w:val="00D53D71"/>
    <w:rsid w:val="00D5427A"/>
    <w:rsid w:val="00D55852"/>
    <w:rsid w:val="00D56178"/>
    <w:rsid w:val="00D563EB"/>
    <w:rsid w:val="00D56CF0"/>
    <w:rsid w:val="00D56F5C"/>
    <w:rsid w:val="00D57DB0"/>
    <w:rsid w:val="00D60296"/>
    <w:rsid w:val="00D63484"/>
    <w:rsid w:val="00D64956"/>
    <w:rsid w:val="00D6588C"/>
    <w:rsid w:val="00D65F05"/>
    <w:rsid w:val="00D66A4A"/>
    <w:rsid w:val="00D704B1"/>
    <w:rsid w:val="00D70B63"/>
    <w:rsid w:val="00D717D2"/>
    <w:rsid w:val="00D72B92"/>
    <w:rsid w:val="00D72ED4"/>
    <w:rsid w:val="00D73F61"/>
    <w:rsid w:val="00D7405E"/>
    <w:rsid w:val="00D743C8"/>
    <w:rsid w:val="00D754C0"/>
    <w:rsid w:val="00D7757E"/>
    <w:rsid w:val="00D776A2"/>
    <w:rsid w:val="00D801C4"/>
    <w:rsid w:val="00D80351"/>
    <w:rsid w:val="00D81D5C"/>
    <w:rsid w:val="00D842C8"/>
    <w:rsid w:val="00D86355"/>
    <w:rsid w:val="00D867D6"/>
    <w:rsid w:val="00D90836"/>
    <w:rsid w:val="00D91F1F"/>
    <w:rsid w:val="00D92977"/>
    <w:rsid w:val="00D95896"/>
    <w:rsid w:val="00D95CC6"/>
    <w:rsid w:val="00DA0ECA"/>
    <w:rsid w:val="00DA2C3E"/>
    <w:rsid w:val="00DA2DA3"/>
    <w:rsid w:val="00DA3268"/>
    <w:rsid w:val="00DA4118"/>
    <w:rsid w:val="00DA6615"/>
    <w:rsid w:val="00DA6696"/>
    <w:rsid w:val="00DA675D"/>
    <w:rsid w:val="00DA6781"/>
    <w:rsid w:val="00DA76AE"/>
    <w:rsid w:val="00DB051D"/>
    <w:rsid w:val="00DB181E"/>
    <w:rsid w:val="00DB1C7A"/>
    <w:rsid w:val="00DB2133"/>
    <w:rsid w:val="00DB2983"/>
    <w:rsid w:val="00DB31E6"/>
    <w:rsid w:val="00DB343D"/>
    <w:rsid w:val="00DB41E1"/>
    <w:rsid w:val="00DB5579"/>
    <w:rsid w:val="00DB5CFE"/>
    <w:rsid w:val="00DB5D7F"/>
    <w:rsid w:val="00DB6F96"/>
    <w:rsid w:val="00DB75A8"/>
    <w:rsid w:val="00DC115D"/>
    <w:rsid w:val="00DC1447"/>
    <w:rsid w:val="00DC5299"/>
    <w:rsid w:val="00DC68F0"/>
    <w:rsid w:val="00DC6E80"/>
    <w:rsid w:val="00DC72A6"/>
    <w:rsid w:val="00DC7E09"/>
    <w:rsid w:val="00DD1494"/>
    <w:rsid w:val="00DD14D9"/>
    <w:rsid w:val="00DD1CBF"/>
    <w:rsid w:val="00DD2113"/>
    <w:rsid w:val="00DD265E"/>
    <w:rsid w:val="00DD56F9"/>
    <w:rsid w:val="00DD5E1E"/>
    <w:rsid w:val="00DD5E97"/>
    <w:rsid w:val="00DD7041"/>
    <w:rsid w:val="00DE0705"/>
    <w:rsid w:val="00DE32D5"/>
    <w:rsid w:val="00DE362B"/>
    <w:rsid w:val="00DE494E"/>
    <w:rsid w:val="00DE73C1"/>
    <w:rsid w:val="00DF1930"/>
    <w:rsid w:val="00DF1AC4"/>
    <w:rsid w:val="00DF4513"/>
    <w:rsid w:val="00DF514A"/>
    <w:rsid w:val="00E014DC"/>
    <w:rsid w:val="00E01E95"/>
    <w:rsid w:val="00E0358D"/>
    <w:rsid w:val="00E05356"/>
    <w:rsid w:val="00E05377"/>
    <w:rsid w:val="00E056BB"/>
    <w:rsid w:val="00E057C4"/>
    <w:rsid w:val="00E06327"/>
    <w:rsid w:val="00E102F1"/>
    <w:rsid w:val="00E10F38"/>
    <w:rsid w:val="00E12854"/>
    <w:rsid w:val="00E17690"/>
    <w:rsid w:val="00E2064B"/>
    <w:rsid w:val="00E212F0"/>
    <w:rsid w:val="00E228B8"/>
    <w:rsid w:val="00E22F39"/>
    <w:rsid w:val="00E25239"/>
    <w:rsid w:val="00E26179"/>
    <w:rsid w:val="00E265B1"/>
    <w:rsid w:val="00E275B0"/>
    <w:rsid w:val="00E302DC"/>
    <w:rsid w:val="00E305A1"/>
    <w:rsid w:val="00E308E6"/>
    <w:rsid w:val="00E30C4E"/>
    <w:rsid w:val="00E34AF4"/>
    <w:rsid w:val="00E35131"/>
    <w:rsid w:val="00E36CA0"/>
    <w:rsid w:val="00E407BA"/>
    <w:rsid w:val="00E412D0"/>
    <w:rsid w:val="00E4185E"/>
    <w:rsid w:val="00E442CC"/>
    <w:rsid w:val="00E44A26"/>
    <w:rsid w:val="00E45109"/>
    <w:rsid w:val="00E45ABF"/>
    <w:rsid w:val="00E47A20"/>
    <w:rsid w:val="00E47CDB"/>
    <w:rsid w:val="00E5117D"/>
    <w:rsid w:val="00E5231C"/>
    <w:rsid w:val="00E5239B"/>
    <w:rsid w:val="00E52989"/>
    <w:rsid w:val="00E542C8"/>
    <w:rsid w:val="00E566BC"/>
    <w:rsid w:val="00E57421"/>
    <w:rsid w:val="00E57499"/>
    <w:rsid w:val="00E57E3A"/>
    <w:rsid w:val="00E608F4"/>
    <w:rsid w:val="00E60982"/>
    <w:rsid w:val="00E60C8D"/>
    <w:rsid w:val="00E6162F"/>
    <w:rsid w:val="00E61D57"/>
    <w:rsid w:val="00E6311B"/>
    <w:rsid w:val="00E64141"/>
    <w:rsid w:val="00E6501F"/>
    <w:rsid w:val="00E65D97"/>
    <w:rsid w:val="00E660C3"/>
    <w:rsid w:val="00E67EFD"/>
    <w:rsid w:val="00E702DC"/>
    <w:rsid w:val="00E710FA"/>
    <w:rsid w:val="00E7143D"/>
    <w:rsid w:val="00E71FFB"/>
    <w:rsid w:val="00E747EE"/>
    <w:rsid w:val="00E76A5A"/>
    <w:rsid w:val="00E76D1D"/>
    <w:rsid w:val="00E806F8"/>
    <w:rsid w:val="00E83FE9"/>
    <w:rsid w:val="00E85626"/>
    <w:rsid w:val="00E87752"/>
    <w:rsid w:val="00E87811"/>
    <w:rsid w:val="00E8793B"/>
    <w:rsid w:val="00E9090D"/>
    <w:rsid w:val="00E90F81"/>
    <w:rsid w:val="00E91403"/>
    <w:rsid w:val="00E91A6D"/>
    <w:rsid w:val="00E9242D"/>
    <w:rsid w:val="00E960D5"/>
    <w:rsid w:val="00E97383"/>
    <w:rsid w:val="00E979F6"/>
    <w:rsid w:val="00EA029A"/>
    <w:rsid w:val="00EA1BCC"/>
    <w:rsid w:val="00EA4F37"/>
    <w:rsid w:val="00EA5EED"/>
    <w:rsid w:val="00EA6543"/>
    <w:rsid w:val="00EA65E0"/>
    <w:rsid w:val="00EA6EC2"/>
    <w:rsid w:val="00EA73B3"/>
    <w:rsid w:val="00EA7C55"/>
    <w:rsid w:val="00EB041C"/>
    <w:rsid w:val="00EB0CD0"/>
    <w:rsid w:val="00EB13A2"/>
    <w:rsid w:val="00EB305C"/>
    <w:rsid w:val="00EB3C66"/>
    <w:rsid w:val="00EB6B46"/>
    <w:rsid w:val="00EC1817"/>
    <w:rsid w:val="00EC3376"/>
    <w:rsid w:val="00EC5874"/>
    <w:rsid w:val="00EC6636"/>
    <w:rsid w:val="00ED0786"/>
    <w:rsid w:val="00ED10F4"/>
    <w:rsid w:val="00ED192D"/>
    <w:rsid w:val="00ED2AA9"/>
    <w:rsid w:val="00ED2BE9"/>
    <w:rsid w:val="00ED30B4"/>
    <w:rsid w:val="00ED31F5"/>
    <w:rsid w:val="00ED3C1E"/>
    <w:rsid w:val="00ED4410"/>
    <w:rsid w:val="00ED4EEF"/>
    <w:rsid w:val="00EE05EC"/>
    <w:rsid w:val="00EE4EBC"/>
    <w:rsid w:val="00EE553F"/>
    <w:rsid w:val="00EF1655"/>
    <w:rsid w:val="00EF1E76"/>
    <w:rsid w:val="00EF2759"/>
    <w:rsid w:val="00EF45EB"/>
    <w:rsid w:val="00EF5099"/>
    <w:rsid w:val="00EF5C84"/>
    <w:rsid w:val="00EF5E33"/>
    <w:rsid w:val="00EF63A8"/>
    <w:rsid w:val="00F00075"/>
    <w:rsid w:val="00F00BF5"/>
    <w:rsid w:val="00F0224C"/>
    <w:rsid w:val="00F03E27"/>
    <w:rsid w:val="00F06179"/>
    <w:rsid w:val="00F07822"/>
    <w:rsid w:val="00F07F42"/>
    <w:rsid w:val="00F07FD0"/>
    <w:rsid w:val="00F117E7"/>
    <w:rsid w:val="00F1215D"/>
    <w:rsid w:val="00F122EE"/>
    <w:rsid w:val="00F12305"/>
    <w:rsid w:val="00F14F2F"/>
    <w:rsid w:val="00F1577B"/>
    <w:rsid w:val="00F15C95"/>
    <w:rsid w:val="00F22985"/>
    <w:rsid w:val="00F22B06"/>
    <w:rsid w:val="00F23740"/>
    <w:rsid w:val="00F241AB"/>
    <w:rsid w:val="00F24F65"/>
    <w:rsid w:val="00F25C29"/>
    <w:rsid w:val="00F25F45"/>
    <w:rsid w:val="00F260EB"/>
    <w:rsid w:val="00F27D67"/>
    <w:rsid w:val="00F27E8A"/>
    <w:rsid w:val="00F31382"/>
    <w:rsid w:val="00F314EA"/>
    <w:rsid w:val="00F3163F"/>
    <w:rsid w:val="00F31DA1"/>
    <w:rsid w:val="00F321AE"/>
    <w:rsid w:val="00F34C72"/>
    <w:rsid w:val="00F35829"/>
    <w:rsid w:val="00F36D75"/>
    <w:rsid w:val="00F4197B"/>
    <w:rsid w:val="00F422C3"/>
    <w:rsid w:val="00F42336"/>
    <w:rsid w:val="00F42868"/>
    <w:rsid w:val="00F432A1"/>
    <w:rsid w:val="00F465A7"/>
    <w:rsid w:val="00F50B7C"/>
    <w:rsid w:val="00F50CDF"/>
    <w:rsid w:val="00F50D2D"/>
    <w:rsid w:val="00F5202D"/>
    <w:rsid w:val="00F5234F"/>
    <w:rsid w:val="00F524B8"/>
    <w:rsid w:val="00F52CF6"/>
    <w:rsid w:val="00F53578"/>
    <w:rsid w:val="00F54496"/>
    <w:rsid w:val="00F57839"/>
    <w:rsid w:val="00F60523"/>
    <w:rsid w:val="00F60963"/>
    <w:rsid w:val="00F61097"/>
    <w:rsid w:val="00F62969"/>
    <w:rsid w:val="00F62D38"/>
    <w:rsid w:val="00F632A7"/>
    <w:rsid w:val="00F641E7"/>
    <w:rsid w:val="00F64275"/>
    <w:rsid w:val="00F656C8"/>
    <w:rsid w:val="00F664A0"/>
    <w:rsid w:val="00F702F3"/>
    <w:rsid w:val="00F720C4"/>
    <w:rsid w:val="00F72F58"/>
    <w:rsid w:val="00F72F97"/>
    <w:rsid w:val="00F739BE"/>
    <w:rsid w:val="00F74345"/>
    <w:rsid w:val="00F74441"/>
    <w:rsid w:val="00F74EC6"/>
    <w:rsid w:val="00F75E4A"/>
    <w:rsid w:val="00F75EB1"/>
    <w:rsid w:val="00F75FEE"/>
    <w:rsid w:val="00F76AE6"/>
    <w:rsid w:val="00F77BF7"/>
    <w:rsid w:val="00F77F30"/>
    <w:rsid w:val="00F80D2C"/>
    <w:rsid w:val="00F81F93"/>
    <w:rsid w:val="00F82589"/>
    <w:rsid w:val="00F82B19"/>
    <w:rsid w:val="00F82FE8"/>
    <w:rsid w:val="00F855E2"/>
    <w:rsid w:val="00F86E43"/>
    <w:rsid w:val="00F879DB"/>
    <w:rsid w:val="00F90AA7"/>
    <w:rsid w:val="00F91087"/>
    <w:rsid w:val="00F91C2B"/>
    <w:rsid w:val="00F9212D"/>
    <w:rsid w:val="00F943DF"/>
    <w:rsid w:val="00F955A6"/>
    <w:rsid w:val="00F95A81"/>
    <w:rsid w:val="00F96E51"/>
    <w:rsid w:val="00F977D3"/>
    <w:rsid w:val="00F97BDE"/>
    <w:rsid w:val="00F97D59"/>
    <w:rsid w:val="00FA2BC3"/>
    <w:rsid w:val="00FA301A"/>
    <w:rsid w:val="00FA3E78"/>
    <w:rsid w:val="00FA406A"/>
    <w:rsid w:val="00FA42A4"/>
    <w:rsid w:val="00FA451B"/>
    <w:rsid w:val="00FA5CB6"/>
    <w:rsid w:val="00FA65D6"/>
    <w:rsid w:val="00FA681F"/>
    <w:rsid w:val="00FA694E"/>
    <w:rsid w:val="00FA6F39"/>
    <w:rsid w:val="00FA7081"/>
    <w:rsid w:val="00FA743C"/>
    <w:rsid w:val="00FB0B30"/>
    <w:rsid w:val="00FB14B3"/>
    <w:rsid w:val="00FB1EBE"/>
    <w:rsid w:val="00FB27F8"/>
    <w:rsid w:val="00FB770A"/>
    <w:rsid w:val="00FC0B5D"/>
    <w:rsid w:val="00FC1E3A"/>
    <w:rsid w:val="00FC32C5"/>
    <w:rsid w:val="00FC3D0D"/>
    <w:rsid w:val="00FC4B3B"/>
    <w:rsid w:val="00FC66AC"/>
    <w:rsid w:val="00FC7704"/>
    <w:rsid w:val="00FD0A4C"/>
    <w:rsid w:val="00FD18F4"/>
    <w:rsid w:val="00FD3559"/>
    <w:rsid w:val="00FD74B4"/>
    <w:rsid w:val="00FD7EFE"/>
    <w:rsid w:val="00FE0094"/>
    <w:rsid w:val="00FE0341"/>
    <w:rsid w:val="00FE0AAF"/>
    <w:rsid w:val="00FE0DA9"/>
    <w:rsid w:val="00FE2052"/>
    <w:rsid w:val="00FE4E94"/>
    <w:rsid w:val="00FE776A"/>
    <w:rsid w:val="00FF3963"/>
    <w:rsid w:val="00FF41A5"/>
    <w:rsid w:val="00FF5D0A"/>
    <w:rsid w:val="00FF6FCE"/>
    <w:rsid w:val="00FF71E5"/>
    <w:rsid w:val="00FF7518"/>
    <w:rsid w:val="00FF7FD8"/>
    <w:rsid w:val="01171177"/>
    <w:rsid w:val="012226E8"/>
    <w:rsid w:val="01245BEB"/>
    <w:rsid w:val="012D06BC"/>
    <w:rsid w:val="013304EB"/>
    <w:rsid w:val="01376E0A"/>
    <w:rsid w:val="013B372B"/>
    <w:rsid w:val="01423123"/>
    <w:rsid w:val="014346FF"/>
    <w:rsid w:val="014F404B"/>
    <w:rsid w:val="015C2B0C"/>
    <w:rsid w:val="01606DD6"/>
    <w:rsid w:val="016320EC"/>
    <w:rsid w:val="01653D96"/>
    <w:rsid w:val="016B12C0"/>
    <w:rsid w:val="016C339F"/>
    <w:rsid w:val="016D72E4"/>
    <w:rsid w:val="018C7B99"/>
    <w:rsid w:val="01944C68"/>
    <w:rsid w:val="01964270"/>
    <w:rsid w:val="01975F2A"/>
    <w:rsid w:val="01995BAA"/>
    <w:rsid w:val="01A666E7"/>
    <w:rsid w:val="01AA794B"/>
    <w:rsid w:val="01AE5B4F"/>
    <w:rsid w:val="01B97764"/>
    <w:rsid w:val="01C71782"/>
    <w:rsid w:val="021332F5"/>
    <w:rsid w:val="0220246E"/>
    <w:rsid w:val="022B7A22"/>
    <w:rsid w:val="023A2E4D"/>
    <w:rsid w:val="023C4E17"/>
    <w:rsid w:val="023E1A28"/>
    <w:rsid w:val="026450C5"/>
    <w:rsid w:val="026809DF"/>
    <w:rsid w:val="0287562F"/>
    <w:rsid w:val="029638CF"/>
    <w:rsid w:val="02BE1885"/>
    <w:rsid w:val="02CF6A63"/>
    <w:rsid w:val="02D1729F"/>
    <w:rsid w:val="02D44BF1"/>
    <w:rsid w:val="02E87E56"/>
    <w:rsid w:val="02EB22C7"/>
    <w:rsid w:val="02F00EFA"/>
    <w:rsid w:val="02F11446"/>
    <w:rsid w:val="02F32963"/>
    <w:rsid w:val="02F74860"/>
    <w:rsid w:val="030B388D"/>
    <w:rsid w:val="031E00CD"/>
    <w:rsid w:val="032558AB"/>
    <w:rsid w:val="03457065"/>
    <w:rsid w:val="03457A56"/>
    <w:rsid w:val="03470A83"/>
    <w:rsid w:val="03521A83"/>
    <w:rsid w:val="03595B8B"/>
    <w:rsid w:val="03716AB5"/>
    <w:rsid w:val="03720ADA"/>
    <w:rsid w:val="03772BBD"/>
    <w:rsid w:val="037A7C18"/>
    <w:rsid w:val="03891BE1"/>
    <w:rsid w:val="03963471"/>
    <w:rsid w:val="03A52F7D"/>
    <w:rsid w:val="03A662A3"/>
    <w:rsid w:val="03BC36B1"/>
    <w:rsid w:val="03EC63C9"/>
    <w:rsid w:val="03EE33BF"/>
    <w:rsid w:val="042A186D"/>
    <w:rsid w:val="043C1B4B"/>
    <w:rsid w:val="044D25D1"/>
    <w:rsid w:val="046D691D"/>
    <w:rsid w:val="04715AA9"/>
    <w:rsid w:val="04726230"/>
    <w:rsid w:val="047D32EF"/>
    <w:rsid w:val="049D275A"/>
    <w:rsid w:val="04A27D38"/>
    <w:rsid w:val="04A6313A"/>
    <w:rsid w:val="04B62BFF"/>
    <w:rsid w:val="04BA44CE"/>
    <w:rsid w:val="04BA5D22"/>
    <w:rsid w:val="04C3537C"/>
    <w:rsid w:val="04C82E5F"/>
    <w:rsid w:val="04CC5A6D"/>
    <w:rsid w:val="04DB0285"/>
    <w:rsid w:val="04EE6171"/>
    <w:rsid w:val="04FA6E88"/>
    <w:rsid w:val="050745CD"/>
    <w:rsid w:val="050C0A55"/>
    <w:rsid w:val="050F525C"/>
    <w:rsid w:val="051047B8"/>
    <w:rsid w:val="05180446"/>
    <w:rsid w:val="05234E03"/>
    <w:rsid w:val="05235E1B"/>
    <w:rsid w:val="052A1F8B"/>
    <w:rsid w:val="053343EE"/>
    <w:rsid w:val="05351CA6"/>
    <w:rsid w:val="054051E3"/>
    <w:rsid w:val="05526FCB"/>
    <w:rsid w:val="055F2A5D"/>
    <w:rsid w:val="056621AB"/>
    <w:rsid w:val="056D7096"/>
    <w:rsid w:val="05742AC8"/>
    <w:rsid w:val="05750484"/>
    <w:rsid w:val="058748B2"/>
    <w:rsid w:val="0596345C"/>
    <w:rsid w:val="05AE28D8"/>
    <w:rsid w:val="05B02F89"/>
    <w:rsid w:val="05BA78F4"/>
    <w:rsid w:val="05BE78F1"/>
    <w:rsid w:val="05C20583"/>
    <w:rsid w:val="05C649F8"/>
    <w:rsid w:val="05CC7204"/>
    <w:rsid w:val="05D93A02"/>
    <w:rsid w:val="05E1279D"/>
    <w:rsid w:val="05E816BC"/>
    <w:rsid w:val="05F27A4D"/>
    <w:rsid w:val="05FA3643"/>
    <w:rsid w:val="05FB2167"/>
    <w:rsid w:val="06050881"/>
    <w:rsid w:val="06071298"/>
    <w:rsid w:val="06190FCC"/>
    <w:rsid w:val="06191E33"/>
    <w:rsid w:val="061F7618"/>
    <w:rsid w:val="06222576"/>
    <w:rsid w:val="06352F05"/>
    <w:rsid w:val="063B6F48"/>
    <w:rsid w:val="063E7D85"/>
    <w:rsid w:val="06423F21"/>
    <w:rsid w:val="06450013"/>
    <w:rsid w:val="064829DB"/>
    <w:rsid w:val="066F6E3E"/>
    <w:rsid w:val="066F749E"/>
    <w:rsid w:val="06721834"/>
    <w:rsid w:val="06732DD2"/>
    <w:rsid w:val="067A44AE"/>
    <w:rsid w:val="068837C4"/>
    <w:rsid w:val="06905732"/>
    <w:rsid w:val="069C2EB9"/>
    <w:rsid w:val="06A7573A"/>
    <w:rsid w:val="06C158C2"/>
    <w:rsid w:val="06CA5532"/>
    <w:rsid w:val="06D552C0"/>
    <w:rsid w:val="06F7130D"/>
    <w:rsid w:val="07087596"/>
    <w:rsid w:val="070875E0"/>
    <w:rsid w:val="07146C2B"/>
    <w:rsid w:val="0715212E"/>
    <w:rsid w:val="071E2D3E"/>
    <w:rsid w:val="07293586"/>
    <w:rsid w:val="07295285"/>
    <w:rsid w:val="07367F4D"/>
    <w:rsid w:val="073D50BA"/>
    <w:rsid w:val="07401A8D"/>
    <w:rsid w:val="07761F83"/>
    <w:rsid w:val="07770C56"/>
    <w:rsid w:val="07867E64"/>
    <w:rsid w:val="079061F5"/>
    <w:rsid w:val="07911A78"/>
    <w:rsid w:val="07A300A0"/>
    <w:rsid w:val="07AC4080"/>
    <w:rsid w:val="07AD40C1"/>
    <w:rsid w:val="07B03D98"/>
    <w:rsid w:val="07B126CB"/>
    <w:rsid w:val="07C11580"/>
    <w:rsid w:val="07C867D5"/>
    <w:rsid w:val="07DA3804"/>
    <w:rsid w:val="07E71F9B"/>
    <w:rsid w:val="080D35E4"/>
    <w:rsid w:val="0810758D"/>
    <w:rsid w:val="081F18E0"/>
    <w:rsid w:val="082143D8"/>
    <w:rsid w:val="08320C02"/>
    <w:rsid w:val="084550F9"/>
    <w:rsid w:val="084A20BA"/>
    <w:rsid w:val="08564CB9"/>
    <w:rsid w:val="085D6A7F"/>
    <w:rsid w:val="086168CD"/>
    <w:rsid w:val="087E3BE0"/>
    <w:rsid w:val="088C3F31"/>
    <w:rsid w:val="088E43F6"/>
    <w:rsid w:val="08903EF2"/>
    <w:rsid w:val="08A160DC"/>
    <w:rsid w:val="08B36E89"/>
    <w:rsid w:val="08B408D6"/>
    <w:rsid w:val="08B66FA6"/>
    <w:rsid w:val="08BA630B"/>
    <w:rsid w:val="08CE58BC"/>
    <w:rsid w:val="08D85A9E"/>
    <w:rsid w:val="08E50B53"/>
    <w:rsid w:val="08EA0681"/>
    <w:rsid w:val="08F85B47"/>
    <w:rsid w:val="08FC0BC0"/>
    <w:rsid w:val="090D2269"/>
    <w:rsid w:val="091C32AD"/>
    <w:rsid w:val="09217249"/>
    <w:rsid w:val="092217DD"/>
    <w:rsid w:val="093A7294"/>
    <w:rsid w:val="093D39FA"/>
    <w:rsid w:val="09412D13"/>
    <w:rsid w:val="09596E65"/>
    <w:rsid w:val="096B2CC4"/>
    <w:rsid w:val="09812B49"/>
    <w:rsid w:val="09843B07"/>
    <w:rsid w:val="09BB0D18"/>
    <w:rsid w:val="09BF5BE8"/>
    <w:rsid w:val="09C3197A"/>
    <w:rsid w:val="09D409AD"/>
    <w:rsid w:val="09D57F60"/>
    <w:rsid w:val="09E46A49"/>
    <w:rsid w:val="09E74683"/>
    <w:rsid w:val="09EB0ED1"/>
    <w:rsid w:val="09F51F2B"/>
    <w:rsid w:val="09F71935"/>
    <w:rsid w:val="0A02431C"/>
    <w:rsid w:val="0A157218"/>
    <w:rsid w:val="0A1618AF"/>
    <w:rsid w:val="0A1C2993"/>
    <w:rsid w:val="0A514413"/>
    <w:rsid w:val="0A592CA8"/>
    <w:rsid w:val="0A6B21A6"/>
    <w:rsid w:val="0A6D418B"/>
    <w:rsid w:val="0A7D16B1"/>
    <w:rsid w:val="0A845894"/>
    <w:rsid w:val="0A8D16B6"/>
    <w:rsid w:val="0A905E4E"/>
    <w:rsid w:val="0A9167B1"/>
    <w:rsid w:val="0A9450C5"/>
    <w:rsid w:val="0A984BB5"/>
    <w:rsid w:val="0AA10875"/>
    <w:rsid w:val="0AA53284"/>
    <w:rsid w:val="0AB34DE9"/>
    <w:rsid w:val="0AB674DC"/>
    <w:rsid w:val="0ACC2AB1"/>
    <w:rsid w:val="0ACF12E4"/>
    <w:rsid w:val="0AD865BF"/>
    <w:rsid w:val="0AF02467"/>
    <w:rsid w:val="0AFD7DEF"/>
    <w:rsid w:val="0B01309F"/>
    <w:rsid w:val="0B2112F2"/>
    <w:rsid w:val="0B240F85"/>
    <w:rsid w:val="0B355F9C"/>
    <w:rsid w:val="0B3A6E26"/>
    <w:rsid w:val="0B410F04"/>
    <w:rsid w:val="0B434407"/>
    <w:rsid w:val="0B525F7A"/>
    <w:rsid w:val="0B5346A2"/>
    <w:rsid w:val="0B70168E"/>
    <w:rsid w:val="0B7047F9"/>
    <w:rsid w:val="0B772056"/>
    <w:rsid w:val="0B882E7B"/>
    <w:rsid w:val="0B93548B"/>
    <w:rsid w:val="0BA96403"/>
    <w:rsid w:val="0BAB0918"/>
    <w:rsid w:val="0BD27BF6"/>
    <w:rsid w:val="0BE15AD9"/>
    <w:rsid w:val="0BED4645"/>
    <w:rsid w:val="0BF46D44"/>
    <w:rsid w:val="0BF56429"/>
    <w:rsid w:val="0C0D512F"/>
    <w:rsid w:val="0C166013"/>
    <w:rsid w:val="0C184915"/>
    <w:rsid w:val="0C1E424F"/>
    <w:rsid w:val="0C201171"/>
    <w:rsid w:val="0C234D7A"/>
    <w:rsid w:val="0C246F78"/>
    <w:rsid w:val="0C256EF0"/>
    <w:rsid w:val="0C441A2C"/>
    <w:rsid w:val="0C461532"/>
    <w:rsid w:val="0C463BD6"/>
    <w:rsid w:val="0C644868"/>
    <w:rsid w:val="0C663265"/>
    <w:rsid w:val="0C6A76ED"/>
    <w:rsid w:val="0C794484"/>
    <w:rsid w:val="0C7B4653"/>
    <w:rsid w:val="0C7F7145"/>
    <w:rsid w:val="0C801DA5"/>
    <w:rsid w:val="0C8C56A3"/>
    <w:rsid w:val="0C907914"/>
    <w:rsid w:val="0C927421"/>
    <w:rsid w:val="0CA4034F"/>
    <w:rsid w:val="0CA44EFC"/>
    <w:rsid w:val="0CA81750"/>
    <w:rsid w:val="0CA92A55"/>
    <w:rsid w:val="0CAD1CDA"/>
    <w:rsid w:val="0CAE3659"/>
    <w:rsid w:val="0CAF0367"/>
    <w:rsid w:val="0CB46541"/>
    <w:rsid w:val="0CB631AA"/>
    <w:rsid w:val="0CB90119"/>
    <w:rsid w:val="0CBD2A1C"/>
    <w:rsid w:val="0CCE7F97"/>
    <w:rsid w:val="0CDB76B5"/>
    <w:rsid w:val="0CE2480D"/>
    <w:rsid w:val="0CE73BD2"/>
    <w:rsid w:val="0CF50EEF"/>
    <w:rsid w:val="0D0E40BA"/>
    <w:rsid w:val="0D277AA0"/>
    <w:rsid w:val="0D2E35AF"/>
    <w:rsid w:val="0D336832"/>
    <w:rsid w:val="0D3E1395"/>
    <w:rsid w:val="0D435B4A"/>
    <w:rsid w:val="0D48743D"/>
    <w:rsid w:val="0D4D6BD9"/>
    <w:rsid w:val="0D500C64"/>
    <w:rsid w:val="0D5D3F94"/>
    <w:rsid w:val="0D5F2E5D"/>
    <w:rsid w:val="0D68630B"/>
    <w:rsid w:val="0D696CDD"/>
    <w:rsid w:val="0D6E4423"/>
    <w:rsid w:val="0D6E5C96"/>
    <w:rsid w:val="0D706F9B"/>
    <w:rsid w:val="0D7D3DCC"/>
    <w:rsid w:val="0D803ECC"/>
    <w:rsid w:val="0D8536BD"/>
    <w:rsid w:val="0D901870"/>
    <w:rsid w:val="0D932F9A"/>
    <w:rsid w:val="0DAD236E"/>
    <w:rsid w:val="0DC7542B"/>
    <w:rsid w:val="0DCE6B40"/>
    <w:rsid w:val="0DD9510A"/>
    <w:rsid w:val="0DDA4A33"/>
    <w:rsid w:val="0DE25A22"/>
    <w:rsid w:val="0DF335A5"/>
    <w:rsid w:val="0E0B5262"/>
    <w:rsid w:val="0E110D06"/>
    <w:rsid w:val="0E1D0448"/>
    <w:rsid w:val="0E232986"/>
    <w:rsid w:val="0E355127"/>
    <w:rsid w:val="0E4949E1"/>
    <w:rsid w:val="0E6473AA"/>
    <w:rsid w:val="0E6507AC"/>
    <w:rsid w:val="0E6836B1"/>
    <w:rsid w:val="0E737AC2"/>
    <w:rsid w:val="0E7616B1"/>
    <w:rsid w:val="0E926D1E"/>
    <w:rsid w:val="0E967971"/>
    <w:rsid w:val="0E9D0906"/>
    <w:rsid w:val="0EAB4855"/>
    <w:rsid w:val="0EB2798B"/>
    <w:rsid w:val="0EBD6C3D"/>
    <w:rsid w:val="0EC42B50"/>
    <w:rsid w:val="0EE01909"/>
    <w:rsid w:val="0EE42A1E"/>
    <w:rsid w:val="0EF7718F"/>
    <w:rsid w:val="0EFD74F0"/>
    <w:rsid w:val="0F0F53C2"/>
    <w:rsid w:val="0F116E59"/>
    <w:rsid w:val="0F13775A"/>
    <w:rsid w:val="0F184182"/>
    <w:rsid w:val="0F275B89"/>
    <w:rsid w:val="0F2E6E4B"/>
    <w:rsid w:val="0F394008"/>
    <w:rsid w:val="0F3F51FE"/>
    <w:rsid w:val="0F6C03BE"/>
    <w:rsid w:val="0F771FFB"/>
    <w:rsid w:val="0F78188D"/>
    <w:rsid w:val="0F784B61"/>
    <w:rsid w:val="0F792974"/>
    <w:rsid w:val="0F7951A5"/>
    <w:rsid w:val="0F7D6A6F"/>
    <w:rsid w:val="0F8605DF"/>
    <w:rsid w:val="0F897D1A"/>
    <w:rsid w:val="0F9A112B"/>
    <w:rsid w:val="0FA1275E"/>
    <w:rsid w:val="0FB82636"/>
    <w:rsid w:val="0FB85BDB"/>
    <w:rsid w:val="0FC07764"/>
    <w:rsid w:val="0FC72972"/>
    <w:rsid w:val="0FD136DE"/>
    <w:rsid w:val="0FDA030E"/>
    <w:rsid w:val="0FE75425"/>
    <w:rsid w:val="0FEB39D9"/>
    <w:rsid w:val="0FF71E3C"/>
    <w:rsid w:val="0FF90BC3"/>
    <w:rsid w:val="0FFA1732"/>
    <w:rsid w:val="101051ED"/>
    <w:rsid w:val="10196955"/>
    <w:rsid w:val="101C310D"/>
    <w:rsid w:val="101F123F"/>
    <w:rsid w:val="101F709F"/>
    <w:rsid w:val="1029546A"/>
    <w:rsid w:val="102F7D69"/>
    <w:rsid w:val="10343507"/>
    <w:rsid w:val="103E6497"/>
    <w:rsid w:val="10480F37"/>
    <w:rsid w:val="105037D0"/>
    <w:rsid w:val="10522D24"/>
    <w:rsid w:val="10685CC4"/>
    <w:rsid w:val="106D2F64"/>
    <w:rsid w:val="107100BF"/>
    <w:rsid w:val="107C235E"/>
    <w:rsid w:val="10923340"/>
    <w:rsid w:val="10A15E4F"/>
    <w:rsid w:val="10A73DA4"/>
    <w:rsid w:val="10AC13BA"/>
    <w:rsid w:val="10B63710"/>
    <w:rsid w:val="10B669F7"/>
    <w:rsid w:val="10C83A96"/>
    <w:rsid w:val="10D37873"/>
    <w:rsid w:val="10EC4D19"/>
    <w:rsid w:val="11052878"/>
    <w:rsid w:val="1108055E"/>
    <w:rsid w:val="111C2F7A"/>
    <w:rsid w:val="112428AD"/>
    <w:rsid w:val="113013DE"/>
    <w:rsid w:val="116D6526"/>
    <w:rsid w:val="1191235E"/>
    <w:rsid w:val="11931CF1"/>
    <w:rsid w:val="11936439"/>
    <w:rsid w:val="119A3908"/>
    <w:rsid w:val="11AD63F4"/>
    <w:rsid w:val="11AE4CBE"/>
    <w:rsid w:val="11B73E73"/>
    <w:rsid w:val="11BE07DE"/>
    <w:rsid w:val="11C65566"/>
    <w:rsid w:val="11D95855"/>
    <w:rsid w:val="11E05DD9"/>
    <w:rsid w:val="11E95833"/>
    <w:rsid w:val="11EB3571"/>
    <w:rsid w:val="11ED6535"/>
    <w:rsid w:val="11EF04DF"/>
    <w:rsid w:val="11F250BC"/>
    <w:rsid w:val="11F320DD"/>
    <w:rsid w:val="11F96CE6"/>
    <w:rsid w:val="121F07DC"/>
    <w:rsid w:val="121F5BBC"/>
    <w:rsid w:val="12237432"/>
    <w:rsid w:val="122711D7"/>
    <w:rsid w:val="12291BB0"/>
    <w:rsid w:val="122B06C2"/>
    <w:rsid w:val="122D7F09"/>
    <w:rsid w:val="123E065F"/>
    <w:rsid w:val="12454871"/>
    <w:rsid w:val="12531C9B"/>
    <w:rsid w:val="12597428"/>
    <w:rsid w:val="126006AE"/>
    <w:rsid w:val="12800418"/>
    <w:rsid w:val="128736B5"/>
    <w:rsid w:val="128948E4"/>
    <w:rsid w:val="129C720C"/>
    <w:rsid w:val="12A102CE"/>
    <w:rsid w:val="12A14E8F"/>
    <w:rsid w:val="12A61726"/>
    <w:rsid w:val="12A63CA4"/>
    <w:rsid w:val="12B23440"/>
    <w:rsid w:val="12B46C9C"/>
    <w:rsid w:val="12BB600D"/>
    <w:rsid w:val="12C43371"/>
    <w:rsid w:val="12CA622D"/>
    <w:rsid w:val="12D87D45"/>
    <w:rsid w:val="12DF4BE1"/>
    <w:rsid w:val="12E56E05"/>
    <w:rsid w:val="12FD4027"/>
    <w:rsid w:val="13012CF5"/>
    <w:rsid w:val="130B4DAD"/>
    <w:rsid w:val="130B7EEE"/>
    <w:rsid w:val="13125CB0"/>
    <w:rsid w:val="13126857"/>
    <w:rsid w:val="132C43D2"/>
    <w:rsid w:val="132C5202"/>
    <w:rsid w:val="133236CD"/>
    <w:rsid w:val="13324B8D"/>
    <w:rsid w:val="13371015"/>
    <w:rsid w:val="133C549C"/>
    <w:rsid w:val="136256DC"/>
    <w:rsid w:val="136410DB"/>
    <w:rsid w:val="136E68EB"/>
    <w:rsid w:val="13775067"/>
    <w:rsid w:val="1377657B"/>
    <w:rsid w:val="137A12F7"/>
    <w:rsid w:val="137E20DF"/>
    <w:rsid w:val="1390417B"/>
    <w:rsid w:val="1393060F"/>
    <w:rsid w:val="13951726"/>
    <w:rsid w:val="13960100"/>
    <w:rsid w:val="13A22600"/>
    <w:rsid w:val="13AE71F7"/>
    <w:rsid w:val="13B82867"/>
    <w:rsid w:val="13BF1404"/>
    <w:rsid w:val="13C4667A"/>
    <w:rsid w:val="13C63B04"/>
    <w:rsid w:val="13D23411"/>
    <w:rsid w:val="13DD188A"/>
    <w:rsid w:val="13EF1C0E"/>
    <w:rsid w:val="13F10443"/>
    <w:rsid w:val="13F475C9"/>
    <w:rsid w:val="13F56AFC"/>
    <w:rsid w:val="140343F0"/>
    <w:rsid w:val="140F63B5"/>
    <w:rsid w:val="141636D8"/>
    <w:rsid w:val="142514CA"/>
    <w:rsid w:val="1425378D"/>
    <w:rsid w:val="142851FC"/>
    <w:rsid w:val="142C4DA5"/>
    <w:rsid w:val="14396509"/>
    <w:rsid w:val="1447165C"/>
    <w:rsid w:val="144731A8"/>
    <w:rsid w:val="145426E6"/>
    <w:rsid w:val="145F0645"/>
    <w:rsid w:val="145F5F30"/>
    <w:rsid w:val="145F6C27"/>
    <w:rsid w:val="146E26DC"/>
    <w:rsid w:val="147321EF"/>
    <w:rsid w:val="14777F31"/>
    <w:rsid w:val="147922F9"/>
    <w:rsid w:val="14811687"/>
    <w:rsid w:val="14887DA4"/>
    <w:rsid w:val="14927FCC"/>
    <w:rsid w:val="1494200E"/>
    <w:rsid w:val="14977CD7"/>
    <w:rsid w:val="14BB338F"/>
    <w:rsid w:val="14C554F7"/>
    <w:rsid w:val="14C90409"/>
    <w:rsid w:val="14E51FD5"/>
    <w:rsid w:val="14EF6168"/>
    <w:rsid w:val="14F055ED"/>
    <w:rsid w:val="14F2535D"/>
    <w:rsid w:val="14FF6402"/>
    <w:rsid w:val="150F3CC6"/>
    <w:rsid w:val="15127621"/>
    <w:rsid w:val="151A6159"/>
    <w:rsid w:val="151B08BC"/>
    <w:rsid w:val="151B7291"/>
    <w:rsid w:val="152817C5"/>
    <w:rsid w:val="152F4368"/>
    <w:rsid w:val="15302974"/>
    <w:rsid w:val="153455D7"/>
    <w:rsid w:val="15383FDD"/>
    <w:rsid w:val="154162AC"/>
    <w:rsid w:val="15524B87"/>
    <w:rsid w:val="156042A2"/>
    <w:rsid w:val="156222A6"/>
    <w:rsid w:val="15892AE3"/>
    <w:rsid w:val="15930D5F"/>
    <w:rsid w:val="1594066F"/>
    <w:rsid w:val="15A4110E"/>
    <w:rsid w:val="15A4365D"/>
    <w:rsid w:val="15A7464C"/>
    <w:rsid w:val="15B221D4"/>
    <w:rsid w:val="15B71A60"/>
    <w:rsid w:val="15C778FD"/>
    <w:rsid w:val="15D14E34"/>
    <w:rsid w:val="15D43E5C"/>
    <w:rsid w:val="15D644B6"/>
    <w:rsid w:val="15E436B8"/>
    <w:rsid w:val="15EF5D0A"/>
    <w:rsid w:val="160D52BA"/>
    <w:rsid w:val="16201F02"/>
    <w:rsid w:val="162D4D4B"/>
    <w:rsid w:val="16315E41"/>
    <w:rsid w:val="16511DB9"/>
    <w:rsid w:val="16597938"/>
    <w:rsid w:val="165C08BD"/>
    <w:rsid w:val="165E1841"/>
    <w:rsid w:val="16605EC3"/>
    <w:rsid w:val="166746CF"/>
    <w:rsid w:val="1682657E"/>
    <w:rsid w:val="16881768"/>
    <w:rsid w:val="169700E8"/>
    <w:rsid w:val="169F2ACC"/>
    <w:rsid w:val="16AD2263"/>
    <w:rsid w:val="16B52250"/>
    <w:rsid w:val="16BC1BDB"/>
    <w:rsid w:val="16C16063"/>
    <w:rsid w:val="16C624EA"/>
    <w:rsid w:val="16E24019"/>
    <w:rsid w:val="16EE19BB"/>
    <w:rsid w:val="16F5338F"/>
    <w:rsid w:val="170105B5"/>
    <w:rsid w:val="171A0BFF"/>
    <w:rsid w:val="171E4694"/>
    <w:rsid w:val="1721494D"/>
    <w:rsid w:val="172B7C90"/>
    <w:rsid w:val="172D42B5"/>
    <w:rsid w:val="172F7695"/>
    <w:rsid w:val="17331430"/>
    <w:rsid w:val="17345C65"/>
    <w:rsid w:val="17372FF2"/>
    <w:rsid w:val="175062B0"/>
    <w:rsid w:val="17520C0B"/>
    <w:rsid w:val="175974DB"/>
    <w:rsid w:val="175E0EF2"/>
    <w:rsid w:val="176D4508"/>
    <w:rsid w:val="17735226"/>
    <w:rsid w:val="177E695D"/>
    <w:rsid w:val="17854D53"/>
    <w:rsid w:val="178B5D9C"/>
    <w:rsid w:val="17A6228F"/>
    <w:rsid w:val="17A62E5D"/>
    <w:rsid w:val="17A87B80"/>
    <w:rsid w:val="17AC7EF2"/>
    <w:rsid w:val="17BA6DAA"/>
    <w:rsid w:val="17C53817"/>
    <w:rsid w:val="17C62994"/>
    <w:rsid w:val="17C94E84"/>
    <w:rsid w:val="17D64EBF"/>
    <w:rsid w:val="17F02CDB"/>
    <w:rsid w:val="17F87E96"/>
    <w:rsid w:val="17FA6EAF"/>
    <w:rsid w:val="17FD6E5C"/>
    <w:rsid w:val="17FD7FE9"/>
    <w:rsid w:val="18134937"/>
    <w:rsid w:val="181F1822"/>
    <w:rsid w:val="1824372C"/>
    <w:rsid w:val="182D6049"/>
    <w:rsid w:val="1830323A"/>
    <w:rsid w:val="183B252C"/>
    <w:rsid w:val="183E2B43"/>
    <w:rsid w:val="18414596"/>
    <w:rsid w:val="18427E13"/>
    <w:rsid w:val="18531C1D"/>
    <w:rsid w:val="18566448"/>
    <w:rsid w:val="18617D0D"/>
    <w:rsid w:val="186D55B6"/>
    <w:rsid w:val="188005C2"/>
    <w:rsid w:val="188337F7"/>
    <w:rsid w:val="18956C7E"/>
    <w:rsid w:val="18A12CF5"/>
    <w:rsid w:val="18A426E6"/>
    <w:rsid w:val="18A62A00"/>
    <w:rsid w:val="18C439DD"/>
    <w:rsid w:val="18C512B0"/>
    <w:rsid w:val="18D81E81"/>
    <w:rsid w:val="18DA548D"/>
    <w:rsid w:val="18E637EA"/>
    <w:rsid w:val="18EF0876"/>
    <w:rsid w:val="18FC210A"/>
    <w:rsid w:val="1901601B"/>
    <w:rsid w:val="190B0C48"/>
    <w:rsid w:val="190F3329"/>
    <w:rsid w:val="19181A3A"/>
    <w:rsid w:val="193F7D58"/>
    <w:rsid w:val="19492209"/>
    <w:rsid w:val="19651C19"/>
    <w:rsid w:val="196D2E5D"/>
    <w:rsid w:val="19737DBE"/>
    <w:rsid w:val="197C38F4"/>
    <w:rsid w:val="198C192B"/>
    <w:rsid w:val="19921521"/>
    <w:rsid w:val="19955A07"/>
    <w:rsid w:val="19AF7637"/>
    <w:rsid w:val="19BC2548"/>
    <w:rsid w:val="19BE276D"/>
    <w:rsid w:val="19C37774"/>
    <w:rsid w:val="19CA3A5C"/>
    <w:rsid w:val="19D43730"/>
    <w:rsid w:val="19DE26FD"/>
    <w:rsid w:val="19EC19B7"/>
    <w:rsid w:val="19F218C6"/>
    <w:rsid w:val="19F63627"/>
    <w:rsid w:val="19F8741E"/>
    <w:rsid w:val="19F90A68"/>
    <w:rsid w:val="19F91C20"/>
    <w:rsid w:val="19FF64B5"/>
    <w:rsid w:val="1A022124"/>
    <w:rsid w:val="1A084B70"/>
    <w:rsid w:val="1A124514"/>
    <w:rsid w:val="1A1324AA"/>
    <w:rsid w:val="1A174D53"/>
    <w:rsid w:val="1A1C66C0"/>
    <w:rsid w:val="1A1F0E4F"/>
    <w:rsid w:val="1A40602E"/>
    <w:rsid w:val="1A42393B"/>
    <w:rsid w:val="1A451613"/>
    <w:rsid w:val="1A543E18"/>
    <w:rsid w:val="1A605254"/>
    <w:rsid w:val="1A607F44"/>
    <w:rsid w:val="1A624ABF"/>
    <w:rsid w:val="1A8A3E84"/>
    <w:rsid w:val="1A974E95"/>
    <w:rsid w:val="1AA90ECC"/>
    <w:rsid w:val="1AAD78D2"/>
    <w:rsid w:val="1AD1455E"/>
    <w:rsid w:val="1AD339E7"/>
    <w:rsid w:val="1AD66488"/>
    <w:rsid w:val="1AE47A2C"/>
    <w:rsid w:val="1AEB4E12"/>
    <w:rsid w:val="1AED5DAC"/>
    <w:rsid w:val="1AF26D42"/>
    <w:rsid w:val="1AFA71C6"/>
    <w:rsid w:val="1B046F80"/>
    <w:rsid w:val="1B113131"/>
    <w:rsid w:val="1B2E1EBB"/>
    <w:rsid w:val="1B3267B5"/>
    <w:rsid w:val="1B331892"/>
    <w:rsid w:val="1B373E2A"/>
    <w:rsid w:val="1B4661CB"/>
    <w:rsid w:val="1B4D3BD8"/>
    <w:rsid w:val="1B550FC1"/>
    <w:rsid w:val="1B5F4B85"/>
    <w:rsid w:val="1B7D3E2C"/>
    <w:rsid w:val="1B8B2660"/>
    <w:rsid w:val="1B8D63D6"/>
    <w:rsid w:val="1B9A16B1"/>
    <w:rsid w:val="1BA70D89"/>
    <w:rsid w:val="1BA809D0"/>
    <w:rsid w:val="1BB03C7D"/>
    <w:rsid w:val="1BC25DC8"/>
    <w:rsid w:val="1BD143CB"/>
    <w:rsid w:val="1BD964F7"/>
    <w:rsid w:val="1C067026"/>
    <w:rsid w:val="1C075C20"/>
    <w:rsid w:val="1C0802BE"/>
    <w:rsid w:val="1C243C3B"/>
    <w:rsid w:val="1C2F447C"/>
    <w:rsid w:val="1C494B40"/>
    <w:rsid w:val="1C5132CA"/>
    <w:rsid w:val="1C5A2512"/>
    <w:rsid w:val="1C5A72BC"/>
    <w:rsid w:val="1C5E7925"/>
    <w:rsid w:val="1C6378DF"/>
    <w:rsid w:val="1C6C40F3"/>
    <w:rsid w:val="1C6C7AD5"/>
    <w:rsid w:val="1C816553"/>
    <w:rsid w:val="1C887FC8"/>
    <w:rsid w:val="1C9F0B9D"/>
    <w:rsid w:val="1CA27E58"/>
    <w:rsid w:val="1CA51C0B"/>
    <w:rsid w:val="1CA62F10"/>
    <w:rsid w:val="1CAA39D0"/>
    <w:rsid w:val="1CB50187"/>
    <w:rsid w:val="1CB97B08"/>
    <w:rsid w:val="1CCC06EE"/>
    <w:rsid w:val="1CCE1AB0"/>
    <w:rsid w:val="1CD22153"/>
    <w:rsid w:val="1CD3090A"/>
    <w:rsid w:val="1CD55FDE"/>
    <w:rsid w:val="1CDF7AF8"/>
    <w:rsid w:val="1CE7177B"/>
    <w:rsid w:val="1CEA08BC"/>
    <w:rsid w:val="1CF07C85"/>
    <w:rsid w:val="1CF65F9D"/>
    <w:rsid w:val="1CF76655"/>
    <w:rsid w:val="1CF8079E"/>
    <w:rsid w:val="1CF91695"/>
    <w:rsid w:val="1D077978"/>
    <w:rsid w:val="1D0932F2"/>
    <w:rsid w:val="1D147CC1"/>
    <w:rsid w:val="1D242EAF"/>
    <w:rsid w:val="1D266CE1"/>
    <w:rsid w:val="1D343DF2"/>
    <w:rsid w:val="1D3C6C87"/>
    <w:rsid w:val="1D446291"/>
    <w:rsid w:val="1D507C5D"/>
    <w:rsid w:val="1D5F6196"/>
    <w:rsid w:val="1D6132A5"/>
    <w:rsid w:val="1D6848BB"/>
    <w:rsid w:val="1D71005A"/>
    <w:rsid w:val="1D745404"/>
    <w:rsid w:val="1D790CEA"/>
    <w:rsid w:val="1D7D21E5"/>
    <w:rsid w:val="1D7F6708"/>
    <w:rsid w:val="1D8E56D5"/>
    <w:rsid w:val="1DA20C76"/>
    <w:rsid w:val="1DAF105F"/>
    <w:rsid w:val="1DB10E44"/>
    <w:rsid w:val="1DB13204"/>
    <w:rsid w:val="1DC42063"/>
    <w:rsid w:val="1DCA7323"/>
    <w:rsid w:val="1DCE61F5"/>
    <w:rsid w:val="1DD60FCA"/>
    <w:rsid w:val="1DDD668B"/>
    <w:rsid w:val="1DE045CA"/>
    <w:rsid w:val="1DE11DF2"/>
    <w:rsid w:val="1DE6389C"/>
    <w:rsid w:val="1DED79A4"/>
    <w:rsid w:val="1E10158D"/>
    <w:rsid w:val="1E125E95"/>
    <w:rsid w:val="1E2E1A92"/>
    <w:rsid w:val="1E3108AB"/>
    <w:rsid w:val="1E387DEB"/>
    <w:rsid w:val="1E3E5F31"/>
    <w:rsid w:val="1E42489E"/>
    <w:rsid w:val="1E48483A"/>
    <w:rsid w:val="1E49000E"/>
    <w:rsid w:val="1E691245"/>
    <w:rsid w:val="1E7159F1"/>
    <w:rsid w:val="1E72416F"/>
    <w:rsid w:val="1E786D7F"/>
    <w:rsid w:val="1E7A43DA"/>
    <w:rsid w:val="1E805283"/>
    <w:rsid w:val="1E845361"/>
    <w:rsid w:val="1E8D6F65"/>
    <w:rsid w:val="1E927E1A"/>
    <w:rsid w:val="1E976F9F"/>
    <w:rsid w:val="1EA13FCF"/>
    <w:rsid w:val="1EB277FE"/>
    <w:rsid w:val="1EB80371"/>
    <w:rsid w:val="1EC41EF0"/>
    <w:rsid w:val="1EC91389"/>
    <w:rsid w:val="1EDA0E63"/>
    <w:rsid w:val="1EE12B77"/>
    <w:rsid w:val="1EE61241"/>
    <w:rsid w:val="1EED4382"/>
    <w:rsid w:val="1EF11E6A"/>
    <w:rsid w:val="1F00217D"/>
    <w:rsid w:val="1F0811E3"/>
    <w:rsid w:val="1F094FB7"/>
    <w:rsid w:val="1F176598"/>
    <w:rsid w:val="1F1B4DE7"/>
    <w:rsid w:val="1F390CCB"/>
    <w:rsid w:val="1F3B72F9"/>
    <w:rsid w:val="1F53150C"/>
    <w:rsid w:val="1F5514F4"/>
    <w:rsid w:val="1F572E39"/>
    <w:rsid w:val="1F574BE7"/>
    <w:rsid w:val="1F5A597C"/>
    <w:rsid w:val="1F5D084C"/>
    <w:rsid w:val="1F745799"/>
    <w:rsid w:val="1F7A0B31"/>
    <w:rsid w:val="1F7D6E36"/>
    <w:rsid w:val="1F8D4ED2"/>
    <w:rsid w:val="1F9138D8"/>
    <w:rsid w:val="1F942B30"/>
    <w:rsid w:val="1F9522DE"/>
    <w:rsid w:val="1F952334"/>
    <w:rsid w:val="1F991301"/>
    <w:rsid w:val="1FA431B2"/>
    <w:rsid w:val="1FB04596"/>
    <w:rsid w:val="1FB9701B"/>
    <w:rsid w:val="1FC04427"/>
    <w:rsid w:val="1FC40DEA"/>
    <w:rsid w:val="1FC57DA2"/>
    <w:rsid w:val="1FD9754F"/>
    <w:rsid w:val="1FDC333E"/>
    <w:rsid w:val="1FE468F5"/>
    <w:rsid w:val="1FE73995"/>
    <w:rsid w:val="1FE7539E"/>
    <w:rsid w:val="1FF11C18"/>
    <w:rsid w:val="1FF46EFF"/>
    <w:rsid w:val="1FFF3F0C"/>
    <w:rsid w:val="200E2396"/>
    <w:rsid w:val="200E2CE1"/>
    <w:rsid w:val="2025476B"/>
    <w:rsid w:val="202645B9"/>
    <w:rsid w:val="20281085"/>
    <w:rsid w:val="202B09CC"/>
    <w:rsid w:val="203159E0"/>
    <w:rsid w:val="20330788"/>
    <w:rsid w:val="20462102"/>
    <w:rsid w:val="204C108C"/>
    <w:rsid w:val="204E0123"/>
    <w:rsid w:val="205513A9"/>
    <w:rsid w:val="20634094"/>
    <w:rsid w:val="206F3AFC"/>
    <w:rsid w:val="20783BD5"/>
    <w:rsid w:val="20790D26"/>
    <w:rsid w:val="207E31E5"/>
    <w:rsid w:val="20963CB8"/>
    <w:rsid w:val="20992AD5"/>
    <w:rsid w:val="209F07CA"/>
    <w:rsid w:val="20A6093D"/>
    <w:rsid w:val="20B07FB6"/>
    <w:rsid w:val="20B937F7"/>
    <w:rsid w:val="20BE47F2"/>
    <w:rsid w:val="20C242E2"/>
    <w:rsid w:val="20F46F1E"/>
    <w:rsid w:val="20FA6CF3"/>
    <w:rsid w:val="2106031A"/>
    <w:rsid w:val="21115CF6"/>
    <w:rsid w:val="2123188D"/>
    <w:rsid w:val="21274C73"/>
    <w:rsid w:val="21295932"/>
    <w:rsid w:val="21303322"/>
    <w:rsid w:val="213B74B1"/>
    <w:rsid w:val="2140368D"/>
    <w:rsid w:val="2142329E"/>
    <w:rsid w:val="215048C1"/>
    <w:rsid w:val="215A2310"/>
    <w:rsid w:val="217A145F"/>
    <w:rsid w:val="2195473A"/>
    <w:rsid w:val="219B5292"/>
    <w:rsid w:val="21A460DD"/>
    <w:rsid w:val="21AD3163"/>
    <w:rsid w:val="21B225A8"/>
    <w:rsid w:val="21B43A9E"/>
    <w:rsid w:val="21B87493"/>
    <w:rsid w:val="21C57800"/>
    <w:rsid w:val="21CA3032"/>
    <w:rsid w:val="21D62455"/>
    <w:rsid w:val="21D63B12"/>
    <w:rsid w:val="21DB7F9A"/>
    <w:rsid w:val="21DE0F1E"/>
    <w:rsid w:val="21DE318A"/>
    <w:rsid w:val="21DF0B37"/>
    <w:rsid w:val="21E54D31"/>
    <w:rsid w:val="21EF5B80"/>
    <w:rsid w:val="220C6BEE"/>
    <w:rsid w:val="220E74EF"/>
    <w:rsid w:val="22197A7E"/>
    <w:rsid w:val="22233C11"/>
    <w:rsid w:val="223566DA"/>
    <w:rsid w:val="22367D9B"/>
    <w:rsid w:val="224A0A33"/>
    <w:rsid w:val="22576990"/>
    <w:rsid w:val="22590C76"/>
    <w:rsid w:val="22643966"/>
    <w:rsid w:val="22771BE2"/>
    <w:rsid w:val="227F6554"/>
    <w:rsid w:val="22821467"/>
    <w:rsid w:val="229C47D4"/>
    <w:rsid w:val="229C4EAB"/>
    <w:rsid w:val="22AB12CC"/>
    <w:rsid w:val="22AB6FED"/>
    <w:rsid w:val="22AD074E"/>
    <w:rsid w:val="22CD2AD5"/>
    <w:rsid w:val="22D33F73"/>
    <w:rsid w:val="22EA4F83"/>
    <w:rsid w:val="23001545"/>
    <w:rsid w:val="231A0926"/>
    <w:rsid w:val="23243032"/>
    <w:rsid w:val="234C7F57"/>
    <w:rsid w:val="23524303"/>
    <w:rsid w:val="23536501"/>
    <w:rsid w:val="235D05F5"/>
    <w:rsid w:val="235D2694"/>
    <w:rsid w:val="236817F3"/>
    <w:rsid w:val="236964A7"/>
    <w:rsid w:val="236B2A0F"/>
    <w:rsid w:val="236C7C06"/>
    <w:rsid w:val="238A116C"/>
    <w:rsid w:val="23A9148E"/>
    <w:rsid w:val="23AB59CC"/>
    <w:rsid w:val="23B142B1"/>
    <w:rsid w:val="23B51EDC"/>
    <w:rsid w:val="23B607A4"/>
    <w:rsid w:val="23CC1F4F"/>
    <w:rsid w:val="23CF38CC"/>
    <w:rsid w:val="23D97A5F"/>
    <w:rsid w:val="23DC0222"/>
    <w:rsid w:val="23EE53EE"/>
    <w:rsid w:val="23F90AE8"/>
    <w:rsid w:val="24051F01"/>
    <w:rsid w:val="24107A5A"/>
    <w:rsid w:val="24120AC0"/>
    <w:rsid w:val="2425685A"/>
    <w:rsid w:val="24371785"/>
    <w:rsid w:val="2441412E"/>
    <w:rsid w:val="2450238F"/>
    <w:rsid w:val="245A3FD0"/>
    <w:rsid w:val="2460183D"/>
    <w:rsid w:val="246A6D83"/>
    <w:rsid w:val="246D6C5B"/>
    <w:rsid w:val="247B6AF2"/>
    <w:rsid w:val="247C0C4C"/>
    <w:rsid w:val="248249F5"/>
    <w:rsid w:val="248B4218"/>
    <w:rsid w:val="248D36CD"/>
    <w:rsid w:val="249678AB"/>
    <w:rsid w:val="24982A8B"/>
    <w:rsid w:val="24AB4534"/>
    <w:rsid w:val="24B27742"/>
    <w:rsid w:val="24B351C4"/>
    <w:rsid w:val="24CE24FC"/>
    <w:rsid w:val="24D25A79"/>
    <w:rsid w:val="24D64946"/>
    <w:rsid w:val="24F1088D"/>
    <w:rsid w:val="24FA224F"/>
    <w:rsid w:val="24FE1DC0"/>
    <w:rsid w:val="250273A3"/>
    <w:rsid w:val="250671CD"/>
    <w:rsid w:val="25070E5D"/>
    <w:rsid w:val="25094BEF"/>
    <w:rsid w:val="250A43C0"/>
    <w:rsid w:val="25100F51"/>
    <w:rsid w:val="252D53FE"/>
    <w:rsid w:val="25301144"/>
    <w:rsid w:val="253D70AD"/>
    <w:rsid w:val="25427858"/>
    <w:rsid w:val="25642D6B"/>
    <w:rsid w:val="2568016B"/>
    <w:rsid w:val="257162D7"/>
    <w:rsid w:val="257A162F"/>
    <w:rsid w:val="257A518B"/>
    <w:rsid w:val="25855484"/>
    <w:rsid w:val="259124D5"/>
    <w:rsid w:val="25937D6F"/>
    <w:rsid w:val="259E50F4"/>
    <w:rsid w:val="25A30350"/>
    <w:rsid w:val="25A83895"/>
    <w:rsid w:val="25A8482C"/>
    <w:rsid w:val="25AD2E01"/>
    <w:rsid w:val="25B508B9"/>
    <w:rsid w:val="25C7728B"/>
    <w:rsid w:val="25C930F4"/>
    <w:rsid w:val="25C9504B"/>
    <w:rsid w:val="25E32B2D"/>
    <w:rsid w:val="25EC2D81"/>
    <w:rsid w:val="25EF0C35"/>
    <w:rsid w:val="25F21DC1"/>
    <w:rsid w:val="25F51053"/>
    <w:rsid w:val="25F52694"/>
    <w:rsid w:val="25F74556"/>
    <w:rsid w:val="25FA2F5D"/>
    <w:rsid w:val="25FB09DE"/>
    <w:rsid w:val="26020ABE"/>
    <w:rsid w:val="26096FBC"/>
    <w:rsid w:val="260F1BFD"/>
    <w:rsid w:val="26143B06"/>
    <w:rsid w:val="26235823"/>
    <w:rsid w:val="26260CB2"/>
    <w:rsid w:val="26342CE9"/>
    <w:rsid w:val="26413EFB"/>
    <w:rsid w:val="264528BD"/>
    <w:rsid w:val="26480ADD"/>
    <w:rsid w:val="265162B0"/>
    <w:rsid w:val="26575875"/>
    <w:rsid w:val="265832F6"/>
    <w:rsid w:val="265C22FB"/>
    <w:rsid w:val="26664927"/>
    <w:rsid w:val="266F6EA8"/>
    <w:rsid w:val="267A6D2E"/>
    <w:rsid w:val="2691680D"/>
    <w:rsid w:val="2693060F"/>
    <w:rsid w:val="26943953"/>
    <w:rsid w:val="26A44F13"/>
    <w:rsid w:val="26A60E77"/>
    <w:rsid w:val="26AD0835"/>
    <w:rsid w:val="26AD7427"/>
    <w:rsid w:val="26C32B62"/>
    <w:rsid w:val="26D24EF4"/>
    <w:rsid w:val="26D71646"/>
    <w:rsid w:val="26ED73F8"/>
    <w:rsid w:val="26EF4B2F"/>
    <w:rsid w:val="26F41FB6"/>
    <w:rsid w:val="26F64CE5"/>
    <w:rsid w:val="27057E63"/>
    <w:rsid w:val="270D0281"/>
    <w:rsid w:val="27125FA8"/>
    <w:rsid w:val="27172430"/>
    <w:rsid w:val="271E423C"/>
    <w:rsid w:val="27250198"/>
    <w:rsid w:val="272C66E0"/>
    <w:rsid w:val="272E40E3"/>
    <w:rsid w:val="27395E67"/>
    <w:rsid w:val="27413274"/>
    <w:rsid w:val="27466628"/>
    <w:rsid w:val="275008C8"/>
    <w:rsid w:val="27697726"/>
    <w:rsid w:val="279012A6"/>
    <w:rsid w:val="27957082"/>
    <w:rsid w:val="2796071A"/>
    <w:rsid w:val="27A12394"/>
    <w:rsid w:val="27A5681B"/>
    <w:rsid w:val="27A70021"/>
    <w:rsid w:val="27B669C5"/>
    <w:rsid w:val="27B94543"/>
    <w:rsid w:val="27BB1274"/>
    <w:rsid w:val="27C70430"/>
    <w:rsid w:val="27D15DD1"/>
    <w:rsid w:val="27D756EA"/>
    <w:rsid w:val="27FA25B3"/>
    <w:rsid w:val="27FD44A4"/>
    <w:rsid w:val="2810625D"/>
    <w:rsid w:val="28232EDB"/>
    <w:rsid w:val="28284FF2"/>
    <w:rsid w:val="28325728"/>
    <w:rsid w:val="28352654"/>
    <w:rsid w:val="283A6C32"/>
    <w:rsid w:val="284B6FA9"/>
    <w:rsid w:val="28635FC8"/>
    <w:rsid w:val="28652491"/>
    <w:rsid w:val="286937D2"/>
    <w:rsid w:val="28752273"/>
    <w:rsid w:val="287601C4"/>
    <w:rsid w:val="288256DD"/>
    <w:rsid w:val="2887762D"/>
    <w:rsid w:val="28886E0E"/>
    <w:rsid w:val="28983825"/>
    <w:rsid w:val="28A10C81"/>
    <w:rsid w:val="28A76295"/>
    <w:rsid w:val="28A817A8"/>
    <w:rsid w:val="28B50BD7"/>
    <w:rsid w:val="28BE5CD7"/>
    <w:rsid w:val="28BF6F68"/>
    <w:rsid w:val="28DC0FA1"/>
    <w:rsid w:val="28DC615F"/>
    <w:rsid w:val="28E44124"/>
    <w:rsid w:val="28E70B50"/>
    <w:rsid w:val="28ED01F1"/>
    <w:rsid w:val="28ED2118"/>
    <w:rsid w:val="28EE36F0"/>
    <w:rsid w:val="28F51CAC"/>
    <w:rsid w:val="28FB1E71"/>
    <w:rsid w:val="28FC5481"/>
    <w:rsid w:val="2904553B"/>
    <w:rsid w:val="29156672"/>
    <w:rsid w:val="2917464B"/>
    <w:rsid w:val="291B3DFF"/>
    <w:rsid w:val="291F2805"/>
    <w:rsid w:val="29206EB8"/>
    <w:rsid w:val="292D23F1"/>
    <w:rsid w:val="293271C6"/>
    <w:rsid w:val="29452A44"/>
    <w:rsid w:val="295D00EB"/>
    <w:rsid w:val="295D388E"/>
    <w:rsid w:val="29665E61"/>
    <w:rsid w:val="29741F0F"/>
    <w:rsid w:val="297C31CF"/>
    <w:rsid w:val="29814552"/>
    <w:rsid w:val="298B758B"/>
    <w:rsid w:val="299572CD"/>
    <w:rsid w:val="29AF4708"/>
    <w:rsid w:val="29B042F2"/>
    <w:rsid w:val="29B23078"/>
    <w:rsid w:val="29BE6AEF"/>
    <w:rsid w:val="29D57F51"/>
    <w:rsid w:val="29DC6C96"/>
    <w:rsid w:val="29E325E0"/>
    <w:rsid w:val="29EA2E7A"/>
    <w:rsid w:val="29EF3C6E"/>
    <w:rsid w:val="29FA757D"/>
    <w:rsid w:val="2A0E7F0F"/>
    <w:rsid w:val="2A1F122F"/>
    <w:rsid w:val="2A234197"/>
    <w:rsid w:val="2A257690"/>
    <w:rsid w:val="2A452503"/>
    <w:rsid w:val="2A4C79F4"/>
    <w:rsid w:val="2A6E1795"/>
    <w:rsid w:val="2A7243B0"/>
    <w:rsid w:val="2A743136"/>
    <w:rsid w:val="2A7C19A5"/>
    <w:rsid w:val="2A8B66D9"/>
    <w:rsid w:val="2A910BDA"/>
    <w:rsid w:val="2A940479"/>
    <w:rsid w:val="2A9C5BA4"/>
    <w:rsid w:val="2A9F1E3B"/>
    <w:rsid w:val="2AA21C9D"/>
    <w:rsid w:val="2AC36BF6"/>
    <w:rsid w:val="2AD0179A"/>
    <w:rsid w:val="2AD57CAD"/>
    <w:rsid w:val="2AD6139F"/>
    <w:rsid w:val="2ADD2120"/>
    <w:rsid w:val="2AE4509C"/>
    <w:rsid w:val="2AE85674"/>
    <w:rsid w:val="2AF069A6"/>
    <w:rsid w:val="2AFD1D96"/>
    <w:rsid w:val="2B1406C0"/>
    <w:rsid w:val="2B2402CD"/>
    <w:rsid w:val="2B4F0F60"/>
    <w:rsid w:val="2B5651B1"/>
    <w:rsid w:val="2B620B9B"/>
    <w:rsid w:val="2B670420"/>
    <w:rsid w:val="2B6E554D"/>
    <w:rsid w:val="2B7824B0"/>
    <w:rsid w:val="2B785E5C"/>
    <w:rsid w:val="2B7A6B87"/>
    <w:rsid w:val="2B801021"/>
    <w:rsid w:val="2B8354F2"/>
    <w:rsid w:val="2B8B1FC4"/>
    <w:rsid w:val="2B971877"/>
    <w:rsid w:val="2BA41130"/>
    <w:rsid w:val="2BA936A8"/>
    <w:rsid w:val="2BAE3DE1"/>
    <w:rsid w:val="2BB46F1D"/>
    <w:rsid w:val="2BD30470"/>
    <w:rsid w:val="2BF36F78"/>
    <w:rsid w:val="2C097F32"/>
    <w:rsid w:val="2C0D1BD3"/>
    <w:rsid w:val="2C164A61"/>
    <w:rsid w:val="2C315A5A"/>
    <w:rsid w:val="2C821F5E"/>
    <w:rsid w:val="2C850598"/>
    <w:rsid w:val="2C9A7238"/>
    <w:rsid w:val="2C9C14B1"/>
    <w:rsid w:val="2C9D0BE9"/>
    <w:rsid w:val="2CA0316D"/>
    <w:rsid w:val="2CA049C5"/>
    <w:rsid w:val="2CB866DD"/>
    <w:rsid w:val="2CBA2468"/>
    <w:rsid w:val="2CBD400F"/>
    <w:rsid w:val="2CD05FD9"/>
    <w:rsid w:val="2CDC2894"/>
    <w:rsid w:val="2CDD482A"/>
    <w:rsid w:val="2CE463B3"/>
    <w:rsid w:val="2CF82C05"/>
    <w:rsid w:val="2CFB12A7"/>
    <w:rsid w:val="2CFD14DB"/>
    <w:rsid w:val="2D1660E1"/>
    <w:rsid w:val="2D1B430E"/>
    <w:rsid w:val="2D275BA3"/>
    <w:rsid w:val="2D310AC4"/>
    <w:rsid w:val="2D3C5198"/>
    <w:rsid w:val="2D626C81"/>
    <w:rsid w:val="2D7547D8"/>
    <w:rsid w:val="2D7B6D36"/>
    <w:rsid w:val="2D8B7E46"/>
    <w:rsid w:val="2D957467"/>
    <w:rsid w:val="2D9E56F5"/>
    <w:rsid w:val="2DA21F75"/>
    <w:rsid w:val="2DA30D70"/>
    <w:rsid w:val="2DB65D65"/>
    <w:rsid w:val="2DBE739B"/>
    <w:rsid w:val="2DC33823"/>
    <w:rsid w:val="2DCC1B85"/>
    <w:rsid w:val="2DDB69EC"/>
    <w:rsid w:val="2DE7275E"/>
    <w:rsid w:val="2DFD1B4E"/>
    <w:rsid w:val="2E021581"/>
    <w:rsid w:val="2E093F97"/>
    <w:rsid w:val="2E1B67F0"/>
    <w:rsid w:val="2E265AC6"/>
    <w:rsid w:val="2E334A71"/>
    <w:rsid w:val="2E3401C2"/>
    <w:rsid w:val="2E341C4B"/>
    <w:rsid w:val="2E3A0D95"/>
    <w:rsid w:val="2E4C78E1"/>
    <w:rsid w:val="2E6049A6"/>
    <w:rsid w:val="2E6220A7"/>
    <w:rsid w:val="2E667F96"/>
    <w:rsid w:val="2E716E3E"/>
    <w:rsid w:val="2E7A26A0"/>
    <w:rsid w:val="2E7F19D7"/>
    <w:rsid w:val="2E7F4A5B"/>
    <w:rsid w:val="2E7F6685"/>
    <w:rsid w:val="2E8226AB"/>
    <w:rsid w:val="2E8D612A"/>
    <w:rsid w:val="2E8E0ADF"/>
    <w:rsid w:val="2E8E1F39"/>
    <w:rsid w:val="2E94008C"/>
    <w:rsid w:val="2EB50E86"/>
    <w:rsid w:val="2EBE25B3"/>
    <w:rsid w:val="2EC25944"/>
    <w:rsid w:val="2EF07190"/>
    <w:rsid w:val="2F1021EE"/>
    <w:rsid w:val="2F31727D"/>
    <w:rsid w:val="2F465FB7"/>
    <w:rsid w:val="2F6C4D1C"/>
    <w:rsid w:val="2F75764A"/>
    <w:rsid w:val="2F832C79"/>
    <w:rsid w:val="2F870589"/>
    <w:rsid w:val="2FA07530"/>
    <w:rsid w:val="2FAE6846"/>
    <w:rsid w:val="2FBF08AB"/>
    <w:rsid w:val="2FC17A65"/>
    <w:rsid w:val="2FC254E7"/>
    <w:rsid w:val="2FE51E2D"/>
    <w:rsid w:val="2FE931A8"/>
    <w:rsid w:val="2FEB590E"/>
    <w:rsid w:val="2FEC412C"/>
    <w:rsid w:val="2FEF2D58"/>
    <w:rsid w:val="2FF92450"/>
    <w:rsid w:val="2FFA4D71"/>
    <w:rsid w:val="2FFF5099"/>
    <w:rsid w:val="30065EDF"/>
    <w:rsid w:val="300761B5"/>
    <w:rsid w:val="30191779"/>
    <w:rsid w:val="30414009"/>
    <w:rsid w:val="30533757"/>
    <w:rsid w:val="30556268"/>
    <w:rsid w:val="30580BC9"/>
    <w:rsid w:val="306109DC"/>
    <w:rsid w:val="306233EC"/>
    <w:rsid w:val="306561A6"/>
    <w:rsid w:val="30762547"/>
    <w:rsid w:val="307D0225"/>
    <w:rsid w:val="307D0A70"/>
    <w:rsid w:val="308D3CB6"/>
    <w:rsid w:val="308E362E"/>
    <w:rsid w:val="30901D07"/>
    <w:rsid w:val="30986B93"/>
    <w:rsid w:val="309A3ADC"/>
    <w:rsid w:val="309D614E"/>
    <w:rsid w:val="30B67078"/>
    <w:rsid w:val="30C10112"/>
    <w:rsid w:val="30CB6E31"/>
    <w:rsid w:val="30D862EC"/>
    <w:rsid w:val="30F32F77"/>
    <w:rsid w:val="31021174"/>
    <w:rsid w:val="310E0E7D"/>
    <w:rsid w:val="310E2F8A"/>
    <w:rsid w:val="31102C85"/>
    <w:rsid w:val="31112BFC"/>
    <w:rsid w:val="311209E4"/>
    <w:rsid w:val="31173BCD"/>
    <w:rsid w:val="311E2ED7"/>
    <w:rsid w:val="31205564"/>
    <w:rsid w:val="31231C2B"/>
    <w:rsid w:val="312C033C"/>
    <w:rsid w:val="313034EA"/>
    <w:rsid w:val="315C449C"/>
    <w:rsid w:val="3163373C"/>
    <w:rsid w:val="318E3F4C"/>
    <w:rsid w:val="31925037"/>
    <w:rsid w:val="31A17F0A"/>
    <w:rsid w:val="31A57CB7"/>
    <w:rsid w:val="31B20D48"/>
    <w:rsid w:val="31B82709"/>
    <w:rsid w:val="31B94ADA"/>
    <w:rsid w:val="31C93D96"/>
    <w:rsid w:val="31D93A5E"/>
    <w:rsid w:val="31E43AFA"/>
    <w:rsid w:val="31FC4E6F"/>
    <w:rsid w:val="320023F7"/>
    <w:rsid w:val="321118B3"/>
    <w:rsid w:val="32306DA0"/>
    <w:rsid w:val="32400B34"/>
    <w:rsid w:val="32555BCE"/>
    <w:rsid w:val="325946B1"/>
    <w:rsid w:val="32697D44"/>
    <w:rsid w:val="326D48AD"/>
    <w:rsid w:val="3273368E"/>
    <w:rsid w:val="32752D86"/>
    <w:rsid w:val="327921DC"/>
    <w:rsid w:val="327E53D9"/>
    <w:rsid w:val="328736D1"/>
    <w:rsid w:val="329B3AAB"/>
    <w:rsid w:val="329E6876"/>
    <w:rsid w:val="32AA07AD"/>
    <w:rsid w:val="32C5708C"/>
    <w:rsid w:val="32CA590A"/>
    <w:rsid w:val="32CA6AE3"/>
    <w:rsid w:val="32CB171C"/>
    <w:rsid w:val="32CD697B"/>
    <w:rsid w:val="32CF73BD"/>
    <w:rsid w:val="32D1547C"/>
    <w:rsid w:val="32D23EF0"/>
    <w:rsid w:val="32DD65B2"/>
    <w:rsid w:val="32DE5784"/>
    <w:rsid w:val="32E26A66"/>
    <w:rsid w:val="32E86094"/>
    <w:rsid w:val="32ED49E2"/>
    <w:rsid w:val="32FE389F"/>
    <w:rsid w:val="33026AB6"/>
    <w:rsid w:val="33053392"/>
    <w:rsid w:val="33062D62"/>
    <w:rsid w:val="330707C2"/>
    <w:rsid w:val="330F1D60"/>
    <w:rsid w:val="33122900"/>
    <w:rsid w:val="332116F0"/>
    <w:rsid w:val="3334290F"/>
    <w:rsid w:val="333D304D"/>
    <w:rsid w:val="333F2284"/>
    <w:rsid w:val="334915B0"/>
    <w:rsid w:val="335A63D0"/>
    <w:rsid w:val="335D0251"/>
    <w:rsid w:val="3364345F"/>
    <w:rsid w:val="3366534C"/>
    <w:rsid w:val="3377639B"/>
    <w:rsid w:val="33822A0F"/>
    <w:rsid w:val="338B4A07"/>
    <w:rsid w:val="3393072B"/>
    <w:rsid w:val="33947673"/>
    <w:rsid w:val="33957634"/>
    <w:rsid w:val="339E47A5"/>
    <w:rsid w:val="33D1020F"/>
    <w:rsid w:val="33D934D4"/>
    <w:rsid w:val="33FE2F6A"/>
    <w:rsid w:val="340300C4"/>
    <w:rsid w:val="341C738A"/>
    <w:rsid w:val="342A2472"/>
    <w:rsid w:val="343439C7"/>
    <w:rsid w:val="34527864"/>
    <w:rsid w:val="34556473"/>
    <w:rsid w:val="34594C70"/>
    <w:rsid w:val="345F75A2"/>
    <w:rsid w:val="34666505"/>
    <w:rsid w:val="346933F0"/>
    <w:rsid w:val="3481782D"/>
    <w:rsid w:val="34967D5D"/>
    <w:rsid w:val="34A5708D"/>
    <w:rsid w:val="34A64D70"/>
    <w:rsid w:val="34AD74BA"/>
    <w:rsid w:val="34BF7E98"/>
    <w:rsid w:val="34CD71AE"/>
    <w:rsid w:val="34DA5917"/>
    <w:rsid w:val="34DB1D47"/>
    <w:rsid w:val="34DB3F45"/>
    <w:rsid w:val="34DC19C6"/>
    <w:rsid w:val="34DD4DDE"/>
    <w:rsid w:val="34F3737F"/>
    <w:rsid w:val="34F54AEF"/>
    <w:rsid w:val="34F60372"/>
    <w:rsid w:val="35010FFF"/>
    <w:rsid w:val="3503280E"/>
    <w:rsid w:val="350B4A94"/>
    <w:rsid w:val="35154937"/>
    <w:rsid w:val="35374E6F"/>
    <w:rsid w:val="353D2CE5"/>
    <w:rsid w:val="35454D9B"/>
    <w:rsid w:val="355B1068"/>
    <w:rsid w:val="355C72C0"/>
    <w:rsid w:val="35640E64"/>
    <w:rsid w:val="35650626"/>
    <w:rsid w:val="356814A4"/>
    <w:rsid w:val="356B2D42"/>
    <w:rsid w:val="35717CBC"/>
    <w:rsid w:val="3585695C"/>
    <w:rsid w:val="35BA1940"/>
    <w:rsid w:val="35C36441"/>
    <w:rsid w:val="35D10FDA"/>
    <w:rsid w:val="35D26A5B"/>
    <w:rsid w:val="35D97CAC"/>
    <w:rsid w:val="35DE645A"/>
    <w:rsid w:val="35E56887"/>
    <w:rsid w:val="35E71C6E"/>
    <w:rsid w:val="35EC7605"/>
    <w:rsid w:val="35ED79AF"/>
    <w:rsid w:val="35EE5D7D"/>
    <w:rsid w:val="35FB14FF"/>
    <w:rsid w:val="35FF388B"/>
    <w:rsid w:val="36074A7F"/>
    <w:rsid w:val="360F1018"/>
    <w:rsid w:val="36122DEB"/>
    <w:rsid w:val="362C1D50"/>
    <w:rsid w:val="362E1575"/>
    <w:rsid w:val="36304F04"/>
    <w:rsid w:val="363D4937"/>
    <w:rsid w:val="364A3156"/>
    <w:rsid w:val="3665611C"/>
    <w:rsid w:val="366C33D7"/>
    <w:rsid w:val="36733DFA"/>
    <w:rsid w:val="367365E5"/>
    <w:rsid w:val="367D10F2"/>
    <w:rsid w:val="367F0193"/>
    <w:rsid w:val="368D7ECF"/>
    <w:rsid w:val="36923549"/>
    <w:rsid w:val="36A510B2"/>
    <w:rsid w:val="36AA42E2"/>
    <w:rsid w:val="36AC3612"/>
    <w:rsid w:val="36B02BC6"/>
    <w:rsid w:val="36B41764"/>
    <w:rsid w:val="36B734BB"/>
    <w:rsid w:val="36B75FBF"/>
    <w:rsid w:val="36DE4BD5"/>
    <w:rsid w:val="36EA5A89"/>
    <w:rsid w:val="36F42048"/>
    <w:rsid w:val="36FB4891"/>
    <w:rsid w:val="3706131E"/>
    <w:rsid w:val="370635D5"/>
    <w:rsid w:val="372066CC"/>
    <w:rsid w:val="375D66BB"/>
    <w:rsid w:val="3762046C"/>
    <w:rsid w:val="376F7781"/>
    <w:rsid w:val="378048D7"/>
    <w:rsid w:val="37936B94"/>
    <w:rsid w:val="379850C2"/>
    <w:rsid w:val="379B36A1"/>
    <w:rsid w:val="37A00A61"/>
    <w:rsid w:val="37B13A6E"/>
    <w:rsid w:val="37BA3186"/>
    <w:rsid w:val="37BB6F0C"/>
    <w:rsid w:val="37C70A2F"/>
    <w:rsid w:val="37D73BD3"/>
    <w:rsid w:val="37E94F31"/>
    <w:rsid w:val="37EC3586"/>
    <w:rsid w:val="37FD2868"/>
    <w:rsid w:val="37FF15EF"/>
    <w:rsid w:val="38031C83"/>
    <w:rsid w:val="3808193A"/>
    <w:rsid w:val="380D1256"/>
    <w:rsid w:val="3810463E"/>
    <w:rsid w:val="381D1745"/>
    <w:rsid w:val="381D5FC5"/>
    <w:rsid w:val="3820642E"/>
    <w:rsid w:val="38260110"/>
    <w:rsid w:val="382A5896"/>
    <w:rsid w:val="382D0E39"/>
    <w:rsid w:val="38442679"/>
    <w:rsid w:val="384D44F0"/>
    <w:rsid w:val="38515F9D"/>
    <w:rsid w:val="38585500"/>
    <w:rsid w:val="385B6485"/>
    <w:rsid w:val="386A059B"/>
    <w:rsid w:val="386E3B5C"/>
    <w:rsid w:val="386F3594"/>
    <w:rsid w:val="387A0489"/>
    <w:rsid w:val="38897ECE"/>
    <w:rsid w:val="38B102EC"/>
    <w:rsid w:val="38B65845"/>
    <w:rsid w:val="38BF02A0"/>
    <w:rsid w:val="38CB41BA"/>
    <w:rsid w:val="38E26CBE"/>
    <w:rsid w:val="38E36364"/>
    <w:rsid w:val="38E56B84"/>
    <w:rsid w:val="38EE1CC0"/>
    <w:rsid w:val="38F12CD3"/>
    <w:rsid w:val="38F94775"/>
    <w:rsid w:val="390C3DB8"/>
    <w:rsid w:val="39160DB7"/>
    <w:rsid w:val="39190A77"/>
    <w:rsid w:val="391F2E4E"/>
    <w:rsid w:val="392971ED"/>
    <w:rsid w:val="393173E2"/>
    <w:rsid w:val="39355B41"/>
    <w:rsid w:val="394519DF"/>
    <w:rsid w:val="39570EFE"/>
    <w:rsid w:val="395A5B06"/>
    <w:rsid w:val="39627BB1"/>
    <w:rsid w:val="396B1563"/>
    <w:rsid w:val="39721270"/>
    <w:rsid w:val="397F1DF3"/>
    <w:rsid w:val="398029E4"/>
    <w:rsid w:val="399C3DCD"/>
    <w:rsid w:val="39A241F9"/>
    <w:rsid w:val="39A62C24"/>
    <w:rsid w:val="39B12CEE"/>
    <w:rsid w:val="39C1344E"/>
    <w:rsid w:val="39D26F49"/>
    <w:rsid w:val="39D71B1E"/>
    <w:rsid w:val="39D81656"/>
    <w:rsid w:val="39DA2245"/>
    <w:rsid w:val="39F942B8"/>
    <w:rsid w:val="39FF111A"/>
    <w:rsid w:val="3A0540CA"/>
    <w:rsid w:val="3A0F6DD0"/>
    <w:rsid w:val="3A170D95"/>
    <w:rsid w:val="3A2927A1"/>
    <w:rsid w:val="3A2B1F68"/>
    <w:rsid w:val="3A551B4D"/>
    <w:rsid w:val="3A5E2E76"/>
    <w:rsid w:val="3A621777"/>
    <w:rsid w:val="3A692962"/>
    <w:rsid w:val="3A6B6011"/>
    <w:rsid w:val="3A7257F0"/>
    <w:rsid w:val="3A736F07"/>
    <w:rsid w:val="3A824DB6"/>
    <w:rsid w:val="3A83037C"/>
    <w:rsid w:val="3A8E3939"/>
    <w:rsid w:val="3AA2053D"/>
    <w:rsid w:val="3AD6283C"/>
    <w:rsid w:val="3AE72791"/>
    <w:rsid w:val="3AE96BE3"/>
    <w:rsid w:val="3AFE2774"/>
    <w:rsid w:val="3B0C1801"/>
    <w:rsid w:val="3B163847"/>
    <w:rsid w:val="3B163F63"/>
    <w:rsid w:val="3B1E705E"/>
    <w:rsid w:val="3B2417FB"/>
    <w:rsid w:val="3B3763D1"/>
    <w:rsid w:val="3B3B2CBA"/>
    <w:rsid w:val="3B4A7505"/>
    <w:rsid w:val="3B5E2A01"/>
    <w:rsid w:val="3B6039D4"/>
    <w:rsid w:val="3B611C94"/>
    <w:rsid w:val="3B78389E"/>
    <w:rsid w:val="3B832B76"/>
    <w:rsid w:val="3B855678"/>
    <w:rsid w:val="3B8A1344"/>
    <w:rsid w:val="3B9D357E"/>
    <w:rsid w:val="3BBB4778"/>
    <w:rsid w:val="3BC26416"/>
    <w:rsid w:val="3BC516D4"/>
    <w:rsid w:val="3BC9773D"/>
    <w:rsid w:val="3BEA4380"/>
    <w:rsid w:val="3BEE4BF3"/>
    <w:rsid w:val="3BF32371"/>
    <w:rsid w:val="3BF96496"/>
    <w:rsid w:val="3BFD20EC"/>
    <w:rsid w:val="3C0173DC"/>
    <w:rsid w:val="3C022A83"/>
    <w:rsid w:val="3C17700F"/>
    <w:rsid w:val="3C1C0729"/>
    <w:rsid w:val="3C295509"/>
    <w:rsid w:val="3C3876DA"/>
    <w:rsid w:val="3C3D7980"/>
    <w:rsid w:val="3C3F119D"/>
    <w:rsid w:val="3C48162D"/>
    <w:rsid w:val="3C61318A"/>
    <w:rsid w:val="3C631823"/>
    <w:rsid w:val="3C6F7EA2"/>
    <w:rsid w:val="3C706E90"/>
    <w:rsid w:val="3C854209"/>
    <w:rsid w:val="3C9776F3"/>
    <w:rsid w:val="3CDA245A"/>
    <w:rsid w:val="3CEE0A37"/>
    <w:rsid w:val="3D062B93"/>
    <w:rsid w:val="3D104A2C"/>
    <w:rsid w:val="3D113BB5"/>
    <w:rsid w:val="3D1B66CA"/>
    <w:rsid w:val="3D283CBC"/>
    <w:rsid w:val="3D2E476F"/>
    <w:rsid w:val="3D307C72"/>
    <w:rsid w:val="3D37507E"/>
    <w:rsid w:val="3D407ADF"/>
    <w:rsid w:val="3D423410"/>
    <w:rsid w:val="3D4C5F1D"/>
    <w:rsid w:val="3D51281E"/>
    <w:rsid w:val="3D5236AA"/>
    <w:rsid w:val="3D534D29"/>
    <w:rsid w:val="3D5403CC"/>
    <w:rsid w:val="3D5F4F3E"/>
    <w:rsid w:val="3D6D1994"/>
    <w:rsid w:val="3D891605"/>
    <w:rsid w:val="3D941C30"/>
    <w:rsid w:val="3D9C543E"/>
    <w:rsid w:val="3DAE4195"/>
    <w:rsid w:val="3DB05C42"/>
    <w:rsid w:val="3DCF64F7"/>
    <w:rsid w:val="3DD23BF8"/>
    <w:rsid w:val="3DDA1CE7"/>
    <w:rsid w:val="3DDB2309"/>
    <w:rsid w:val="3DE73B9D"/>
    <w:rsid w:val="3E0B563A"/>
    <w:rsid w:val="3E105B0A"/>
    <w:rsid w:val="3E1837CE"/>
    <w:rsid w:val="3E24676A"/>
    <w:rsid w:val="3E3A59A8"/>
    <w:rsid w:val="3E434ACD"/>
    <w:rsid w:val="3E516251"/>
    <w:rsid w:val="3E531C51"/>
    <w:rsid w:val="3E587BDC"/>
    <w:rsid w:val="3E6B5A1B"/>
    <w:rsid w:val="3E7460EA"/>
    <w:rsid w:val="3E752508"/>
    <w:rsid w:val="3E8058BE"/>
    <w:rsid w:val="3E910742"/>
    <w:rsid w:val="3E9F7300"/>
    <w:rsid w:val="3EA21544"/>
    <w:rsid w:val="3EA57313"/>
    <w:rsid w:val="3EA83839"/>
    <w:rsid w:val="3EB61AC0"/>
    <w:rsid w:val="3EBA7890"/>
    <w:rsid w:val="3EBF023E"/>
    <w:rsid w:val="3EC15781"/>
    <w:rsid w:val="3ED656D0"/>
    <w:rsid w:val="3EEC3A26"/>
    <w:rsid w:val="3EEC5274"/>
    <w:rsid w:val="3F027B6D"/>
    <w:rsid w:val="3F064506"/>
    <w:rsid w:val="3F1D5B83"/>
    <w:rsid w:val="3F2006FA"/>
    <w:rsid w:val="3F20390D"/>
    <w:rsid w:val="3F2548AA"/>
    <w:rsid w:val="3F2A75FD"/>
    <w:rsid w:val="3F2C09B1"/>
    <w:rsid w:val="3F2C4235"/>
    <w:rsid w:val="3F310B59"/>
    <w:rsid w:val="3F3A5DEE"/>
    <w:rsid w:val="3F4778FA"/>
    <w:rsid w:val="3F4924E0"/>
    <w:rsid w:val="3F4D58D8"/>
    <w:rsid w:val="3F522DEF"/>
    <w:rsid w:val="3F602105"/>
    <w:rsid w:val="3F626BB8"/>
    <w:rsid w:val="3F640B0B"/>
    <w:rsid w:val="3F660E74"/>
    <w:rsid w:val="3F7340CD"/>
    <w:rsid w:val="3F8B3F03"/>
    <w:rsid w:val="3F8D7751"/>
    <w:rsid w:val="3F971A29"/>
    <w:rsid w:val="3F9B06C8"/>
    <w:rsid w:val="3FAC0006"/>
    <w:rsid w:val="3FB36BA7"/>
    <w:rsid w:val="3FB7009D"/>
    <w:rsid w:val="3FB835F0"/>
    <w:rsid w:val="3FC45529"/>
    <w:rsid w:val="3FDD6F27"/>
    <w:rsid w:val="3FDE7A5C"/>
    <w:rsid w:val="3FEA6267"/>
    <w:rsid w:val="3FF05554"/>
    <w:rsid w:val="3FF46943"/>
    <w:rsid w:val="3FF81676"/>
    <w:rsid w:val="3FFD4115"/>
    <w:rsid w:val="3FFD6B0B"/>
    <w:rsid w:val="4007741B"/>
    <w:rsid w:val="400C4038"/>
    <w:rsid w:val="401A063A"/>
    <w:rsid w:val="401B2838"/>
    <w:rsid w:val="4021297B"/>
    <w:rsid w:val="40337EDF"/>
    <w:rsid w:val="404448BC"/>
    <w:rsid w:val="405E2028"/>
    <w:rsid w:val="40696C5F"/>
    <w:rsid w:val="4071376A"/>
    <w:rsid w:val="407A6407"/>
    <w:rsid w:val="407C47FC"/>
    <w:rsid w:val="407F173E"/>
    <w:rsid w:val="40803861"/>
    <w:rsid w:val="40834507"/>
    <w:rsid w:val="408E4D75"/>
    <w:rsid w:val="40AD562A"/>
    <w:rsid w:val="40C90EAA"/>
    <w:rsid w:val="40D8646E"/>
    <w:rsid w:val="40DE5DF9"/>
    <w:rsid w:val="40E0454D"/>
    <w:rsid w:val="40E97A0E"/>
    <w:rsid w:val="41054F50"/>
    <w:rsid w:val="410604C9"/>
    <w:rsid w:val="4109757C"/>
    <w:rsid w:val="411A7062"/>
    <w:rsid w:val="411B4ED1"/>
    <w:rsid w:val="412070D7"/>
    <w:rsid w:val="412076E6"/>
    <w:rsid w:val="41300848"/>
    <w:rsid w:val="413D7498"/>
    <w:rsid w:val="4143359F"/>
    <w:rsid w:val="41462326"/>
    <w:rsid w:val="414A1527"/>
    <w:rsid w:val="414A6965"/>
    <w:rsid w:val="414B634D"/>
    <w:rsid w:val="41642F23"/>
    <w:rsid w:val="41696408"/>
    <w:rsid w:val="41765073"/>
    <w:rsid w:val="418F3306"/>
    <w:rsid w:val="419418DC"/>
    <w:rsid w:val="41970E2B"/>
    <w:rsid w:val="41B810BD"/>
    <w:rsid w:val="41C041EE"/>
    <w:rsid w:val="41C2173F"/>
    <w:rsid w:val="41C26554"/>
    <w:rsid w:val="41C276F1"/>
    <w:rsid w:val="41E448BD"/>
    <w:rsid w:val="41E73751"/>
    <w:rsid w:val="41FC07CF"/>
    <w:rsid w:val="41FC0D3D"/>
    <w:rsid w:val="420338A0"/>
    <w:rsid w:val="42271614"/>
    <w:rsid w:val="423A3BCC"/>
    <w:rsid w:val="423D15C3"/>
    <w:rsid w:val="42407B97"/>
    <w:rsid w:val="42452FBA"/>
    <w:rsid w:val="425D30F6"/>
    <w:rsid w:val="426B640D"/>
    <w:rsid w:val="42726210"/>
    <w:rsid w:val="4281682A"/>
    <w:rsid w:val="428E3AF8"/>
    <w:rsid w:val="42A47CE4"/>
    <w:rsid w:val="42B55D3C"/>
    <w:rsid w:val="42C84A20"/>
    <w:rsid w:val="42D619BC"/>
    <w:rsid w:val="42D77239"/>
    <w:rsid w:val="42E84B3C"/>
    <w:rsid w:val="42F65EA1"/>
    <w:rsid w:val="42FA23C0"/>
    <w:rsid w:val="43014CE6"/>
    <w:rsid w:val="4302227B"/>
    <w:rsid w:val="4309548A"/>
    <w:rsid w:val="432018DE"/>
    <w:rsid w:val="43274A3A"/>
    <w:rsid w:val="43296442"/>
    <w:rsid w:val="432C1C27"/>
    <w:rsid w:val="433A6FE6"/>
    <w:rsid w:val="433F4264"/>
    <w:rsid w:val="43412E6C"/>
    <w:rsid w:val="4350713C"/>
    <w:rsid w:val="435C28CF"/>
    <w:rsid w:val="4364489E"/>
    <w:rsid w:val="436653E0"/>
    <w:rsid w:val="437521E6"/>
    <w:rsid w:val="43790FC1"/>
    <w:rsid w:val="43791444"/>
    <w:rsid w:val="4379360A"/>
    <w:rsid w:val="43816CCB"/>
    <w:rsid w:val="43841E87"/>
    <w:rsid w:val="438A4ADE"/>
    <w:rsid w:val="43911BC6"/>
    <w:rsid w:val="439E597D"/>
    <w:rsid w:val="43A85B37"/>
    <w:rsid w:val="43C348B8"/>
    <w:rsid w:val="43CA545D"/>
    <w:rsid w:val="43D5362E"/>
    <w:rsid w:val="43EE540A"/>
    <w:rsid w:val="43F2721C"/>
    <w:rsid w:val="43F74F2B"/>
    <w:rsid w:val="440C3942"/>
    <w:rsid w:val="44103433"/>
    <w:rsid w:val="4428205E"/>
    <w:rsid w:val="442C3D40"/>
    <w:rsid w:val="4438684A"/>
    <w:rsid w:val="44404312"/>
    <w:rsid w:val="44433F0D"/>
    <w:rsid w:val="444A4FF2"/>
    <w:rsid w:val="44655746"/>
    <w:rsid w:val="446F135A"/>
    <w:rsid w:val="44786980"/>
    <w:rsid w:val="447E68CC"/>
    <w:rsid w:val="44876DD0"/>
    <w:rsid w:val="448D5606"/>
    <w:rsid w:val="449021E2"/>
    <w:rsid w:val="44A61AED"/>
    <w:rsid w:val="44AB2637"/>
    <w:rsid w:val="44B4052F"/>
    <w:rsid w:val="44B56BBF"/>
    <w:rsid w:val="44C91BE7"/>
    <w:rsid w:val="44CA44E0"/>
    <w:rsid w:val="44CD14E0"/>
    <w:rsid w:val="44D5127D"/>
    <w:rsid w:val="44DD4031"/>
    <w:rsid w:val="44E24BED"/>
    <w:rsid w:val="44E63716"/>
    <w:rsid w:val="44F14A00"/>
    <w:rsid w:val="44F32A2B"/>
    <w:rsid w:val="45132D6D"/>
    <w:rsid w:val="45207696"/>
    <w:rsid w:val="452847AC"/>
    <w:rsid w:val="45376531"/>
    <w:rsid w:val="453B199E"/>
    <w:rsid w:val="453B4AA2"/>
    <w:rsid w:val="454812E4"/>
    <w:rsid w:val="455451B5"/>
    <w:rsid w:val="45651A65"/>
    <w:rsid w:val="4568626D"/>
    <w:rsid w:val="458946E9"/>
    <w:rsid w:val="458B41A2"/>
    <w:rsid w:val="45980F0B"/>
    <w:rsid w:val="459C0CF6"/>
    <w:rsid w:val="45AB7DA5"/>
    <w:rsid w:val="45AC5A5D"/>
    <w:rsid w:val="45B63DEE"/>
    <w:rsid w:val="45C31887"/>
    <w:rsid w:val="45CA500D"/>
    <w:rsid w:val="45D76E51"/>
    <w:rsid w:val="45F21411"/>
    <w:rsid w:val="45F4468E"/>
    <w:rsid w:val="45F922D9"/>
    <w:rsid w:val="45F964B7"/>
    <w:rsid w:val="46080D6C"/>
    <w:rsid w:val="460F3276"/>
    <w:rsid w:val="461A6091"/>
    <w:rsid w:val="461B7E93"/>
    <w:rsid w:val="461F455B"/>
    <w:rsid w:val="46290F70"/>
    <w:rsid w:val="46380A1F"/>
    <w:rsid w:val="463A3E1E"/>
    <w:rsid w:val="463F5721"/>
    <w:rsid w:val="465E4174"/>
    <w:rsid w:val="46637E72"/>
    <w:rsid w:val="467C702F"/>
    <w:rsid w:val="468C7CBB"/>
    <w:rsid w:val="4690085B"/>
    <w:rsid w:val="46A401F3"/>
    <w:rsid w:val="46C44BDA"/>
    <w:rsid w:val="46D955A7"/>
    <w:rsid w:val="46E65D99"/>
    <w:rsid w:val="46F302A2"/>
    <w:rsid w:val="46FE5E92"/>
    <w:rsid w:val="47133957"/>
    <w:rsid w:val="473906E7"/>
    <w:rsid w:val="47457D7D"/>
    <w:rsid w:val="474D4629"/>
    <w:rsid w:val="47652830"/>
    <w:rsid w:val="476E7DAC"/>
    <w:rsid w:val="4779329E"/>
    <w:rsid w:val="47824462"/>
    <w:rsid w:val="478C5D6E"/>
    <w:rsid w:val="479E1BC2"/>
    <w:rsid w:val="47A07E0C"/>
    <w:rsid w:val="47A173F5"/>
    <w:rsid w:val="47B32226"/>
    <w:rsid w:val="47B50EA3"/>
    <w:rsid w:val="47BA57F5"/>
    <w:rsid w:val="47BB36EC"/>
    <w:rsid w:val="47C25FF8"/>
    <w:rsid w:val="47C27A64"/>
    <w:rsid w:val="47C772FA"/>
    <w:rsid w:val="47CE75E3"/>
    <w:rsid w:val="47FB07A5"/>
    <w:rsid w:val="48052ACF"/>
    <w:rsid w:val="481146D4"/>
    <w:rsid w:val="481728B6"/>
    <w:rsid w:val="48183F68"/>
    <w:rsid w:val="48380DEC"/>
    <w:rsid w:val="486401D4"/>
    <w:rsid w:val="48675C89"/>
    <w:rsid w:val="4870272E"/>
    <w:rsid w:val="48786E75"/>
    <w:rsid w:val="487C1FF8"/>
    <w:rsid w:val="48971FC7"/>
    <w:rsid w:val="489B34E7"/>
    <w:rsid w:val="489D4D44"/>
    <w:rsid w:val="48A010BC"/>
    <w:rsid w:val="48A41BCF"/>
    <w:rsid w:val="48A6789B"/>
    <w:rsid w:val="48B018B2"/>
    <w:rsid w:val="48BF71D5"/>
    <w:rsid w:val="48CF34A3"/>
    <w:rsid w:val="48D125FF"/>
    <w:rsid w:val="48D80297"/>
    <w:rsid w:val="48D84B2B"/>
    <w:rsid w:val="48D85031"/>
    <w:rsid w:val="48DC1118"/>
    <w:rsid w:val="48ED7C82"/>
    <w:rsid w:val="48F64054"/>
    <w:rsid w:val="48F906C8"/>
    <w:rsid w:val="48FF75D2"/>
    <w:rsid w:val="4903431E"/>
    <w:rsid w:val="49050613"/>
    <w:rsid w:val="491D544D"/>
    <w:rsid w:val="491F3DD6"/>
    <w:rsid w:val="49302DA0"/>
    <w:rsid w:val="496D22C5"/>
    <w:rsid w:val="499C7F9C"/>
    <w:rsid w:val="499D48AD"/>
    <w:rsid w:val="49A54CDE"/>
    <w:rsid w:val="49AB59AC"/>
    <w:rsid w:val="49B77EAC"/>
    <w:rsid w:val="49C86C79"/>
    <w:rsid w:val="49DC7715"/>
    <w:rsid w:val="49FC056B"/>
    <w:rsid w:val="4A007BF5"/>
    <w:rsid w:val="4A0230F9"/>
    <w:rsid w:val="4A023139"/>
    <w:rsid w:val="4A125911"/>
    <w:rsid w:val="4A145578"/>
    <w:rsid w:val="4A1873CB"/>
    <w:rsid w:val="4A203CA4"/>
    <w:rsid w:val="4A2E1DCC"/>
    <w:rsid w:val="4A304FA8"/>
    <w:rsid w:val="4A3239D7"/>
    <w:rsid w:val="4A3600D0"/>
    <w:rsid w:val="4A4F4857"/>
    <w:rsid w:val="4A5D275B"/>
    <w:rsid w:val="4A63711E"/>
    <w:rsid w:val="4A693CCB"/>
    <w:rsid w:val="4A6E4EEA"/>
    <w:rsid w:val="4A7170A2"/>
    <w:rsid w:val="4A7B537E"/>
    <w:rsid w:val="4A7B576F"/>
    <w:rsid w:val="4A9A1CA8"/>
    <w:rsid w:val="4A9C055C"/>
    <w:rsid w:val="4A9C5875"/>
    <w:rsid w:val="4A9D46FE"/>
    <w:rsid w:val="4AAD3591"/>
    <w:rsid w:val="4AAD7C0A"/>
    <w:rsid w:val="4AB30D1E"/>
    <w:rsid w:val="4AB47E04"/>
    <w:rsid w:val="4ABD162D"/>
    <w:rsid w:val="4ACF6FC9"/>
    <w:rsid w:val="4AD6729E"/>
    <w:rsid w:val="4AD93E52"/>
    <w:rsid w:val="4ADB7BCB"/>
    <w:rsid w:val="4AF16714"/>
    <w:rsid w:val="4AFD2DB3"/>
    <w:rsid w:val="4AFF0692"/>
    <w:rsid w:val="4AFF47E8"/>
    <w:rsid w:val="4B0709C0"/>
    <w:rsid w:val="4B071B6F"/>
    <w:rsid w:val="4B0D472D"/>
    <w:rsid w:val="4B105834"/>
    <w:rsid w:val="4B1506DA"/>
    <w:rsid w:val="4B2B3E60"/>
    <w:rsid w:val="4B402C57"/>
    <w:rsid w:val="4B501DBF"/>
    <w:rsid w:val="4B677B2F"/>
    <w:rsid w:val="4B6C7CE5"/>
    <w:rsid w:val="4B704918"/>
    <w:rsid w:val="4B842010"/>
    <w:rsid w:val="4B8A1D1C"/>
    <w:rsid w:val="4B8C0A01"/>
    <w:rsid w:val="4B9A5577"/>
    <w:rsid w:val="4B9C1A50"/>
    <w:rsid w:val="4B9E1324"/>
    <w:rsid w:val="4BA97CC9"/>
    <w:rsid w:val="4BB260DE"/>
    <w:rsid w:val="4BBA024C"/>
    <w:rsid w:val="4BCC39E9"/>
    <w:rsid w:val="4BD37C07"/>
    <w:rsid w:val="4BD415AF"/>
    <w:rsid w:val="4BDB53AB"/>
    <w:rsid w:val="4BDE1CA0"/>
    <w:rsid w:val="4BE81F71"/>
    <w:rsid w:val="4BF23C29"/>
    <w:rsid w:val="4BF4132A"/>
    <w:rsid w:val="4C30370D"/>
    <w:rsid w:val="4C3258BB"/>
    <w:rsid w:val="4C3D77C5"/>
    <w:rsid w:val="4C4A0649"/>
    <w:rsid w:val="4C4B05D3"/>
    <w:rsid w:val="4C553BFC"/>
    <w:rsid w:val="4C5B7DD5"/>
    <w:rsid w:val="4C684E3A"/>
    <w:rsid w:val="4C6870EB"/>
    <w:rsid w:val="4C742B83"/>
    <w:rsid w:val="4C7B3413"/>
    <w:rsid w:val="4C881B9E"/>
    <w:rsid w:val="4C8F0D57"/>
    <w:rsid w:val="4CA75967"/>
    <w:rsid w:val="4CAC0AD9"/>
    <w:rsid w:val="4CB45EE5"/>
    <w:rsid w:val="4CB571EA"/>
    <w:rsid w:val="4CC52826"/>
    <w:rsid w:val="4CC53C01"/>
    <w:rsid w:val="4CC83EEC"/>
    <w:rsid w:val="4CCA7EF7"/>
    <w:rsid w:val="4CDB6C4C"/>
    <w:rsid w:val="4CDC2F1E"/>
    <w:rsid w:val="4CE17CAE"/>
    <w:rsid w:val="4CE470D3"/>
    <w:rsid w:val="4CE52F83"/>
    <w:rsid w:val="4CE5498D"/>
    <w:rsid w:val="4CE813CC"/>
    <w:rsid w:val="4CF259CA"/>
    <w:rsid w:val="4CF621D2"/>
    <w:rsid w:val="4CFB481F"/>
    <w:rsid w:val="4CFF390C"/>
    <w:rsid w:val="4D090380"/>
    <w:rsid w:val="4D0D3097"/>
    <w:rsid w:val="4D132CCE"/>
    <w:rsid w:val="4D147203"/>
    <w:rsid w:val="4D3015B6"/>
    <w:rsid w:val="4D447D52"/>
    <w:rsid w:val="4D544798"/>
    <w:rsid w:val="4D6F76C0"/>
    <w:rsid w:val="4D7C5DE7"/>
    <w:rsid w:val="4D841DAB"/>
    <w:rsid w:val="4D8D5BC8"/>
    <w:rsid w:val="4D8F45EB"/>
    <w:rsid w:val="4D971A9B"/>
    <w:rsid w:val="4D982B64"/>
    <w:rsid w:val="4DA1334D"/>
    <w:rsid w:val="4DA22C22"/>
    <w:rsid w:val="4DAE2F7F"/>
    <w:rsid w:val="4DB12905"/>
    <w:rsid w:val="4DB3672A"/>
    <w:rsid w:val="4DB72290"/>
    <w:rsid w:val="4DBE1B32"/>
    <w:rsid w:val="4DBF4E07"/>
    <w:rsid w:val="4DDF3DEF"/>
    <w:rsid w:val="4DE9034F"/>
    <w:rsid w:val="4DEC4FB0"/>
    <w:rsid w:val="4DF11B85"/>
    <w:rsid w:val="4DF655F8"/>
    <w:rsid w:val="4DF763FE"/>
    <w:rsid w:val="4E0430D2"/>
    <w:rsid w:val="4E075D8A"/>
    <w:rsid w:val="4E102281"/>
    <w:rsid w:val="4E1C1D71"/>
    <w:rsid w:val="4E1F4272"/>
    <w:rsid w:val="4E314EF9"/>
    <w:rsid w:val="4E34765B"/>
    <w:rsid w:val="4E391564"/>
    <w:rsid w:val="4E457FBD"/>
    <w:rsid w:val="4E5E4D9B"/>
    <w:rsid w:val="4E766C72"/>
    <w:rsid w:val="4E767A44"/>
    <w:rsid w:val="4E7A3ED2"/>
    <w:rsid w:val="4E7A454C"/>
    <w:rsid w:val="4E832C5D"/>
    <w:rsid w:val="4EAF33C7"/>
    <w:rsid w:val="4EC015B1"/>
    <w:rsid w:val="4EC34276"/>
    <w:rsid w:val="4EDB43B0"/>
    <w:rsid w:val="4EDD5F89"/>
    <w:rsid w:val="4EE55999"/>
    <w:rsid w:val="4EEE2210"/>
    <w:rsid w:val="4EF07A0E"/>
    <w:rsid w:val="4EFB6DE2"/>
    <w:rsid w:val="4F031F31"/>
    <w:rsid w:val="4F09691A"/>
    <w:rsid w:val="4F0A6CD0"/>
    <w:rsid w:val="4F145D24"/>
    <w:rsid w:val="4F1D75D8"/>
    <w:rsid w:val="4F2C30EB"/>
    <w:rsid w:val="4F376DC8"/>
    <w:rsid w:val="4F423EC6"/>
    <w:rsid w:val="4F4E7DA7"/>
    <w:rsid w:val="4F585958"/>
    <w:rsid w:val="4F594AEB"/>
    <w:rsid w:val="4F6665FD"/>
    <w:rsid w:val="4F986F22"/>
    <w:rsid w:val="4F9B7C78"/>
    <w:rsid w:val="4FA252B3"/>
    <w:rsid w:val="4FB96F9A"/>
    <w:rsid w:val="4FC62A8C"/>
    <w:rsid w:val="4FCF74F9"/>
    <w:rsid w:val="4FE20F0D"/>
    <w:rsid w:val="4FFC24CA"/>
    <w:rsid w:val="5008564D"/>
    <w:rsid w:val="500C1EF4"/>
    <w:rsid w:val="500F09FF"/>
    <w:rsid w:val="50157D2A"/>
    <w:rsid w:val="501A1A7A"/>
    <w:rsid w:val="502832B0"/>
    <w:rsid w:val="502B4EC9"/>
    <w:rsid w:val="502C2FCF"/>
    <w:rsid w:val="503E2F33"/>
    <w:rsid w:val="5044780A"/>
    <w:rsid w:val="504E31CD"/>
    <w:rsid w:val="50504C4B"/>
    <w:rsid w:val="505066D1"/>
    <w:rsid w:val="5061544B"/>
    <w:rsid w:val="50684A1C"/>
    <w:rsid w:val="506B4CFC"/>
    <w:rsid w:val="506F2564"/>
    <w:rsid w:val="507458F5"/>
    <w:rsid w:val="50915ECD"/>
    <w:rsid w:val="509A7659"/>
    <w:rsid w:val="509B4F0B"/>
    <w:rsid w:val="509C6E7C"/>
    <w:rsid w:val="50A92A8E"/>
    <w:rsid w:val="50BC4185"/>
    <w:rsid w:val="50C3182D"/>
    <w:rsid w:val="50C40068"/>
    <w:rsid w:val="50C86018"/>
    <w:rsid w:val="50E0418D"/>
    <w:rsid w:val="50E325F7"/>
    <w:rsid w:val="50EE107F"/>
    <w:rsid w:val="50F9524E"/>
    <w:rsid w:val="50FB2D75"/>
    <w:rsid w:val="510E2870"/>
    <w:rsid w:val="511C421F"/>
    <w:rsid w:val="511C5A7C"/>
    <w:rsid w:val="513E028F"/>
    <w:rsid w:val="51564757"/>
    <w:rsid w:val="515B6D7F"/>
    <w:rsid w:val="515F09DE"/>
    <w:rsid w:val="5162104E"/>
    <w:rsid w:val="516D1524"/>
    <w:rsid w:val="51794D28"/>
    <w:rsid w:val="518002D4"/>
    <w:rsid w:val="51877A52"/>
    <w:rsid w:val="51B55619"/>
    <w:rsid w:val="51BD46A9"/>
    <w:rsid w:val="51BF4278"/>
    <w:rsid w:val="51C05B41"/>
    <w:rsid w:val="51C74FB8"/>
    <w:rsid w:val="51D610EC"/>
    <w:rsid w:val="51DF67D1"/>
    <w:rsid w:val="51F77929"/>
    <w:rsid w:val="51FF791C"/>
    <w:rsid w:val="520665BA"/>
    <w:rsid w:val="520C7CAB"/>
    <w:rsid w:val="521A5658"/>
    <w:rsid w:val="521A722A"/>
    <w:rsid w:val="521C54D3"/>
    <w:rsid w:val="5224454D"/>
    <w:rsid w:val="52245352"/>
    <w:rsid w:val="523A167B"/>
    <w:rsid w:val="524155BB"/>
    <w:rsid w:val="52475700"/>
    <w:rsid w:val="524B3013"/>
    <w:rsid w:val="524C7093"/>
    <w:rsid w:val="525302C1"/>
    <w:rsid w:val="52545EA1"/>
    <w:rsid w:val="525A0210"/>
    <w:rsid w:val="525F7C9A"/>
    <w:rsid w:val="526C032E"/>
    <w:rsid w:val="526F28A9"/>
    <w:rsid w:val="528C228E"/>
    <w:rsid w:val="528D1C81"/>
    <w:rsid w:val="52925986"/>
    <w:rsid w:val="529E1C09"/>
    <w:rsid w:val="52A158B7"/>
    <w:rsid w:val="52AA68B0"/>
    <w:rsid w:val="52AB07CA"/>
    <w:rsid w:val="52B04F36"/>
    <w:rsid w:val="52C4745A"/>
    <w:rsid w:val="52F10B4A"/>
    <w:rsid w:val="530868DE"/>
    <w:rsid w:val="531B1F2F"/>
    <w:rsid w:val="531B4789"/>
    <w:rsid w:val="531F6B85"/>
    <w:rsid w:val="532867E6"/>
    <w:rsid w:val="532927DE"/>
    <w:rsid w:val="53340FEF"/>
    <w:rsid w:val="53370692"/>
    <w:rsid w:val="533F6DA3"/>
    <w:rsid w:val="534A18B1"/>
    <w:rsid w:val="534F5D39"/>
    <w:rsid w:val="535B2479"/>
    <w:rsid w:val="53772781"/>
    <w:rsid w:val="537B0358"/>
    <w:rsid w:val="538232D9"/>
    <w:rsid w:val="53887198"/>
    <w:rsid w:val="539A6E11"/>
    <w:rsid w:val="53A039CC"/>
    <w:rsid w:val="53A1505A"/>
    <w:rsid w:val="53A876CC"/>
    <w:rsid w:val="53A91DBD"/>
    <w:rsid w:val="53AC0356"/>
    <w:rsid w:val="53BC5622"/>
    <w:rsid w:val="53BD5507"/>
    <w:rsid w:val="53CE790C"/>
    <w:rsid w:val="53F448EF"/>
    <w:rsid w:val="53F54ADB"/>
    <w:rsid w:val="53F62897"/>
    <w:rsid w:val="53FF492A"/>
    <w:rsid w:val="540530CA"/>
    <w:rsid w:val="54063E08"/>
    <w:rsid w:val="54087666"/>
    <w:rsid w:val="54192CA4"/>
    <w:rsid w:val="54222C83"/>
    <w:rsid w:val="54246E44"/>
    <w:rsid w:val="54297BF9"/>
    <w:rsid w:val="542A2224"/>
    <w:rsid w:val="542C6B5D"/>
    <w:rsid w:val="543437E8"/>
    <w:rsid w:val="5440376B"/>
    <w:rsid w:val="54422A68"/>
    <w:rsid w:val="5443314E"/>
    <w:rsid w:val="54525A88"/>
    <w:rsid w:val="5456436D"/>
    <w:rsid w:val="545E1779"/>
    <w:rsid w:val="54682AB8"/>
    <w:rsid w:val="547318AB"/>
    <w:rsid w:val="547E7652"/>
    <w:rsid w:val="547F3934"/>
    <w:rsid w:val="54B929BD"/>
    <w:rsid w:val="54C42E60"/>
    <w:rsid w:val="54D7053E"/>
    <w:rsid w:val="54DF0B0E"/>
    <w:rsid w:val="54E838DC"/>
    <w:rsid w:val="54F20DAE"/>
    <w:rsid w:val="54F70673"/>
    <w:rsid w:val="54F84E31"/>
    <w:rsid w:val="54FA3343"/>
    <w:rsid w:val="54FD5B26"/>
    <w:rsid w:val="552C30CC"/>
    <w:rsid w:val="552D5CB0"/>
    <w:rsid w:val="55376EDE"/>
    <w:rsid w:val="553D1527"/>
    <w:rsid w:val="554B00FD"/>
    <w:rsid w:val="5555648E"/>
    <w:rsid w:val="5559300B"/>
    <w:rsid w:val="556A48BF"/>
    <w:rsid w:val="556F5290"/>
    <w:rsid w:val="55961185"/>
    <w:rsid w:val="559710BA"/>
    <w:rsid w:val="55983D58"/>
    <w:rsid w:val="559B174B"/>
    <w:rsid w:val="55A412A6"/>
    <w:rsid w:val="55A83666"/>
    <w:rsid w:val="55B76E23"/>
    <w:rsid w:val="55C62DB3"/>
    <w:rsid w:val="55CA5E3D"/>
    <w:rsid w:val="55CE0CF4"/>
    <w:rsid w:val="55D16D69"/>
    <w:rsid w:val="55D714D5"/>
    <w:rsid w:val="55E524FA"/>
    <w:rsid w:val="560A18A0"/>
    <w:rsid w:val="561D2F5B"/>
    <w:rsid w:val="562E6354"/>
    <w:rsid w:val="562E7748"/>
    <w:rsid w:val="563238A4"/>
    <w:rsid w:val="563D113F"/>
    <w:rsid w:val="5643426F"/>
    <w:rsid w:val="564D638E"/>
    <w:rsid w:val="565621D0"/>
    <w:rsid w:val="565E5E23"/>
    <w:rsid w:val="566E1159"/>
    <w:rsid w:val="566F30E3"/>
    <w:rsid w:val="567B6271"/>
    <w:rsid w:val="568026F8"/>
    <w:rsid w:val="569179EB"/>
    <w:rsid w:val="56B22A9C"/>
    <w:rsid w:val="56B26813"/>
    <w:rsid w:val="56C65468"/>
    <w:rsid w:val="56CD4911"/>
    <w:rsid w:val="56E3499B"/>
    <w:rsid w:val="56E41B62"/>
    <w:rsid w:val="56EE2758"/>
    <w:rsid w:val="56EE6C26"/>
    <w:rsid w:val="56F23931"/>
    <w:rsid w:val="56F46FB6"/>
    <w:rsid w:val="56F96B3F"/>
    <w:rsid w:val="56FB4461"/>
    <w:rsid w:val="5707421B"/>
    <w:rsid w:val="570C5CDB"/>
    <w:rsid w:val="57101FE7"/>
    <w:rsid w:val="57235785"/>
    <w:rsid w:val="57287DAF"/>
    <w:rsid w:val="572C2811"/>
    <w:rsid w:val="5735500B"/>
    <w:rsid w:val="573D54A8"/>
    <w:rsid w:val="574E2F4F"/>
    <w:rsid w:val="57516BEB"/>
    <w:rsid w:val="5757097D"/>
    <w:rsid w:val="576B6016"/>
    <w:rsid w:val="5771430B"/>
    <w:rsid w:val="577479A3"/>
    <w:rsid w:val="5777740D"/>
    <w:rsid w:val="57883AAE"/>
    <w:rsid w:val="578A062C"/>
    <w:rsid w:val="579569BD"/>
    <w:rsid w:val="579E70F6"/>
    <w:rsid w:val="57A46FD8"/>
    <w:rsid w:val="57A859DE"/>
    <w:rsid w:val="57B1418D"/>
    <w:rsid w:val="57B72A76"/>
    <w:rsid w:val="57BA3945"/>
    <w:rsid w:val="57D92C0D"/>
    <w:rsid w:val="57E72F44"/>
    <w:rsid w:val="57E75E01"/>
    <w:rsid w:val="57F22048"/>
    <w:rsid w:val="58013A44"/>
    <w:rsid w:val="580441D9"/>
    <w:rsid w:val="58051B08"/>
    <w:rsid w:val="580738AF"/>
    <w:rsid w:val="58154E36"/>
    <w:rsid w:val="582E3649"/>
    <w:rsid w:val="582F2E44"/>
    <w:rsid w:val="584E7C2E"/>
    <w:rsid w:val="58566D76"/>
    <w:rsid w:val="585A3283"/>
    <w:rsid w:val="585A5481"/>
    <w:rsid w:val="587A7F35"/>
    <w:rsid w:val="587B7A7A"/>
    <w:rsid w:val="58800458"/>
    <w:rsid w:val="58A16C58"/>
    <w:rsid w:val="58B1269F"/>
    <w:rsid w:val="58B948C2"/>
    <w:rsid w:val="58C57EEC"/>
    <w:rsid w:val="58D21C48"/>
    <w:rsid w:val="58D263C5"/>
    <w:rsid w:val="58E31EE2"/>
    <w:rsid w:val="58E42460"/>
    <w:rsid w:val="58F011F8"/>
    <w:rsid w:val="59055C82"/>
    <w:rsid w:val="590B741D"/>
    <w:rsid w:val="590E74E4"/>
    <w:rsid w:val="591526E5"/>
    <w:rsid w:val="591A203C"/>
    <w:rsid w:val="59226F57"/>
    <w:rsid w:val="592417D7"/>
    <w:rsid w:val="593F0F77"/>
    <w:rsid w:val="59464DA9"/>
    <w:rsid w:val="594C028D"/>
    <w:rsid w:val="595C5ED8"/>
    <w:rsid w:val="596204D2"/>
    <w:rsid w:val="597936DB"/>
    <w:rsid w:val="597B0EF6"/>
    <w:rsid w:val="597F52D2"/>
    <w:rsid w:val="59803066"/>
    <w:rsid w:val="598B6E78"/>
    <w:rsid w:val="5999038C"/>
    <w:rsid w:val="59A173E3"/>
    <w:rsid w:val="59A93F65"/>
    <w:rsid w:val="59BE5807"/>
    <w:rsid w:val="59C13ACF"/>
    <w:rsid w:val="59D06D12"/>
    <w:rsid w:val="59FA1ED0"/>
    <w:rsid w:val="59FA2820"/>
    <w:rsid w:val="5A0C1411"/>
    <w:rsid w:val="5A0E2CD0"/>
    <w:rsid w:val="5A2302F0"/>
    <w:rsid w:val="5A29743D"/>
    <w:rsid w:val="5A2B56FD"/>
    <w:rsid w:val="5A305E34"/>
    <w:rsid w:val="5A3C747D"/>
    <w:rsid w:val="5A3D7F5A"/>
    <w:rsid w:val="5A432DA3"/>
    <w:rsid w:val="5A463D28"/>
    <w:rsid w:val="5A467938"/>
    <w:rsid w:val="5A4702C0"/>
    <w:rsid w:val="5A5752C7"/>
    <w:rsid w:val="5A587B11"/>
    <w:rsid w:val="5A682E84"/>
    <w:rsid w:val="5A847B2F"/>
    <w:rsid w:val="5A976093"/>
    <w:rsid w:val="5AA374F7"/>
    <w:rsid w:val="5AB752E1"/>
    <w:rsid w:val="5ABC2F3A"/>
    <w:rsid w:val="5ABE2233"/>
    <w:rsid w:val="5ABE5CA0"/>
    <w:rsid w:val="5AD75815"/>
    <w:rsid w:val="5AEF673F"/>
    <w:rsid w:val="5AF336CE"/>
    <w:rsid w:val="5AFA22EF"/>
    <w:rsid w:val="5AFD6B6D"/>
    <w:rsid w:val="5B204D10"/>
    <w:rsid w:val="5B276D18"/>
    <w:rsid w:val="5B4858FF"/>
    <w:rsid w:val="5B633E84"/>
    <w:rsid w:val="5B6A2A1F"/>
    <w:rsid w:val="5B6D6E57"/>
    <w:rsid w:val="5B7D5EE0"/>
    <w:rsid w:val="5B8B6E5E"/>
    <w:rsid w:val="5B914A01"/>
    <w:rsid w:val="5B9D3C8A"/>
    <w:rsid w:val="5BA5225B"/>
    <w:rsid w:val="5BAC18B2"/>
    <w:rsid w:val="5BBA5A95"/>
    <w:rsid w:val="5BC15511"/>
    <w:rsid w:val="5BCB73A7"/>
    <w:rsid w:val="5BCE7A03"/>
    <w:rsid w:val="5BDF5D95"/>
    <w:rsid w:val="5BE302D1"/>
    <w:rsid w:val="5BE659D3"/>
    <w:rsid w:val="5BE972C3"/>
    <w:rsid w:val="5BEA026C"/>
    <w:rsid w:val="5BEF690A"/>
    <w:rsid w:val="5BF57A15"/>
    <w:rsid w:val="5C0979AB"/>
    <w:rsid w:val="5C10300A"/>
    <w:rsid w:val="5C2019ED"/>
    <w:rsid w:val="5C2D73B6"/>
    <w:rsid w:val="5C4415EF"/>
    <w:rsid w:val="5C4B28FD"/>
    <w:rsid w:val="5C4C367E"/>
    <w:rsid w:val="5C623F9F"/>
    <w:rsid w:val="5C82647A"/>
    <w:rsid w:val="5C9B0F01"/>
    <w:rsid w:val="5CAE7D61"/>
    <w:rsid w:val="5CB0061F"/>
    <w:rsid w:val="5CB00B41"/>
    <w:rsid w:val="5CB23E22"/>
    <w:rsid w:val="5CB54DA6"/>
    <w:rsid w:val="5CBC4731"/>
    <w:rsid w:val="5CCF11D3"/>
    <w:rsid w:val="5CE3427C"/>
    <w:rsid w:val="5CE64102"/>
    <w:rsid w:val="5CF5392A"/>
    <w:rsid w:val="5CF91DE1"/>
    <w:rsid w:val="5CFF24D9"/>
    <w:rsid w:val="5D021747"/>
    <w:rsid w:val="5D0F697D"/>
    <w:rsid w:val="5D2B6790"/>
    <w:rsid w:val="5D300FDB"/>
    <w:rsid w:val="5D36078E"/>
    <w:rsid w:val="5D364D82"/>
    <w:rsid w:val="5D3C6BEF"/>
    <w:rsid w:val="5D4E3CA0"/>
    <w:rsid w:val="5D544EF2"/>
    <w:rsid w:val="5D5E1D3C"/>
    <w:rsid w:val="5D5F57F3"/>
    <w:rsid w:val="5D6842B2"/>
    <w:rsid w:val="5D783425"/>
    <w:rsid w:val="5D7A358E"/>
    <w:rsid w:val="5D821D20"/>
    <w:rsid w:val="5D8C66B1"/>
    <w:rsid w:val="5D8E0C2D"/>
    <w:rsid w:val="5D9A0EA4"/>
    <w:rsid w:val="5D9B1BA1"/>
    <w:rsid w:val="5DA57479"/>
    <w:rsid w:val="5DA62130"/>
    <w:rsid w:val="5DB624D2"/>
    <w:rsid w:val="5DBE0AAA"/>
    <w:rsid w:val="5DC360B5"/>
    <w:rsid w:val="5DE56D3E"/>
    <w:rsid w:val="5DE637F3"/>
    <w:rsid w:val="5DEB784E"/>
    <w:rsid w:val="5DF47CB1"/>
    <w:rsid w:val="5DF75201"/>
    <w:rsid w:val="5DF87A0F"/>
    <w:rsid w:val="5DFA4820"/>
    <w:rsid w:val="5DFB6DCB"/>
    <w:rsid w:val="5E01507E"/>
    <w:rsid w:val="5E070FAB"/>
    <w:rsid w:val="5E0A03D8"/>
    <w:rsid w:val="5E1501E6"/>
    <w:rsid w:val="5E221AE4"/>
    <w:rsid w:val="5E243579"/>
    <w:rsid w:val="5E26301D"/>
    <w:rsid w:val="5E29270A"/>
    <w:rsid w:val="5E2D799E"/>
    <w:rsid w:val="5E345D31"/>
    <w:rsid w:val="5E38195C"/>
    <w:rsid w:val="5E47267B"/>
    <w:rsid w:val="5E4D3CE4"/>
    <w:rsid w:val="5E5B3634"/>
    <w:rsid w:val="5E5E5AAC"/>
    <w:rsid w:val="5E5E6758"/>
    <w:rsid w:val="5E613E7A"/>
    <w:rsid w:val="5E885FA6"/>
    <w:rsid w:val="5E990FD6"/>
    <w:rsid w:val="5EA629B2"/>
    <w:rsid w:val="5EB11138"/>
    <w:rsid w:val="5EC44B06"/>
    <w:rsid w:val="5ECA6A10"/>
    <w:rsid w:val="5ECC293A"/>
    <w:rsid w:val="5ED20E00"/>
    <w:rsid w:val="5ED617AD"/>
    <w:rsid w:val="5EDF68A4"/>
    <w:rsid w:val="5EE734BD"/>
    <w:rsid w:val="5EE82919"/>
    <w:rsid w:val="5EF46F48"/>
    <w:rsid w:val="5EFF6126"/>
    <w:rsid w:val="5F1A2B43"/>
    <w:rsid w:val="5F381638"/>
    <w:rsid w:val="5F3B5A4A"/>
    <w:rsid w:val="5F3F4450"/>
    <w:rsid w:val="5F494D5F"/>
    <w:rsid w:val="5F4D6FE9"/>
    <w:rsid w:val="5F602A98"/>
    <w:rsid w:val="5F645480"/>
    <w:rsid w:val="5F6C206C"/>
    <w:rsid w:val="5F6D049E"/>
    <w:rsid w:val="5F70268E"/>
    <w:rsid w:val="5F7A39FE"/>
    <w:rsid w:val="5F983BE5"/>
    <w:rsid w:val="5FB837BB"/>
    <w:rsid w:val="5FB86698"/>
    <w:rsid w:val="5FCE083C"/>
    <w:rsid w:val="5FD75DF0"/>
    <w:rsid w:val="5FDC0F4C"/>
    <w:rsid w:val="5FDD7B11"/>
    <w:rsid w:val="5FEC7DEC"/>
    <w:rsid w:val="5FED10F1"/>
    <w:rsid w:val="60252BAF"/>
    <w:rsid w:val="60280252"/>
    <w:rsid w:val="602C4768"/>
    <w:rsid w:val="603E3F4E"/>
    <w:rsid w:val="604307FB"/>
    <w:rsid w:val="60485E4B"/>
    <w:rsid w:val="60570FD2"/>
    <w:rsid w:val="605A0420"/>
    <w:rsid w:val="605C13A4"/>
    <w:rsid w:val="605D6E26"/>
    <w:rsid w:val="606C7D6C"/>
    <w:rsid w:val="606F645C"/>
    <w:rsid w:val="607246D5"/>
    <w:rsid w:val="60765797"/>
    <w:rsid w:val="607C38DF"/>
    <w:rsid w:val="60B168B0"/>
    <w:rsid w:val="60CA62C0"/>
    <w:rsid w:val="60D32DC9"/>
    <w:rsid w:val="60D74B8B"/>
    <w:rsid w:val="60E179B0"/>
    <w:rsid w:val="60E767D5"/>
    <w:rsid w:val="60EA174A"/>
    <w:rsid w:val="60EC00EA"/>
    <w:rsid w:val="60F33A68"/>
    <w:rsid w:val="610C1548"/>
    <w:rsid w:val="61140B53"/>
    <w:rsid w:val="611655A6"/>
    <w:rsid w:val="612B4A0F"/>
    <w:rsid w:val="612B56A3"/>
    <w:rsid w:val="613507E3"/>
    <w:rsid w:val="613A27A9"/>
    <w:rsid w:val="61565986"/>
    <w:rsid w:val="6167623A"/>
    <w:rsid w:val="61697A1E"/>
    <w:rsid w:val="616E7586"/>
    <w:rsid w:val="617443F0"/>
    <w:rsid w:val="61751E71"/>
    <w:rsid w:val="617C174D"/>
    <w:rsid w:val="617D2049"/>
    <w:rsid w:val="61806C3A"/>
    <w:rsid w:val="61824FF8"/>
    <w:rsid w:val="618A1E17"/>
    <w:rsid w:val="618E553F"/>
    <w:rsid w:val="61983F07"/>
    <w:rsid w:val="619F2F87"/>
    <w:rsid w:val="619F7D53"/>
    <w:rsid w:val="61A62640"/>
    <w:rsid w:val="61A813C7"/>
    <w:rsid w:val="61AB7E06"/>
    <w:rsid w:val="61B374F8"/>
    <w:rsid w:val="61B66B5D"/>
    <w:rsid w:val="61B73BDF"/>
    <w:rsid w:val="61DD7F92"/>
    <w:rsid w:val="61DE18A1"/>
    <w:rsid w:val="61DF37DA"/>
    <w:rsid w:val="61E44F1F"/>
    <w:rsid w:val="61E77F91"/>
    <w:rsid w:val="61FA20CA"/>
    <w:rsid w:val="61FB0A41"/>
    <w:rsid w:val="620A6E33"/>
    <w:rsid w:val="620D6B6D"/>
    <w:rsid w:val="62364782"/>
    <w:rsid w:val="62367D31"/>
    <w:rsid w:val="62413FFA"/>
    <w:rsid w:val="624F58B3"/>
    <w:rsid w:val="6251055B"/>
    <w:rsid w:val="625E5251"/>
    <w:rsid w:val="62622BB9"/>
    <w:rsid w:val="627961EF"/>
    <w:rsid w:val="627D6E20"/>
    <w:rsid w:val="628704B9"/>
    <w:rsid w:val="629E2BD8"/>
    <w:rsid w:val="62AE2E73"/>
    <w:rsid w:val="62BD0DC1"/>
    <w:rsid w:val="62C42A78"/>
    <w:rsid w:val="62D1212E"/>
    <w:rsid w:val="62D80B9A"/>
    <w:rsid w:val="62DE5BC0"/>
    <w:rsid w:val="62DF47B4"/>
    <w:rsid w:val="62E4334D"/>
    <w:rsid w:val="62EA0E9B"/>
    <w:rsid w:val="62EC651B"/>
    <w:rsid w:val="62F12662"/>
    <w:rsid w:val="63122959"/>
    <w:rsid w:val="63181EA6"/>
    <w:rsid w:val="632153B0"/>
    <w:rsid w:val="6339684D"/>
    <w:rsid w:val="6344355A"/>
    <w:rsid w:val="63490AF3"/>
    <w:rsid w:val="63512746"/>
    <w:rsid w:val="63584057"/>
    <w:rsid w:val="635E31AD"/>
    <w:rsid w:val="635F3637"/>
    <w:rsid w:val="63601F13"/>
    <w:rsid w:val="63732C3E"/>
    <w:rsid w:val="637732DE"/>
    <w:rsid w:val="637A526D"/>
    <w:rsid w:val="637C5F97"/>
    <w:rsid w:val="63822E81"/>
    <w:rsid w:val="6383398E"/>
    <w:rsid w:val="63841BD1"/>
    <w:rsid w:val="638F59E4"/>
    <w:rsid w:val="639C2195"/>
    <w:rsid w:val="639D4CF9"/>
    <w:rsid w:val="63A95610"/>
    <w:rsid w:val="63B24C9F"/>
    <w:rsid w:val="63C106E0"/>
    <w:rsid w:val="63C13D51"/>
    <w:rsid w:val="63C8213F"/>
    <w:rsid w:val="63CD009E"/>
    <w:rsid w:val="63CD484F"/>
    <w:rsid w:val="63D40BE9"/>
    <w:rsid w:val="63D556A7"/>
    <w:rsid w:val="63E0211F"/>
    <w:rsid w:val="63ED76B4"/>
    <w:rsid w:val="64001E96"/>
    <w:rsid w:val="64002820"/>
    <w:rsid w:val="641206A9"/>
    <w:rsid w:val="641A0800"/>
    <w:rsid w:val="641C2189"/>
    <w:rsid w:val="642052D3"/>
    <w:rsid w:val="642F7AEC"/>
    <w:rsid w:val="643D0D2B"/>
    <w:rsid w:val="643E0C1A"/>
    <w:rsid w:val="64425F26"/>
    <w:rsid w:val="644570DB"/>
    <w:rsid w:val="645544A8"/>
    <w:rsid w:val="645B4BAB"/>
    <w:rsid w:val="646737F3"/>
    <w:rsid w:val="647A3461"/>
    <w:rsid w:val="647E786B"/>
    <w:rsid w:val="649C7DB9"/>
    <w:rsid w:val="64A04E30"/>
    <w:rsid w:val="64A358AC"/>
    <w:rsid w:val="64B41760"/>
    <w:rsid w:val="64C64337"/>
    <w:rsid w:val="64C9597D"/>
    <w:rsid w:val="64DB0A9B"/>
    <w:rsid w:val="64EC0FB4"/>
    <w:rsid w:val="651346D9"/>
    <w:rsid w:val="652749EC"/>
    <w:rsid w:val="65333E96"/>
    <w:rsid w:val="65373578"/>
    <w:rsid w:val="6555757B"/>
    <w:rsid w:val="65651F9E"/>
    <w:rsid w:val="65752381"/>
    <w:rsid w:val="657C1D0C"/>
    <w:rsid w:val="657E68F1"/>
    <w:rsid w:val="65827499"/>
    <w:rsid w:val="6588578A"/>
    <w:rsid w:val="658C1FA6"/>
    <w:rsid w:val="65933563"/>
    <w:rsid w:val="65A048C7"/>
    <w:rsid w:val="65A43B93"/>
    <w:rsid w:val="65B01973"/>
    <w:rsid w:val="65B221E6"/>
    <w:rsid w:val="65B6666E"/>
    <w:rsid w:val="65BC08CD"/>
    <w:rsid w:val="65C149FF"/>
    <w:rsid w:val="65C23009"/>
    <w:rsid w:val="65CB4F91"/>
    <w:rsid w:val="65D30EC0"/>
    <w:rsid w:val="65E049B3"/>
    <w:rsid w:val="66075173"/>
    <w:rsid w:val="660F30F2"/>
    <w:rsid w:val="6612673F"/>
    <w:rsid w:val="66154481"/>
    <w:rsid w:val="66171B8A"/>
    <w:rsid w:val="661F4B5C"/>
    <w:rsid w:val="66217686"/>
    <w:rsid w:val="6622460F"/>
    <w:rsid w:val="662F5697"/>
    <w:rsid w:val="66377F53"/>
    <w:rsid w:val="66381DAD"/>
    <w:rsid w:val="664A24C2"/>
    <w:rsid w:val="66552ACF"/>
    <w:rsid w:val="66736A21"/>
    <w:rsid w:val="667A63AC"/>
    <w:rsid w:val="667B2536"/>
    <w:rsid w:val="66850003"/>
    <w:rsid w:val="66B30845"/>
    <w:rsid w:val="66B3780A"/>
    <w:rsid w:val="66C723DA"/>
    <w:rsid w:val="66D2150F"/>
    <w:rsid w:val="66DB0A9B"/>
    <w:rsid w:val="66EA5766"/>
    <w:rsid w:val="66EF35CE"/>
    <w:rsid w:val="66F37E01"/>
    <w:rsid w:val="66F44096"/>
    <w:rsid w:val="66FD119D"/>
    <w:rsid w:val="670126AD"/>
    <w:rsid w:val="67041B93"/>
    <w:rsid w:val="670F4F8D"/>
    <w:rsid w:val="67310418"/>
    <w:rsid w:val="673F2C7A"/>
    <w:rsid w:val="673F3699"/>
    <w:rsid w:val="67410373"/>
    <w:rsid w:val="6747227C"/>
    <w:rsid w:val="674A6A84"/>
    <w:rsid w:val="675A4EE1"/>
    <w:rsid w:val="675B1D51"/>
    <w:rsid w:val="67761682"/>
    <w:rsid w:val="677A0FF5"/>
    <w:rsid w:val="67973300"/>
    <w:rsid w:val="67976DA5"/>
    <w:rsid w:val="679848BC"/>
    <w:rsid w:val="679F3F90"/>
    <w:rsid w:val="67B331D4"/>
    <w:rsid w:val="67BB4A46"/>
    <w:rsid w:val="67BF1822"/>
    <w:rsid w:val="67C144CE"/>
    <w:rsid w:val="67E50E81"/>
    <w:rsid w:val="68121A65"/>
    <w:rsid w:val="68136B43"/>
    <w:rsid w:val="68153BCE"/>
    <w:rsid w:val="681C6807"/>
    <w:rsid w:val="681F6961"/>
    <w:rsid w:val="682E737A"/>
    <w:rsid w:val="683D2B94"/>
    <w:rsid w:val="683F3A37"/>
    <w:rsid w:val="6852376A"/>
    <w:rsid w:val="685A261F"/>
    <w:rsid w:val="68610A2F"/>
    <w:rsid w:val="68623CCE"/>
    <w:rsid w:val="686E7AE0"/>
    <w:rsid w:val="687D6A20"/>
    <w:rsid w:val="68805514"/>
    <w:rsid w:val="68867D35"/>
    <w:rsid w:val="6887325D"/>
    <w:rsid w:val="6890463C"/>
    <w:rsid w:val="68982ED4"/>
    <w:rsid w:val="68A512BF"/>
    <w:rsid w:val="68A66D41"/>
    <w:rsid w:val="68A857C7"/>
    <w:rsid w:val="68B43ADD"/>
    <w:rsid w:val="68B6616A"/>
    <w:rsid w:val="68BC0EE4"/>
    <w:rsid w:val="68BE43E7"/>
    <w:rsid w:val="68C0317B"/>
    <w:rsid w:val="68EA072F"/>
    <w:rsid w:val="691B43CA"/>
    <w:rsid w:val="692A5C95"/>
    <w:rsid w:val="69314D7D"/>
    <w:rsid w:val="69401815"/>
    <w:rsid w:val="6942776F"/>
    <w:rsid w:val="694942CC"/>
    <w:rsid w:val="6949654A"/>
    <w:rsid w:val="694975F1"/>
    <w:rsid w:val="694E2071"/>
    <w:rsid w:val="695D57D3"/>
    <w:rsid w:val="696A0A4C"/>
    <w:rsid w:val="69796CD5"/>
    <w:rsid w:val="697A3B33"/>
    <w:rsid w:val="697C48C3"/>
    <w:rsid w:val="698718B2"/>
    <w:rsid w:val="698D3D80"/>
    <w:rsid w:val="699121C1"/>
    <w:rsid w:val="69927C43"/>
    <w:rsid w:val="699E2456"/>
    <w:rsid w:val="699E2CBC"/>
    <w:rsid w:val="699F6F59"/>
    <w:rsid w:val="69A1513A"/>
    <w:rsid w:val="69A70AE2"/>
    <w:rsid w:val="69B31D48"/>
    <w:rsid w:val="69B56ABB"/>
    <w:rsid w:val="69C84A26"/>
    <w:rsid w:val="69CA3620"/>
    <w:rsid w:val="69D248C5"/>
    <w:rsid w:val="69D770B2"/>
    <w:rsid w:val="69D863B0"/>
    <w:rsid w:val="69D925B6"/>
    <w:rsid w:val="69F7667E"/>
    <w:rsid w:val="6A1A3E14"/>
    <w:rsid w:val="6A2528CF"/>
    <w:rsid w:val="6A2A4627"/>
    <w:rsid w:val="6A3803D1"/>
    <w:rsid w:val="6A3B4B3E"/>
    <w:rsid w:val="6A435FF0"/>
    <w:rsid w:val="6A452F6A"/>
    <w:rsid w:val="6A547D01"/>
    <w:rsid w:val="6A5F5CCB"/>
    <w:rsid w:val="6A655A1D"/>
    <w:rsid w:val="6A6D488B"/>
    <w:rsid w:val="6A70182F"/>
    <w:rsid w:val="6A7259FE"/>
    <w:rsid w:val="6A7F65C7"/>
    <w:rsid w:val="6A990D41"/>
    <w:rsid w:val="6ABA4840"/>
    <w:rsid w:val="6AC65D4A"/>
    <w:rsid w:val="6AC928E3"/>
    <w:rsid w:val="6ACA55ED"/>
    <w:rsid w:val="6ADE12E5"/>
    <w:rsid w:val="6AE12DE8"/>
    <w:rsid w:val="6AEF20FE"/>
    <w:rsid w:val="6AF07B7F"/>
    <w:rsid w:val="6AF1543B"/>
    <w:rsid w:val="6AFB5C2F"/>
    <w:rsid w:val="6AFB73A3"/>
    <w:rsid w:val="6B092642"/>
    <w:rsid w:val="6B0B1AA5"/>
    <w:rsid w:val="6B0E1A2A"/>
    <w:rsid w:val="6B120F8F"/>
    <w:rsid w:val="6B161FBD"/>
    <w:rsid w:val="6B184C6B"/>
    <w:rsid w:val="6B1E0BDA"/>
    <w:rsid w:val="6B224DF8"/>
    <w:rsid w:val="6B27722C"/>
    <w:rsid w:val="6B322639"/>
    <w:rsid w:val="6B376EE4"/>
    <w:rsid w:val="6B437609"/>
    <w:rsid w:val="6B4A24D7"/>
    <w:rsid w:val="6B570828"/>
    <w:rsid w:val="6B5C405B"/>
    <w:rsid w:val="6B647B3E"/>
    <w:rsid w:val="6B692727"/>
    <w:rsid w:val="6B6D29CC"/>
    <w:rsid w:val="6B7E584A"/>
    <w:rsid w:val="6B8105AF"/>
    <w:rsid w:val="6B8277AA"/>
    <w:rsid w:val="6B8642FD"/>
    <w:rsid w:val="6B8A554C"/>
    <w:rsid w:val="6B9E32EE"/>
    <w:rsid w:val="6BA4382D"/>
    <w:rsid w:val="6BAD3A98"/>
    <w:rsid w:val="6BB41DE0"/>
    <w:rsid w:val="6BB55C1E"/>
    <w:rsid w:val="6BD20172"/>
    <w:rsid w:val="6BE74894"/>
    <w:rsid w:val="6BFB1A23"/>
    <w:rsid w:val="6C08064C"/>
    <w:rsid w:val="6C084DC9"/>
    <w:rsid w:val="6C0C794E"/>
    <w:rsid w:val="6C124BF1"/>
    <w:rsid w:val="6C1808E6"/>
    <w:rsid w:val="6C236C77"/>
    <w:rsid w:val="6C282465"/>
    <w:rsid w:val="6C347FCB"/>
    <w:rsid w:val="6C3D25C6"/>
    <w:rsid w:val="6C3E64BE"/>
    <w:rsid w:val="6C422B1D"/>
    <w:rsid w:val="6C4433CA"/>
    <w:rsid w:val="6C462C93"/>
    <w:rsid w:val="6C4C203A"/>
    <w:rsid w:val="6C4E0DC0"/>
    <w:rsid w:val="6C511B27"/>
    <w:rsid w:val="6C636C38"/>
    <w:rsid w:val="6C68176A"/>
    <w:rsid w:val="6C6D188C"/>
    <w:rsid w:val="6C784183"/>
    <w:rsid w:val="6C7D622B"/>
    <w:rsid w:val="6C7E3B0E"/>
    <w:rsid w:val="6C8D27F5"/>
    <w:rsid w:val="6C8E0AE9"/>
    <w:rsid w:val="6C90649D"/>
    <w:rsid w:val="6C9B7178"/>
    <w:rsid w:val="6CA616DB"/>
    <w:rsid w:val="6CAA180F"/>
    <w:rsid w:val="6CB06CB1"/>
    <w:rsid w:val="6CB46566"/>
    <w:rsid w:val="6CBF5146"/>
    <w:rsid w:val="6CD50C99"/>
    <w:rsid w:val="6CDF30F3"/>
    <w:rsid w:val="6CEA0063"/>
    <w:rsid w:val="6CED1BC3"/>
    <w:rsid w:val="6CFD2A6A"/>
    <w:rsid w:val="6D182723"/>
    <w:rsid w:val="6D211934"/>
    <w:rsid w:val="6D2154B9"/>
    <w:rsid w:val="6D2D712A"/>
    <w:rsid w:val="6D4827C6"/>
    <w:rsid w:val="6D572428"/>
    <w:rsid w:val="6D5B21F7"/>
    <w:rsid w:val="6D6079A2"/>
    <w:rsid w:val="6D7D056F"/>
    <w:rsid w:val="6D7D1AC1"/>
    <w:rsid w:val="6D803F34"/>
    <w:rsid w:val="6D8730D7"/>
    <w:rsid w:val="6D9234BA"/>
    <w:rsid w:val="6DA84CA9"/>
    <w:rsid w:val="6DB34098"/>
    <w:rsid w:val="6DB545B6"/>
    <w:rsid w:val="6DC62E31"/>
    <w:rsid w:val="6DC7554C"/>
    <w:rsid w:val="6DCF07E2"/>
    <w:rsid w:val="6DD95F03"/>
    <w:rsid w:val="6DE8737D"/>
    <w:rsid w:val="6DFA1B33"/>
    <w:rsid w:val="6DFB623A"/>
    <w:rsid w:val="6E004CC6"/>
    <w:rsid w:val="6E0D36D4"/>
    <w:rsid w:val="6E1119D2"/>
    <w:rsid w:val="6E1C4834"/>
    <w:rsid w:val="6E2A0234"/>
    <w:rsid w:val="6E2C1870"/>
    <w:rsid w:val="6E323894"/>
    <w:rsid w:val="6E372E5F"/>
    <w:rsid w:val="6E4375A0"/>
    <w:rsid w:val="6E514CED"/>
    <w:rsid w:val="6E594340"/>
    <w:rsid w:val="6E5A5127"/>
    <w:rsid w:val="6E5F1D09"/>
    <w:rsid w:val="6E6D6E82"/>
    <w:rsid w:val="6E79491A"/>
    <w:rsid w:val="6E7D763F"/>
    <w:rsid w:val="6E8339BF"/>
    <w:rsid w:val="6EAE0FCF"/>
    <w:rsid w:val="6EAE3E8F"/>
    <w:rsid w:val="6EB105AA"/>
    <w:rsid w:val="6EB563D5"/>
    <w:rsid w:val="6EBC0B3A"/>
    <w:rsid w:val="6EBD65BB"/>
    <w:rsid w:val="6EC86534"/>
    <w:rsid w:val="6ECC3352"/>
    <w:rsid w:val="6ED821DA"/>
    <w:rsid w:val="6EFA655B"/>
    <w:rsid w:val="6F05784A"/>
    <w:rsid w:val="6F0671CF"/>
    <w:rsid w:val="6F0B39FB"/>
    <w:rsid w:val="6F225983"/>
    <w:rsid w:val="6F322653"/>
    <w:rsid w:val="6F3A6A4E"/>
    <w:rsid w:val="6F4013C8"/>
    <w:rsid w:val="6F467459"/>
    <w:rsid w:val="6F47199B"/>
    <w:rsid w:val="6F4A4153"/>
    <w:rsid w:val="6F6531F0"/>
    <w:rsid w:val="6F69625A"/>
    <w:rsid w:val="6F742218"/>
    <w:rsid w:val="6F926290"/>
    <w:rsid w:val="6F990153"/>
    <w:rsid w:val="6F9F60C4"/>
    <w:rsid w:val="6FA04C93"/>
    <w:rsid w:val="6FAE2A7D"/>
    <w:rsid w:val="6FAE5D2A"/>
    <w:rsid w:val="6FAF758C"/>
    <w:rsid w:val="6FB645D5"/>
    <w:rsid w:val="6FC37BE4"/>
    <w:rsid w:val="6FC41D71"/>
    <w:rsid w:val="6FDB3A32"/>
    <w:rsid w:val="6FDC40C0"/>
    <w:rsid w:val="6FE80510"/>
    <w:rsid w:val="6FEE3F19"/>
    <w:rsid w:val="6FF269B8"/>
    <w:rsid w:val="6FFC5590"/>
    <w:rsid w:val="6FFD3FBC"/>
    <w:rsid w:val="70010ABD"/>
    <w:rsid w:val="700C1543"/>
    <w:rsid w:val="7026221D"/>
    <w:rsid w:val="702932C7"/>
    <w:rsid w:val="70301DA3"/>
    <w:rsid w:val="7038285B"/>
    <w:rsid w:val="703C7A00"/>
    <w:rsid w:val="70431C3A"/>
    <w:rsid w:val="704B5349"/>
    <w:rsid w:val="705D49CE"/>
    <w:rsid w:val="706015DE"/>
    <w:rsid w:val="70666005"/>
    <w:rsid w:val="706731CF"/>
    <w:rsid w:val="706D1DD0"/>
    <w:rsid w:val="706F4794"/>
    <w:rsid w:val="707B21AC"/>
    <w:rsid w:val="70856B87"/>
    <w:rsid w:val="709134BD"/>
    <w:rsid w:val="7099261B"/>
    <w:rsid w:val="70992649"/>
    <w:rsid w:val="709F3565"/>
    <w:rsid w:val="70A94DC2"/>
    <w:rsid w:val="70AD0367"/>
    <w:rsid w:val="70B950FC"/>
    <w:rsid w:val="70D527EE"/>
    <w:rsid w:val="70DA5631"/>
    <w:rsid w:val="70FD48EC"/>
    <w:rsid w:val="7105331B"/>
    <w:rsid w:val="712612F0"/>
    <w:rsid w:val="71377D8C"/>
    <w:rsid w:val="714368A6"/>
    <w:rsid w:val="7148395C"/>
    <w:rsid w:val="714A24C7"/>
    <w:rsid w:val="714F68F5"/>
    <w:rsid w:val="715200BE"/>
    <w:rsid w:val="715B5300"/>
    <w:rsid w:val="715F4BD7"/>
    <w:rsid w:val="71680EC8"/>
    <w:rsid w:val="716B07A3"/>
    <w:rsid w:val="71716AFC"/>
    <w:rsid w:val="717D06BD"/>
    <w:rsid w:val="71802656"/>
    <w:rsid w:val="718538E9"/>
    <w:rsid w:val="71856ACC"/>
    <w:rsid w:val="71864485"/>
    <w:rsid w:val="719253D4"/>
    <w:rsid w:val="719A244C"/>
    <w:rsid w:val="71CE68C4"/>
    <w:rsid w:val="71D04977"/>
    <w:rsid w:val="71D27F8A"/>
    <w:rsid w:val="71D523D1"/>
    <w:rsid w:val="71DE0FEC"/>
    <w:rsid w:val="71F744C6"/>
    <w:rsid w:val="71F960CF"/>
    <w:rsid w:val="72025FF1"/>
    <w:rsid w:val="721B3607"/>
    <w:rsid w:val="72385A56"/>
    <w:rsid w:val="725B22AA"/>
    <w:rsid w:val="72694A33"/>
    <w:rsid w:val="726C5EE6"/>
    <w:rsid w:val="72752E54"/>
    <w:rsid w:val="72755F49"/>
    <w:rsid w:val="72783DCD"/>
    <w:rsid w:val="727A7B45"/>
    <w:rsid w:val="728564EA"/>
    <w:rsid w:val="7288759D"/>
    <w:rsid w:val="728C5F82"/>
    <w:rsid w:val="72901500"/>
    <w:rsid w:val="72AA56FD"/>
    <w:rsid w:val="72AB3280"/>
    <w:rsid w:val="72B77140"/>
    <w:rsid w:val="73020EF4"/>
    <w:rsid w:val="7306263C"/>
    <w:rsid w:val="730B7AD4"/>
    <w:rsid w:val="731F06ED"/>
    <w:rsid w:val="731F5D5E"/>
    <w:rsid w:val="73320420"/>
    <w:rsid w:val="7334797F"/>
    <w:rsid w:val="733A2456"/>
    <w:rsid w:val="733E17AF"/>
    <w:rsid w:val="733F3BA1"/>
    <w:rsid w:val="734C3123"/>
    <w:rsid w:val="735C549D"/>
    <w:rsid w:val="736D244E"/>
    <w:rsid w:val="7371408B"/>
    <w:rsid w:val="73924331"/>
    <w:rsid w:val="73992FB6"/>
    <w:rsid w:val="739A70B1"/>
    <w:rsid w:val="73A65007"/>
    <w:rsid w:val="73B17871"/>
    <w:rsid w:val="73B27233"/>
    <w:rsid w:val="73CE218C"/>
    <w:rsid w:val="73D946DA"/>
    <w:rsid w:val="73E64760"/>
    <w:rsid w:val="73EE003C"/>
    <w:rsid w:val="73F41D7E"/>
    <w:rsid w:val="74031DBD"/>
    <w:rsid w:val="741E793C"/>
    <w:rsid w:val="742410DF"/>
    <w:rsid w:val="742D5A28"/>
    <w:rsid w:val="74585B3D"/>
    <w:rsid w:val="74590478"/>
    <w:rsid w:val="746876BB"/>
    <w:rsid w:val="746C5BB4"/>
    <w:rsid w:val="747247FB"/>
    <w:rsid w:val="7481042B"/>
    <w:rsid w:val="748A7DE8"/>
    <w:rsid w:val="748E25CA"/>
    <w:rsid w:val="74936A51"/>
    <w:rsid w:val="74A674D9"/>
    <w:rsid w:val="74A8174C"/>
    <w:rsid w:val="74A95573"/>
    <w:rsid w:val="74B33703"/>
    <w:rsid w:val="74C12A19"/>
    <w:rsid w:val="74C4779E"/>
    <w:rsid w:val="74CC462D"/>
    <w:rsid w:val="74D32902"/>
    <w:rsid w:val="74DF137C"/>
    <w:rsid w:val="74FA3E77"/>
    <w:rsid w:val="750F3E1D"/>
    <w:rsid w:val="75124DA1"/>
    <w:rsid w:val="7521077F"/>
    <w:rsid w:val="754230F8"/>
    <w:rsid w:val="75452E68"/>
    <w:rsid w:val="754A0C85"/>
    <w:rsid w:val="755E0DF4"/>
    <w:rsid w:val="75602922"/>
    <w:rsid w:val="7574325C"/>
    <w:rsid w:val="757A682B"/>
    <w:rsid w:val="758D75E2"/>
    <w:rsid w:val="758F2D39"/>
    <w:rsid w:val="759B0631"/>
    <w:rsid w:val="759B572F"/>
    <w:rsid w:val="759D1102"/>
    <w:rsid w:val="759E3B89"/>
    <w:rsid w:val="759E4985"/>
    <w:rsid w:val="75A81C6A"/>
    <w:rsid w:val="75A82D16"/>
    <w:rsid w:val="75AE7B06"/>
    <w:rsid w:val="75C26E0F"/>
    <w:rsid w:val="75C90F9C"/>
    <w:rsid w:val="75CB1FD1"/>
    <w:rsid w:val="75E638EE"/>
    <w:rsid w:val="75E95CFE"/>
    <w:rsid w:val="75EC0477"/>
    <w:rsid w:val="75F3056E"/>
    <w:rsid w:val="75F80D94"/>
    <w:rsid w:val="75FC6AF9"/>
    <w:rsid w:val="7605782D"/>
    <w:rsid w:val="760E67AD"/>
    <w:rsid w:val="76266C1A"/>
    <w:rsid w:val="76277687"/>
    <w:rsid w:val="762B3151"/>
    <w:rsid w:val="762C55FB"/>
    <w:rsid w:val="765152CB"/>
    <w:rsid w:val="76645648"/>
    <w:rsid w:val="766D5F57"/>
    <w:rsid w:val="766F54E7"/>
    <w:rsid w:val="7671275F"/>
    <w:rsid w:val="76804F78"/>
    <w:rsid w:val="76AE2519"/>
    <w:rsid w:val="76B3769D"/>
    <w:rsid w:val="76B4130B"/>
    <w:rsid w:val="76C14571"/>
    <w:rsid w:val="76CB6142"/>
    <w:rsid w:val="76D17C37"/>
    <w:rsid w:val="76D52484"/>
    <w:rsid w:val="76E11A30"/>
    <w:rsid w:val="76E539FB"/>
    <w:rsid w:val="76FF5F3F"/>
    <w:rsid w:val="77062C53"/>
    <w:rsid w:val="77270C09"/>
    <w:rsid w:val="77430539"/>
    <w:rsid w:val="77492442"/>
    <w:rsid w:val="774D0E49"/>
    <w:rsid w:val="77554F38"/>
    <w:rsid w:val="775E4503"/>
    <w:rsid w:val="777561C1"/>
    <w:rsid w:val="77762421"/>
    <w:rsid w:val="778356EE"/>
    <w:rsid w:val="77AD3E4E"/>
    <w:rsid w:val="77D32856"/>
    <w:rsid w:val="77DE7C57"/>
    <w:rsid w:val="78061E7B"/>
    <w:rsid w:val="780F09F4"/>
    <w:rsid w:val="78197298"/>
    <w:rsid w:val="78282708"/>
    <w:rsid w:val="782D1554"/>
    <w:rsid w:val="78391D4B"/>
    <w:rsid w:val="78445FC5"/>
    <w:rsid w:val="784F0BCB"/>
    <w:rsid w:val="785B2336"/>
    <w:rsid w:val="78666B66"/>
    <w:rsid w:val="786E0F20"/>
    <w:rsid w:val="788C578E"/>
    <w:rsid w:val="788D3653"/>
    <w:rsid w:val="78905FDD"/>
    <w:rsid w:val="789454CF"/>
    <w:rsid w:val="789C4F47"/>
    <w:rsid w:val="78A0793D"/>
    <w:rsid w:val="78A76B46"/>
    <w:rsid w:val="78A90480"/>
    <w:rsid w:val="78AB4608"/>
    <w:rsid w:val="78B2790D"/>
    <w:rsid w:val="78B41694"/>
    <w:rsid w:val="78B677DC"/>
    <w:rsid w:val="78C246C5"/>
    <w:rsid w:val="78CB64E3"/>
    <w:rsid w:val="78E827AA"/>
    <w:rsid w:val="78EF42AB"/>
    <w:rsid w:val="78F072FB"/>
    <w:rsid w:val="791705C7"/>
    <w:rsid w:val="791944B6"/>
    <w:rsid w:val="791C4909"/>
    <w:rsid w:val="7923019B"/>
    <w:rsid w:val="79395171"/>
    <w:rsid w:val="793F1EB1"/>
    <w:rsid w:val="794D7BD0"/>
    <w:rsid w:val="79654FF3"/>
    <w:rsid w:val="796B01E8"/>
    <w:rsid w:val="797C6EDF"/>
    <w:rsid w:val="797D3CFC"/>
    <w:rsid w:val="79811327"/>
    <w:rsid w:val="79875270"/>
    <w:rsid w:val="79877C36"/>
    <w:rsid w:val="79882CF2"/>
    <w:rsid w:val="799314ED"/>
    <w:rsid w:val="799B610F"/>
    <w:rsid w:val="799E4E95"/>
    <w:rsid w:val="79A669E4"/>
    <w:rsid w:val="79B23B36"/>
    <w:rsid w:val="79BA69C4"/>
    <w:rsid w:val="79BF7F1D"/>
    <w:rsid w:val="79C032E2"/>
    <w:rsid w:val="79CB6C5E"/>
    <w:rsid w:val="79DA4B61"/>
    <w:rsid w:val="79ED6E4F"/>
    <w:rsid w:val="79FB66DB"/>
    <w:rsid w:val="7A094544"/>
    <w:rsid w:val="7A0F3ECF"/>
    <w:rsid w:val="7A11275D"/>
    <w:rsid w:val="7A1947DF"/>
    <w:rsid w:val="7A1C1120"/>
    <w:rsid w:val="7A262E6F"/>
    <w:rsid w:val="7A2A54A9"/>
    <w:rsid w:val="7A364017"/>
    <w:rsid w:val="7A377D80"/>
    <w:rsid w:val="7A3A04C5"/>
    <w:rsid w:val="7A405712"/>
    <w:rsid w:val="7A526FDC"/>
    <w:rsid w:val="7A5769BE"/>
    <w:rsid w:val="7A5E74D2"/>
    <w:rsid w:val="7A6029D5"/>
    <w:rsid w:val="7A6A29C5"/>
    <w:rsid w:val="7A6F1DB1"/>
    <w:rsid w:val="7A7255A6"/>
    <w:rsid w:val="7A8265E1"/>
    <w:rsid w:val="7A960793"/>
    <w:rsid w:val="7A9D63A6"/>
    <w:rsid w:val="7AA159BD"/>
    <w:rsid w:val="7AAD7251"/>
    <w:rsid w:val="7ABA3A2A"/>
    <w:rsid w:val="7AC53756"/>
    <w:rsid w:val="7ACA0D7F"/>
    <w:rsid w:val="7AD774DB"/>
    <w:rsid w:val="7AD83918"/>
    <w:rsid w:val="7ADB231E"/>
    <w:rsid w:val="7B0308A4"/>
    <w:rsid w:val="7B1A57BE"/>
    <w:rsid w:val="7B1C5092"/>
    <w:rsid w:val="7B221D76"/>
    <w:rsid w:val="7B3813B3"/>
    <w:rsid w:val="7B391F24"/>
    <w:rsid w:val="7B3A0E0C"/>
    <w:rsid w:val="7B54499E"/>
    <w:rsid w:val="7B57268A"/>
    <w:rsid w:val="7B656EB9"/>
    <w:rsid w:val="7B686D42"/>
    <w:rsid w:val="7B7470FC"/>
    <w:rsid w:val="7B815182"/>
    <w:rsid w:val="7B841746"/>
    <w:rsid w:val="7B8D1442"/>
    <w:rsid w:val="7B8D3DB7"/>
    <w:rsid w:val="7B9D23DC"/>
    <w:rsid w:val="7BD16F07"/>
    <w:rsid w:val="7BE31895"/>
    <w:rsid w:val="7BE911D7"/>
    <w:rsid w:val="7BF31AE6"/>
    <w:rsid w:val="7BF87D2D"/>
    <w:rsid w:val="7C070EF5"/>
    <w:rsid w:val="7C0850B3"/>
    <w:rsid w:val="7C0A61E3"/>
    <w:rsid w:val="7C1032C9"/>
    <w:rsid w:val="7C121C61"/>
    <w:rsid w:val="7C174657"/>
    <w:rsid w:val="7C203160"/>
    <w:rsid w:val="7C235C41"/>
    <w:rsid w:val="7C266648"/>
    <w:rsid w:val="7C281F08"/>
    <w:rsid w:val="7C295844"/>
    <w:rsid w:val="7C2A7999"/>
    <w:rsid w:val="7C2F194B"/>
    <w:rsid w:val="7C3F4CCF"/>
    <w:rsid w:val="7C420AAD"/>
    <w:rsid w:val="7C551B8B"/>
    <w:rsid w:val="7C5826FF"/>
    <w:rsid w:val="7C62561D"/>
    <w:rsid w:val="7C630785"/>
    <w:rsid w:val="7C661B3A"/>
    <w:rsid w:val="7C6B73A8"/>
    <w:rsid w:val="7C856A6F"/>
    <w:rsid w:val="7C907F65"/>
    <w:rsid w:val="7C9211E8"/>
    <w:rsid w:val="7CB83E2E"/>
    <w:rsid w:val="7CB92799"/>
    <w:rsid w:val="7CBE24B4"/>
    <w:rsid w:val="7CC51E3F"/>
    <w:rsid w:val="7CCB17CA"/>
    <w:rsid w:val="7CD17449"/>
    <w:rsid w:val="7CDE1EEC"/>
    <w:rsid w:val="7CDE7AF4"/>
    <w:rsid w:val="7CF5040F"/>
    <w:rsid w:val="7CF76237"/>
    <w:rsid w:val="7CF8446F"/>
    <w:rsid w:val="7D0239FF"/>
    <w:rsid w:val="7D083253"/>
    <w:rsid w:val="7D2244CF"/>
    <w:rsid w:val="7D2840E2"/>
    <w:rsid w:val="7D290BA1"/>
    <w:rsid w:val="7D2A5498"/>
    <w:rsid w:val="7D2C2AE8"/>
    <w:rsid w:val="7D3970B1"/>
    <w:rsid w:val="7D3971A4"/>
    <w:rsid w:val="7D3C342F"/>
    <w:rsid w:val="7D3D37B3"/>
    <w:rsid w:val="7D4664A9"/>
    <w:rsid w:val="7D4A0E5C"/>
    <w:rsid w:val="7D5E40CD"/>
    <w:rsid w:val="7D606B26"/>
    <w:rsid w:val="7D644BB8"/>
    <w:rsid w:val="7D693BED"/>
    <w:rsid w:val="7D761C62"/>
    <w:rsid w:val="7D82014C"/>
    <w:rsid w:val="7D85227D"/>
    <w:rsid w:val="7D885061"/>
    <w:rsid w:val="7D9C5ADE"/>
    <w:rsid w:val="7D9E44D9"/>
    <w:rsid w:val="7D9E490B"/>
    <w:rsid w:val="7DAC2E32"/>
    <w:rsid w:val="7DB90387"/>
    <w:rsid w:val="7DE5100B"/>
    <w:rsid w:val="7DEE4CE9"/>
    <w:rsid w:val="7DEF5AD8"/>
    <w:rsid w:val="7DF57FB2"/>
    <w:rsid w:val="7DF91A20"/>
    <w:rsid w:val="7DFF35F5"/>
    <w:rsid w:val="7E132DE5"/>
    <w:rsid w:val="7E576B38"/>
    <w:rsid w:val="7E5B31DA"/>
    <w:rsid w:val="7E643642"/>
    <w:rsid w:val="7E6A4B08"/>
    <w:rsid w:val="7E7741B6"/>
    <w:rsid w:val="7E875323"/>
    <w:rsid w:val="7E8B290D"/>
    <w:rsid w:val="7E8B6C36"/>
    <w:rsid w:val="7E905C32"/>
    <w:rsid w:val="7E922AF2"/>
    <w:rsid w:val="7E9270B6"/>
    <w:rsid w:val="7E990604"/>
    <w:rsid w:val="7EA15ECD"/>
    <w:rsid w:val="7EA55CBC"/>
    <w:rsid w:val="7EA810DB"/>
    <w:rsid w:val="7EBF14F9"/>
    <w:rsid w:val="7ECF746B"/>
    <w:rsid w:val="7ED16A79"/>
    <w:rsid w:val="7EEB3401"/>
    <w:rsid w:val="7EEC634C"/>
    <w:rsid w:val="7EF60E5A"/>
    <w:rsid w:val="7EF9459F"/>
    <w:rsid w:val="7EFD07E5"/>
    <w:rsid w:val="7F007624"/>
    <w:rsid w:val="7F0F7877"/>
    <w:rsid w:val="7F194892"/>
    <w:rsid w:val="7F1E459D"/>
    <w:rsid w:val="7F215AD2"/>
    <w:rsid w:val="7F253C46"/>
    <w:rsid w:val="7F2F3A66"/>
    <w:rsid w:val="7F32323D"/>
    <w:rsid w:val="7F361C43"/>
    <w:rsid w:val="7F371626"/>
    <w:rsid w:val="7F3A697D"/>
    <w:rsid w:val="7F4232DF"/>
    <w:rsid w:val="7F480EE2"/>
    <w:rsid w:val="7F567F7A"/>
    <w:rsid w:val="7F5A2D7D"/>
    <w:rsid w:val="7F6C252F"/>
    <w:rsid w:val="7F754FAB"/>
    <w:rsid w:val="7F8A16CD"/>
    <w:rsid w:val="7F8E22D2"/>
    <w:rsid w:val="7F9568DD"/>
    <w:rsid w:val="7FA95261"/>
    <w:rsid w:val="7FB34A90"/>
    <w:rsid w:val="7FC1654D"/>
    <w:rsid w:val="7FCA7A70"/>
    <w:rsid w:val="7FD25161"/>
    <w:rsid w:val="7FDB6A0C"/>
    <w:rsid w:val="7FDC1C07"/>
    <w:rsid w:val="7FE47E50"/>
    <w:rsid w:val="7FE56A02"/>
    <w:rsid w:val="7FEA29EC"/>
    <w:rsid w:val="7FFC2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qFormat="1" w:unhideWhenUsed="0" w:uiPriority="39"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39"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5"/>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4"/>
    <w:link w:val="46"/>
    <w:qFormat/>
    <w:locked/>
    <w:uiPriority w:val="0"/>
    <w:pPr>
      <w:keepNext/>
      <w:keepLines/>
      <w:spacing w:before="260" w:after="260" w:line="416" w:lineRule="auto"/>
      <w:outlineLvl w:val="1"/>
    </w:pPr>
    <w:rPr>
      <w:rFonts w:ascii="等线 Light" w:hAnsi="等线 Light" w:eastAsia="等线 Light"/>
      <w:b/>
      <w:bCs/>
      <w:sz w:val="32"/>
      <w:szCs w:val="32"/>
    </w:rPr>
  </w:style>
  <w:style w:type="paragraph" w:styleId="5">
    <w:name w:val="heading 3"/>
    <w:basedOn w:val="1"/>
    <w:next w:val="1"/>
    <w:link w:val="47"/>
    <w:qFormat/>
    <w:locked/>
    <w:uiPriority w:val="0"/>
    <w:pPr>
      <w:keepNext/>
      <w:keepLines/>
      <w:spacing w:before="260" w:after="260" w:line="416" w:lineRule="auto"/>
      <w:outlineLvl w:val="2"/>
    </w:pPr>
    <w:rPr>
      <w:b/>
      <w:bCs/>
      <w:sz w:val="32"/>
      <w:szCs w:val="32"/>
    </w:rPr>
  </w:style>
  <w:style w:type="paragraph" w:styleId="6">
    <w:name w:val="heading 4"/>
    <w:basedOn w:val="1"/>
    <w:next w:val="1"/>
    <w:link w:val="48"/>
    <w:qFormat/>
    <w:locked/>
    <w:uiPriority w:val="0"/>
    <w:pPr>
      <w:keepNext/>
      <w:keepLines/>
      <w:spacing w:line="372" w:lineRule="auto"/>
      <w:outlineLvl w:val="3"/>
    </w:pPr>
    <w:rPr>
      <w:rFonts w:ascii="Arial" w:hAnsi="Arial" w:eastAsia="黑体"/>
      <w:b/>
      <w:sz w:val="28"/>
    </w:rPr>
  </w:style>
  <w:style w:type="character" w:default="1" w:styleId="32">
    <w:name w:val="Default Paragraph Font"/>
    <w:unhideWhenUsed/>
    <w:qFormat/>
    <w:uiPriority w:val="1"/>
  </w:style>
  <w:style w:type="table" w:default="1" w:styleId="30">
    <w:name w:val="Normal Table"/>
    <w:unhideWhenUsed/>
    <w:qFormat/>
    <w:uiPriority w:val="99"/>
    <w:tblPr>
      <w:tblCellMar>
        <w:top w:w="0" w:type="dxa"/>
        <w:left w:w="108" w:type="dxa"/>
        <w:bottom w:w="0" w:type="dxa"/>
        <w:right w:w="108" w:type="dxa"/>
      </w:tblCellMar>
    </w:tblPr>
  </w:style>
  <w:style w:type="paragraph" w:customStyle="1" w:styleId="4">
    <w:name w:val="宋-正文"/>
    <w:basedOn w:val="1"/>
    <w:qFormat/>
    <w:uiPriority w:val="0"/>
    <w:pPr>
      <w:autoSpaceDE w:val="0"/>
      <w:autoSpaceDN w:val="0"/>
      <w:adjustRightInd w:val="0"/>
      <w:spacing w:line="360" w:lineRule="auto"/>
      <w:ind w:firstLine="420" w:firstLineChars="200"/>
    </w:pPr>
    <w:rPr>
      <w:sz w:val="24"/>
      <w:lang w:val="zh-CN"/>
    </w:rPr>
  </w:style>
  <w:style w:type="paragraph" w:styleId="7">
    <w:name w:val="Normal Indent"/>
    <w:basedOn w:val="1"/>
    <w:qFormat/>
    <w:uiPriority w:val="0"/>
    <w:pPr>
      <w:ind w:firstLine="420" w:firstLineChars="200"/>
    </w:pPr>
  </w:style>
  <w:style w:type="paragraph" w:styleId="8">
    <w:name w:val="caption"/>
    <w:basedOn w:val="1"/>
    <w:next w:val="1"/>
    <w:link w:val="49"/>
    <w:qFormat/>
    <w:locked/>
    <w:uiPriority w:val="0"/>
    <w:pPr>
      <w:spacing w:before="120" w:after="60"/>
      <w:jc w:val="center"/>
    </w:pPr>
    <w:rPr>
      <w:rFonts w:eastAsia="黑体"/>
      <w:color w:val="000000"/>
      <w:sz w:val="24"/>
      <w:szCs w:val="28"/>
    </w:rPr>
  </w:style>
  <w:style w:type="paragraph" w:styleId="9">
    <w:name w:val="Document Map"/>
    <w:basedOn w:val="1"/>
    <w:link w:val="50"/>
    <w:qFormat/>
    <w:uiPriority w:val="0"/>
    <w:rPr>
      <w:rFonts w:ascii="宋体"/>
      <w:sz w:val="18"/>
      <w:szCs w:val="18"/>
    </w:rPr>
  </w:style>
  <w:style w:type="paragraph" w:styleId="10">
    <w:name w:val="annotation text"/>
    <w:basedOn w:val="1"/>
    <w:link w:val="51"/>
    <w:qFormat/>
    <w:uiPriority w:val="0"/>
    <w:pPr>
      <w:jc w:val="left"/>
    </w:pPr>
    <w:rPr>
      <w:kern w:val="0"/>
      <w:sz w:val="24"/>
      <w:szCs w:val="20"/>
    </w:rPr>
  </w:style>
  <w:style w:type="paragraph" w:styleId="11">
    <w:name w:val="Body Text"/>
    <w:basedOn w:val="1"/>
    <w:link w:val="52"/>
    <w:qFormat/>
    <w:uiPriority w:val="0"/>
    <w:pPr>
      <w:widowControl/>
      <w:snapToGrid w:val="0"/>
      <w:spacing w:before="60" w:after="160" w:line="259" w:lineRule="auto"/>
      <w:ind w:right="113"/>
    </w:pPr>
    <w:rPr>
      <w:kern w:val="0"/>
      <w:sz w:val="18"/>
      <w:szCs w:val="20"/>
    </w:rPr>
  </w:style>
  <w:style w:type="paragraph" w:styleId="12">
    <w:name w:val="Body Text Indent"/>
    <w:basedOn w:val="1"/>
    <w:link w:val="53"/>
    <w:semiHidden/>
    <w:qFormat/>
    <w:uiPriority w:val="0"/>
    <w:pPr>
      <w:spacing w:after="120"/>
      <w:ind w:left="420" w:leftChars="200"/>
    </w:pPr>
    <w:rPr>
      <w:kern w:val="0"/>
      <w:sz w:val="24"/>
      <w:szCs w:val="24"/>
    </w:rPr>
  </w:style>
  <w:style w:type="paragraph" w:styleId="13">
    <w:name w:val="toc 3"/>
    <w:basedOn w:val="1"/>
    <w:next w:val="1"/>
    <w:qFormat/>
    <w:locked/>
    <w:uiPriority w:val="39"/>
    <w:pPr>
      <w:ind w:left="840" w:leftChars="400"/>
    </w:pPr>
  </w:style>
  <w:style w:type="paragraph" w:styleId="14">
    <w:name w:val="Plain Text"/>
    <w:basedOn w:val="1"/>
    <w:next w:val="1"/>
    <w:link w:val="54"/>
    <w:qFormat/>
    <w:uiPriority w:val="0"/>
    <w:pPr>
      <w:ind w:firstLine="480"/>
    </w:pPr>
    <w:rPr>
      <w:rFonts w:ascii="宋体" w:hAnsi="Courier New" w:cs="Courier New"/>
      <w:color w:val="000000"/>
    </w:rPr>
  </w:style>
  <w:style w:type="paragraph" w:styleId="15">
    <w:name w:val="Date"/>
    <w:basedOn w:val="1"/>
    <w:next w:val="1"/>
    <w:link w:val="55"/>
    <w:qFormat/>
    <w:uiPriority w:val="0"/>
    <w:pPr>
      <w:ind w:left="100" w:leftChars="2500"/>
    </w:pPr>
    <w:rPr>
      <w:kern w:val="0"/>
      <w:sz w:val="24"/>
      <w:szCs w:val="20"/>
    </w:rPr>
  </w:style>
  <w:style w:type="paragraph" w:styleId="16">
    <w:name w:val="Body Text Indent 2"/>
    <w:basedOn w:val="1"/>
    <w:link w:val="56"/>
    <w:qFormat/>
    <w:uiPriority w:val="0"/>
    <w:pPr>
      <w:spacing w:after="120" w:line="480" w:lineRule="auto"/>
      <w:ind w:left="420" w:leftChars="200"/>
    </w:pPr>
  </w:style>
  <w:style w:type="paragraph" w:styleId="17">
    <w:name w:val="Balloon Text"/>
    <w:basedOn w:val="1"/>
    <w:link w:val="57"/>
    <w:semiHidden/>
    <w:qFormat/>
    <w:uiPriority w:val="0"/>
    <w:rPr>
      <w:kern w:val="0"/>
      <w:sz w:val="18"/>
      <w:szCs w:val="18"/>
    </w:rPr>
  </w:style>
  <w:style w:type="paragraph" w:styleId="18">
    <w:name w:val="footer"/>
    <w:basedOn w:val="1"/>
    <w:link w:val="58"/>
    <w:qFormat/>
    <w:uiPriority w:val="99"/>
    <w:pPr>
      <w:tabs>
        <w:tab w:val="center" w:pos="4153"/>
        <w:tab w:val="right" w:pos="8306"/>
      </w:tabs>
      <w:snapToGrid w:val="0"/>
      <w:jc w:val="left"/>
    </w:pPr>
    <w:rPr>
      <w:kern w:val="0"/>
      <w:sz w:val="18"/>
      <w:szCs w:val="18"/>
    </w:rPr>
  </w:style>
  <w:style w:type="paragraph" w:styleId="19">
    <w:name w:val="header"/>
    <w:basedOn w:val="1"/>
    <w:next w:val="1"/>
    <w:link w:val="59"/>
    <w:qFormat/>
    <w:uiPriority w:val="0"/>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qFormat/>
    <w:locked/>
    <w:uiPriority w:val="39"/>
  </w:style>
  <w:style w:type="paragraph" w:styleId="21">
    <w:name w:val="toc 4"/>
    <w:basedOn w:val="1"/>
    <w:next w:val="1"/>
    <w:qFormat/>
    <w:locked/>
    <w:uiPriority w:val="39"/>
    <w:pPr>
      <w:ind w:left="1260" w:leftChars="600"/>
    </w:pPr>
  </w:style>
  <w:style w:type="paragraph" w:styleId="22">
    <w:name w:val="Body Text Indent 3"/>
    <w:basedOn w:val="1"/>
    <w:link w:val="60"/>
    <w:qFormat/>
    <w:uiPriority w:val="0"/>
    <w:pPr>
      <w:spacing w:after="120"/>
      <w:ind w:left="420" w:leftChars="200"/>
    </w:pPr>
    <w:rPr>
      <w:sz w:val="16"/>
      <w:szCs w:val="16"/>
    </w:rPr>
  </w:style>
  <w:style w:type="paragraph" w:styleId="23">
    <w:name w:val="toc 2"/>
    <w:basedOn w:val="1"/>
    <w:next w:val="1"/>
    <w:qFormat/>
    <w:locked/>
    <w:uiPriority w:val="39"/>
    <w:pPr>
      <w:ind w:left="420" w:leftChars="200"/>
    </w:pPr>
  </w:style>
  <w:style w:type="paragraph" w:styleId="24">
    <w:name w:val="Body Text 2"/>
    <w:basedOn w:val="1"/>
    <w:link w:val="61"/>
    <w:qFormat/>
    <w:uiPriority w:val="0"/>
    <w:pPr>
      <w:spacing w:after="120" w:line="480" w:lineRule="auto"/>
    </w:pPr>
  </w:style>
  <w:style w:type="paragraph" w:styleId="2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26">
    <w:name w:val="Normal (Web)"/>
    <w:basedOn w:val="1"/>
    <w:link w:val="62"/>
    <w:qFormat/>
    <w:uiPriority w:val="99"/>
    <w:pPr>
      <w:widowControl/>
      <w:spacing w:before="100" w:beforeAutospacing="1" w:after="100" w:afterAutospacing="1"/>
      <w:jc w:val="left"/>
    </w:pPr>
    <w:rPr>
      <w:rFonts w:ascii="宋体" w:hAnsi="宋体"/>
      <w:kern w:val="0"/>
      <w:sz w:val="24"/>
      <w:szCs w:val="20"/>
    </w:rPr>
  </w:style>
  <w:style w:type="paragraph" w:styleId="27">
    <w:name w:val="annotation subject"/>
    <w:basedOn w:val="10"/>
    <w:next w:val="10"/>
    <w:link w:val="63"/>
    <w:semiHidden/>
    <w:qFormat/>
    <w:uiPriority w:val="0"/>
    <w:rPr>
      <w:b/>
      <w:bCs/>
      <w:kern w:val="2"/>
      <w:szCs w:val="24"/>
    </w:rPr>
  </w:style>
  <w:style w:type="paragraph" w:styleId="28">
    <w:name w:val="Body Text First Indent"/>
    <w:basedOn w:val="11"/>
    <w:next w:val="1"/>
    <w:link w:val="64"/>
    <w:qFormat/>
    <w:uiPriority w:val="99"/>
    <w:pPr>
      <w:ind w:firstLine="420" w:firstLineChars="100"/>
    </w:pPr>
  </w:style>
  <w:style w:type="paragraph" w:styleId="29">
    <w:name w:val="Body Text First Indent 2"/>
    <w:basedOn w:val="12"/>
    <w:next w:val="1"/>
    <w:link w:val="65"/>
    <w:qFormat/>
    <w:uiPriority w:val="0"/>
    <w:pPr>
      <w:ind w:firstLine="420" w:firstLineChars="200"/>
    </w:pPr>
    <w:rPr>
      <w:kern w:val="2"/>
      <w:sz w:val="21"/>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locked/>
    <w:uiPriority w:val="0"/>
    <w:rPr>
      <w:b/>
    </w:rPr>
  </w:style>
  <w:style w:type="character" w:styleId="34">
    <w:name w:val="page number"/>
    <w:qFormat/>
    <w:uiPriority w:val="0"/>
  </w:style>
  <w:style w:type="character" w:styleId="35">
    <w:name w:val="FollowedHyperlink"/>
    <w:qFormat/>
    <w:uiPriority w:val="0"/>
    <w:rPr>
      <w:color w:val="333333"/>
      <w:u w:val="none"/>
    </w:rPr>
  </w:style>
  <w:style w:type="character" w:styleId="36">
    <w:name w:val="Emphasis"/>
    <w:qFormat/>
    <w:locked/>
    <w:uiPriority w:val="0"/>
  </w:style>
  <w:style w:type="character" w:styleId="37">
    <w:name w:val="HTML Definition"/>
    <w:qFormat/>
    <w:uiPriority w:val="0"/>
  </w:style>
  <w:style w:type="character" w:styleId="38">
    <w:name w:val="HTML Variable"/>
    <w:qFormat/>
    <w:uiPriority w:val="0"/>
  </w:style>
  <w:style w:type="character" w:styleId="39">
    <w:name w:val="Hyperlink"/>
    <w:unhideWhenUsed/>
    <w:qFormat/>
    <w:uiPriority w:val="99"/>
    <w:rPr>
      <w:color w:val="0563C1"/>
      <w:u w:val="single"/>
    </w:rPr>
  </w:style>
  <w:style w:type="character" w:styleId="40">
    <w:name w:val="HTML Code"/>
    <w:qFormat/>
    <w:uiPriority w:val="0"/>
    <w:rPr>
      <w:rFonts w:hint="default" w:ascii="serif" w:hAnsi="serif" w:eastAsia="serif" w:cs="serif"/>
      <w:sz w:val="21"/>
      <w:szCs w:val="21"/>
    </w:rPr>
  </w:style>
  <w:style w:type="character" w:styleId="41">
    <w:name w:val="annotation reference"/>
    <w:semiHidden/>
    <w:qFormat/>
    <w:uiPriority w:val="0"/>
    <w:rPr>
      <w:sz w:val="21"/>
    </w:rPr>
  </w:style>
  <w:style w:type="character" w:styleId="42">
    <w:name w:val="HTML Cite"/>
    <w:qFormat/>
    <w:uiPriority w:val="0"/>
  </w:style>
  <w:style w:type="character" w:styleId="43">
    <w:name w:val="HTML Keyboard"/>
    <w:qFormat/>
    <w:uiPriority w:val="0"/>
    <w:rPr>
      <w:rFonts w:ascii="serif" w:hAnsi="serif" w:eastAsia="serif" w:cs="serif"/>
      <w:sz w:val="21"/>
      <w:szCs w:val="21"/>
    </w:rPr>
  </w:style>
  <w:style w:type="character" w:styleId="44">
    <w:name w:val="HTML Sample"/>
    <w:qFormat/>
    <w:uiPriority w:val="0"/>
    <w:rPr>
      <w:rFonts w:hint="default" w:ascii="serif" w:hAnsi="serif" w:eastAsia="serif" w:cs="serif"/>
      <w:sz w:val="21"/>
      <w:szCs w:val="21"/>
    </w:rPr>
  </w:style>
  <w:style w:type="character" w:customStyle="1" w:styleId="45">
    <w:name w:val="标题 1 字符"/>
    <w:link w:val="2"/>
    <w:qFormat/>
    <w:uiPriority w:val="0"/>
    <w:rPr>
      <w:rFonts w:eastAsia="黑体"/>
      <w:b/>
      <w:bCs/>
      <w:color w:val="000000"/>
      <w:kern w:val="44"/>
      <w:sz w:val="30"/>
      <w:szCs w:val="30"/>
    </w:rPr>
  </w:style>
  <w:style w:type="character" w:customStyle="1" w:styleId="46">
    <w:name w:val="标题 2 字符"/>
    <w:link w:val="3"/>
    <w:qFormat/>
    <w:uiPriority w:val="0"/>
    <w:rPr>
      <w:rFonts w:ascii="等线 Light" w:hAnsi="等线 Light" w:eastAsia="等线 Light" w:cs="Times New Roman"/>
      <w:b/>
      <w:bCs/>
      <w:kern w:val="2"/>
      <w:sz w:val="32"/>
      <w:szCs w:val="32"/>
    </w:rPr>
  </w:style>
  <w:style w:type="character" w:customStyle="1" w:styleId="47">
    <w:name w:val="标题 3 字符"/>
    <w:link w:val="5"/>
    <w:qFormat/>
    <w:uiPriority w:val="0"/>
    <w:rPr>
      <w:b/>
      <w:bCs/>
      <w:kern w:val="2"/>
      <w:sz w:val="32"/>
      <w:szCs w:val="32"/>
    </w:rPr>
  </w:style>
  <w:style w:type="character" w:customStyle="1" w:styleId="48">
    <w:name w:val="标题 4 字符"/>
    <w:link w:val="6"/>
    <w:qFormat/>
    <w:uiPriority w:val="0"/>
    <w:rPr>
      <w:rFonts w:ascii="Arial" w:hAnsi="Arial" w:eastAsia="黑体"/>
      <w:b/>
      <w:kern w:val="2"/>
      <w:sz w:val="28"/>
      <w:szCs w:val="21"/>
    </w:rPr>
  </w:style>
  <w:style w:type="character" w:customStyle="1" w:styleId="49">
    <w:name w:val="题注 字符"/>
    <w:link w:val="8"/>
    <w:qFormat/>
    <w:uiPriority w:val="0"/>
    <w:rPr>
      <w:rFonts w:eastAsia="黑体" w:cs="Arial"/>
      <w:color w:val="000000"/>
      <w:kern w:val="2"/>
      <w:sz w:val="24"/>
      <w:szCs w:val="28"/>
    </w:rPr>
  </w:style>
  <w:style w:type="character" w:customStyle="1" w:styleId="50">
    <w:name w:val="文档结构图 字符"/>
    <w:link w:val="9"/>
    <w:qFormat/>
    <w:uiPriority w:val="0"/>
    <w:rPr>
      <w:rFonts w:ascii="宋体"/>
      <w:kern w:val="2"/>
      <w:sz w:val="18"/>
      <w:szCs w:val="18"/>
    </w:rPr>
  </w:style>
  <w:style w:type="character" w:customStyle="1" w:styleId="51">
    <w:name w:val="批注文字 字符"/>
    <w:link w:val="10"/>
    <w:qFormat/>
    <w:locked/>
    <w:uiPriority w:val="0"/>
    <w:rPr>
      <w:rFonts w:ascii="Times New Roman" w:hAnsi="Times New Roman" w:eastAsia="宋体"/>
      <w:sz w:val="24"/>
    </w:rPr>
  </w:style>
  <w:style w:type="character" w:customStyle="1" w:styleId="52">
    <w:name w:val="正文文本 字符"/>
    <w:link w:val="11"/>
    <w:qFormat/>
    <w:locked/>
    <w:uiPriority w:val="0"/>
    <w:rPr>
      <w:sz w:val="18"/>
    </w:rPr>
  </w:style>
  <w:style w:type="character" w:customStyle="1" w:styleId="53">
    <w:name w:val="正文文本缩进 字符"/>
    <w:link w:val="12"/>
    <w:semiHidden/>
    <w:qFormat/>
    <w:locked/>
    <w:uiPriority w:val="0"/>
    <w:rPr>
      <w:rFonts w:ascii="Times New Roman" w:hAnsi="Times New Roman" w:eastAsia="宋体" w:cs="Times New Roman"/>
      <w:sz w:val="24"/>
      <w:szCs w:val="24"/>
    </w:rPr>
  </w:style>
  <w:style w:type="character" w:customStyle="1" w:styleId="54">
    <w:name w:val="纯文本 字符"/>
    <w:link w:val="14"/>
    <w:qFormat/>
    <w:uiPriority w:val="0"/>
    <w:rPr>
      <w:rFonts w:ascii="宋体" w:hAnsi="Courier New" w:cs="Courier New"/>
      <w:color w:val="000000"/>
      <w:kern w:val="2"/>
      <w:sz w:val="21"/>
      <w:szCs w:val="21"/>
    </w:rPr>
  </w:style>
  <w:style w:type="character" w:customStyle="1" w:styleId="55">
    <w:name w:val="日期 字符1"/>
    <w:link w:val="15"/>
    <w:qFormat/>
    <w:locked/>
    <w:uiPriority w:val="0"/>
    <w:rPr>
      <w:rFonts w:ascii="Times New Roman" w:hAnsi="Times New Roman" w:eastAsia="宋体"/>
      <w:sz w:val="24"/>
    </w:rPr>
  </w:style>
  <w:style w:type="character" w:customStyle="1" w:styleId="56">
    <w:name w:val="正文文本缩进 2 字符"/>
    <w:link w:val="16"/>
    <w:qFormat/>
    <w:uiPriority w:val="0"/>
    <w:rPr>
      <w:kern w:val="2"/>
      <w:sz w:val="21"/>
      <w:szCs w:val="21"/>
    </w:rPr>
  </w:style>
  <w:style w:type="character" w:customStyle="1" w:styleId="57">
    <w:name w:val="批注框文本 字符"/>
    <w:link w:val="17"/>
    <w:semiHidden/>
    <w:qFormat/>
    <w:locked/>
    <w:uiPriority w:val="0"/>
    <w:rPr>
      <w:rFonts w:ascii="Times New Roman" w:hAnsi="Times New Roman" w:eastAsia="宋体" w:cs="Times New Roman"/>
      <w:sz w:val="18"/>
      <w:szCs w:val="18"/>
    </w:rPr>
  </w:style>
  <w:style w:type="character" w:customStyle="1" w:styleId="58">
    <w:name w:val="页脚 字符"/>
    <w:link w:val="18"/>
    <w:qFormat/>
    <w:locked/>
    <w:uiPriority w:val="99"/>
    <w:rPr>
      <w:rFonts w:cs="Times New Roman"/>
      <w:sz w:val="18"/>
      <w:szCs w:val="18"/>
    </w:rPr>
  </w:style>
  <w:style w:type="character" w:customStyle="1" w:styleId="59">
    <w:name w:val="页眉 字符"/>
    <w:link w:val="19"/>
    <w:qFormat/>
    <w:locked/>
    <w:uiPriority w:val="0"/>
    <w:rPr>
      <w:rFonts w:cs="Times New Roman"/>
      <w:sz w:val="18"/>
      <w:szCs w:val="18"/>
    </w:rPr>
  </w:style>
  <w:style w:type="character" w:customStyle="1" w:styleId="60">
    <w:name w:val="正文文本缩进 3 字符"/>
    <w:link w:val="22"/>
    <w:qFormat/>
    <w:uiPriority w:val="0"/>
    <w:rPr>
      <w:kern w:val="2"/>
      <w:sz w:val="16"/>
      <w:szCs w:val="16"/>
    </w:rPr>
  </w:style>
  <w:style w:type="character" w:customStyle="1" w:styleId="61">
    <w:name w:val="正文文本 2 字符1"/>
    <w:link w:val="24"/>
    <w:qFormat/>
    <w:uiPriority w:val="0"/>
    <w:rPr>
      <w:kern w:val="2"/>
      <w:sz w:val="21"/>
      <w:szCs w:val="21"/>
    </w:rPr>
  </w:style>
  <w:style w:type="character" w:customStyle="1" w:styleId="62">
    <w:name w:val="普通(网站) 字符"/>
    <w:link w:val="26"/>
    <w:qFormat/>
    <w:locked/>
    <w:uiPriority w:val="0"/>
    <w:rPr>
      <w:rFonts w:ascii="宋体" w:hAnsi="宋体" w:eastAsia="宋体"/>
      <w:sz w:val="24"/>
    </w:rPr>
  </w:style>
  <w:style w:type="character" w:customStyle="1" w:styleId="63">
    <w:name w:val="批注主题 字符"/>
    <w:link w:val="27"/>
    <w:semiHidden/>
    <w:qFormat/>
    <w:locked/>
    <w:uiPriority w:val="0"/>
    <w:rPr>
      <w:rFonts w:ascii="Times New Roman" w:hAnsi="Times New Roman" w:eastAsia="宋体" w:cs="Times New Roman"/>
      <w:b/>
      <w:bCs/>
      <w:kern w:val="2"/>
      <w:sz w:val="24"/>
      <w:szCs w:val="24"/>
    </w:rPr>
  </w:style>
  <w:style w:type="character" w:customStyle="1" w:styleId="64">
    <w:name w:val="正文文本首行缩进 字符"/>
    <w:link w:val="28"/>
    <w:qFormat/>
    <w:uiPriority w:val="0"/>
    <w:rPr>
      <w:sz w:val="18"/>
    </w:rPr>
  </w:style>
  <w:style w:type="character" w:customStyle="1" w:styleId="65">
    <w:name w:val="正文文本首行缩进 2 字符"/>
    <w:link w:val="29"/>
    <w:qFormat/>
    <w:uiPriority w:val="0"/>
    <w:rPr>
      <w:rFonts w:ascii="Times New Roman" w:hAnsi="Times New Roman" w:eastAsia="宋体" w:cs="Times New Roman"/>
      <w:kern w:val="2"/>
      <w:sz w:val="21"/>
      <w:szCs w:val="24"/>
    </w:rPr>
  </w:style>
  <w:style w:type="paragraph" w:customStyle="1" w:styleId="66">
    <w:name w:val="样式1"/>
    <w:basedOn w:val="1"/>
    <w:qFormat/>
    <w:uiPriority w:val="0"/>
    <w:pPr>
      <w:tabs>
        <w:tab w:val="right" w:pos="180"/>
        <w:tab w:val="right" w:pos="540"/>
        <w:tab w:val="left" w:pos="2160"/>
      </w:tabs>
      <w:ind w:firstLine="480"/>
    </w:pPr>
    <w:rPr>
      <w:szCs w:val="32"/>
    </w:rPr>
  </w:style>
  <w:style w:type="paragraph" w:customStyle="1" w:styleId="67">
    <w:name w:val="四级条标题"/>
    <w:basedOn w:val="68"/>
    <w:next w:val="72"/>
    <w:qFormat/>
    <w:uiPriority w:val="0"/>
    <w:pPr>
      <w:outlineLvl w:val="5"/>
    </w:pPr>
    <w:rPr>
      <w:szCs w:val="20"/>
    </w:rPr>
  </w:style>
  <w:style w:type="paragraph" w:customStyle="1" w:styleId="68">
    <w:name w:val="三级条标题"/>
    <w:basedOn w:val="69"/>
    <w:next w:val="72"/>
    <w:qFormat/>
    <w:uiPriority w:val="0"/>
    <w:pPr>
      <w:numPr>
        <w:ilvl w:val="0"/>
        <w:numId w:val="0"/>
      </w:numPr>
      <w:outlineLvl w:val="4"/>
    </w:pPr>
  </w:style>
  <w:style w:type="paragraph" w:customStyle="1" w:styleId="69">
    <w:name w:val="二级条标题"/>
    <w:basedOn w:val="70"/>
    <w:next w:val="72"/>
    <w:qFormat/>
    <w:uiPriority w:val="0"/>
    <w:pPr>
      <w:numPr>
        <w:ilvl w:val="3"/>
      </w:numPr>
      <w:outlineLvl w:val="3"/>
    </w:pPr>
  </w:style>
  <w:style w:type="paragraph" w:customStyle="1" w:styleId="70">
    <w:name w:val="一级条标题"/>
    <w:basedOn w:val="71"/>
    <w:next w:val="72"/>
    <w:qFormat/>
    <w:uiPriority w:val="0"/>
    <w:pPr>
      <w:numPr>
        <w:ilvl w:val="2"/>
        <w:numId w:val="1"/>
      </w:numPr>
      <w:spacing w:before="0" w:beforeLines="0" w:after="0" w:afterLines="0"/>
      <w:outlineLvl w:val="2"/>
    </w:pPr>
  </w:style>
  <w:style w:type="paragraph" w:customStyle="1" w:styleId="71">
    <w:name w:val="章标题"/>
    <w:next w:val="72"/>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72">
    <w:name w:val="段"/>
    <w:qFormat/>
    <w:uiPriority w:val="0"/>
    <w:pPr>
      <w:autoSpaceDE w:val="0"/>
      <w:autoSpaceDN w:val="0"/>
      <w:ind w:firstLine="200" w:firstLineChars="200"/>
      <w:jc w:val="both"/>
    </w:pPr>
    <w:rPr>
      <w:rFonts w:ascii="宋体" w:hAnsi="Times New Roman" w:eastAsia="宋体" w:cs="Times New Roman"/>
      <w:sz w:val="21"/>
      <w:szCs w:val="22"/>
      <w:lang w:val="zh-CN" w:eastAsia="zh-CN" w:bidi="ar-SA"/>
    </w:rPr>
  </w:style>
  <w:style w:type="paragraph" w:customStyle="1" w:styleId="73">
    <w:name w:val="标题2"/>
    <w:basedOn w:val="3"/>
    <w:next w:val="1"/>
    <w:link w:val="74"/>
    <w:qFormat/>
    <w:uiPriority w:val="0"/>
    <w:pPr>
      <w:spacing w:before="0" w:after="0" w:line="360" w:lineRule="auto"/>
      <w:jc w:val="left"/>
    </w:pPr>
    <w:rPr>
      <w:rFonts w:ascii="Times New Roman" w:hAnsi="Times New Roman" w:eastAsia="宋体"/>
      <w:kern w:val="0"/>
      <w:sz w:val="30"/>
    </w:rPr>
  </w:style>
  <w:style w:type="character" w:customStyle="1" w:styleId="74">
    <w:name w:val="标题2 字符"/>
    <w:link w:val="73"/>
    <w:qFormat/>
    <w:uiPriority w:val="0"/>
    <w:rPr>
      <w:b/>
      <w:bCs/>
      <w:sz w:val="30"/>
      <w:szCs w:val="32"/>
    </w:rPr>
  </w:style>
  <w:style w:type="paragraph" w:customStyle="1" w:styleId="75">
    <w:name w:val="Default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样式 标题 1 + 四号 段前: 0 磅 段后: 0 磅 行距: 1.5 倍行距"/>
    <w:basedOn w:val="77"/>
    <w:qFormat/>
    <w:uiPriority w:val="0"/>
    <w:pPr>
      <w:adjustRightInd w:val="0"/>
      <w:snapToGrid w:val="0"/>
      <w:spacing w:line="360" w:lineRule="auto"/>
      <w:ind w:firstLine="200" w:firstLineChars="200"/>
      <w:jc w:val="center"/>
    </w:pPr>
    <w:rPr>
      <w:sz w:val="28"/>
      <w:szCs w:val="20"/>
    </w:rPr>
  </w:style>
  <w:style w:type="paragraph" w:customStyle="1" w:styleId="77">
    <w:name w:val="1正文"/>
    <w:basedOn w:val="1"/>
    <w:qFormat/>
    <w:uiPriority w:val="0"/>
    <w:pPr>
      <w:spacing w:line="500" w:lineRule="exact"/>
      <w:ind w:firstLine="588" w:firstLineChars="196"/>
    </w:pPr>
    <w:rPr>
      <w:rFonts w:eastAsia="楷体_GB2312"/>
      <w:sz w:val="30"/>
      <w:szCs w:val="30"/>
    </w:rPr>
  </w:style>
  <w:style w:type="paragraph" w:customStyle="1" w:styleId="78">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79">
    <w:name w:val="内容"/>
    <w:basedOn w:val="1"/>
    <w:qFormat/>
    <w:uiPriority w:val="0"/>
    <w:pPr>
      <w:adjustRightInd w:val="0"/>
      <w:snapToGrid w:val="0"/>
      <w:spacing w:beforeLines="50" w:line="360" w:lineRule="auto"/>
      <w:ind w:firstLine="200" w:firstLineChars="200"/>
      <w:textAlignment w:val="center"/>
    </w:pPr>
    <w:rPr>
      <w:rFonts w:eastAsia="仿宋"/>
      <w:color w:val="000000"/>
      <w:sz w:val="28"/>
      <w:szCs w:val="28"/>
    </w:rPr>
  </w:style>
  <w:style w:type="paragraph" w:customStyle="1" w:styleId="80">
    <w:name w:val="Body Text First Indent 21"/>
    <w:basedOn w:val="1"/>
    <w:qFormat/>
    <w:uiPriority w:val="0"/>
    <w:pPr>
      <w:ind w:firstLine="420"/>
    </w:pPr>
    <w:rPr>
      <w:sz w:val="24"/>
    </w:rPr>
  </w:style>
  <w:style w:type="paragraph" w:customStyle="1" w:styleId="81">
    <w:name w:val="报告表正文"/>
    <w:basedOn w:val="1"/>
    <w:qFormat/>
    <w:uiPriority w:val="0"/>
    <w:pPr>
      <w:adjustRightInd w:val="0"/>
      <w:spacing w:line="312" w:lineRule="auto"/>
      <w:ind w:left="113" w:right="113" w:firstLine="482"/>
      <w:jc w:val="left"/>
      <w:textAlignment w:val="baseline"/>
    </w:pPr>
    <w:rPr>
      <w:kern w:val="0"/>
      <w:sz w:val="24"/>
      <w:szCs w:val="20"/>
    </w:rPr>
  </w:style>
  <w:style w:type="paragraph" w:customStyle="1" w:styleId="82">
    <w:name w:val="文本正文"/>
    <w:basedOn w:val="1"/>
    <w:qFormat/>
    <w:uiPriority w:val="0"/>
    <w:pPr>
      <w:widowControl/>
      <w:tabs>
        <w:tab w:val="left" w:pos="0"/>
        <w:tab w:val="left" w:pos="3119"/>
      </w:tabs>
      <w:jc w:val="distribute"/>
    </w:pPr>
    <w:rPr>
      <w:rFonts w:hAnsi="宋体"/>
    </w:rPr>
  </w:style>
  <w:style w:type="paragraph" w:customStyle="1" w:styleId="83">
    <w:name w:val="表格"/>
    <w:basedOn w:val="1"/>
    <w:link w:val="84"/>
    <w:qFormat/>
    <w:uiPriority w:val="0"/>
    <w:pPr>
      <w:adjustRightInd w:val="0"/>
      <w:snapToGrid w:val="0"/>
      <w:spacing w:beforeLines="10" w:afterLines="10" w:line="259" w:lineRule="auto"/>
      <w:jc w:val="center"/>
    </w:pPr>
    <w:rPr>
      <w:rFonts w:ascii="宋体"/>
      <w:kern w:val="0"/>
      <w:szCs w:val="20"/>
    </w:rPr>
  </w:style>
  <w:style w:type="character" w:customStyle="1" w:styleId="84">
    <w:name w:val="表格 Char"/>
    <w:link w:val="83"/>
    <w:qFormat/>
    <w:locked/>
    <w:uiPriority w:val="0"/>
    <w:rPr>
      <w:rFonts w:ascii="宋体"/>
      <w:sz w:val="21"/>
    </w:rPr>
  </w:style>
  <w:style w:type="paragraph" w:customStyle="1" w:styleId="85">
    <w:name w:val="gyy正文文字"/>
    <w:basedOn w:val="1"/>
    <w:qFormat/>
    <w:uiPriority w:val="0"/>
    <w:pPr>
      <w:spacing w:line="360" w:lineRule="auto"/>
      <w:ind w:firstLine="471"/>
    </w:pPr>
    <w:rPr>
      <w:rFonts w:cs="宋体"/>
      <w:color w:val="000000"/>
      <w:spacing w:val="14"/>
      <w:sz w:val="24"/>
      <w:szCs w:val="20"/>
    </w:rPr>
  </w:style>
  <w:style w:type="paragraph" w:customStyle="1" w:styleId="86">
    <w:name w:val="p0"/>
    <w:basedOn w:val="1"/>
    <w:qFormat/>
    <w:uiPriority w:val="0"/>
    <w:pPr>
      <w:widowControl/>
    </w:pPr>
    <w:rPr>
      <w:kern w:val="0"/>
    </w:rPr>
  </w:style>
  <w:style w:type="paragraph" w:customStyle="1" w:styleId="87">
    <w:name w:val="Char Char Char Char Char Char Char Char Char Char Char Char Char Char Char Char Char Char Char"/>
    <w:basedOn w:val="1"/>
    <w:semiHidden/>
    <w:qFormat/>
    <w:uiPriority w:val="0"/>
  </w:style>
  <w:style w:type="paragraph" w:customStyle="1" w:styleId="88">
    <w:name w:val="大风丫口正文"/>
    <w:basedOn w:val="1"/>
    <w:link w:val="89"/>
    <w:qFormat/>
    <w:uiPriority w:val="0"/>
    <w:pPr>
      <w:spacing w:line="360" w:lineRule="auto"/>
      <w:ind w:firstLine="200" w:firstLineChars="200"/>
    </w:pPr>
    <w:rPr>
      <w:spacing w:val="10"/>
      <w:sz w:val="24"/>
      <w:szCs w:val="24"/>
    </w:rPr>
  </w:style>
  <w:style w:type="character" w:customStyle="1" w:styleId="89">
    <w:name w:val="大风丫口正文 Char"/>
    <w:link w:val="88"/>
    <w:qFormat/>
    <w:uiPriority w:val="0"/>
    <w:rPr>
      <w:spacing w:val="10"/>
      <w:kern w:val="2"/>
      <w:sz w:val="24"/>
      <w:szCs w:val="24"/>
    </w:rPr>
  </w:style>
  <w:style w:type="paragraph" w:customStyle="1" w:styleId="90">
    <w:name w:val="表格文字"/>
    <w:basedOn w:val="14"/>
    <w:next w:val="1"/>
    <w:link w:val="91"/>
    <w:qFormat/>
    <w:uiPriority w:val="0"/>
    <w:pPr>
      <w:jc w:val="center"/>
    </w:pPr>
    <w:rPr>
      <w:rFonts w:ascii="Times New Roman" w:hAnsi="Times New Roman" w:cs="Times New Roman"/>
      <w:color w:val="auto"/>
      <w:kern w:val="44"/>
    </w:rPr>
  </w:style>
  <w:style w:type="character" w:customStyle="1" w:styleId="91">
    <w:name w:val="表格文字 Char Char"/>
    <w:link w:val="90"/>
    <w:qFormat/>
    <w:uiPriority w:val="0"/>
    <w:rPr>
      <w:kern w:val="44"/>
      <w:sz w:val="21"/>
      <w:szCs w:val="21"/>
    </w:rPr>
  </w:style>
  <w:style w:type="paragraph" w:customStyle="1" w:styleId="92">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93">
    <w:name w:val="（文章）正文石"/>
    <w:basedOn w:val="1"/>
    <w:link w:val="94"/>
    <w:qFormat/>
    <w:uiPriority w:val="0"/>
    <w:pPr>
      <w:spacing w:line="360" w:lineRule="auto"/>
      <w:ind w:firstLine="200" w:firstLineChars="200"/>
    </w:pPr>
    <w:rPr>
      <w:rFonts w:eastAsia="仿宋_GB2312"/>
      <w:sz w:val="24"/>
      <w:szCs w:val="24"/>
    </w:rPr>
  </w:style>
  <w:style w:type="character" w:customStyle="1" w:styleId="94">
    <w:name w:val="（文章）正文石 Char"/>
    <w:link w:val="93"/>
    <w:qFormat/>
    <w:uiPriority w:val="0"/>
    <w:rPr>
      <w:rFonts w:eastAsia="仿宋_GB2312"/>
      <w:kern w:val="2"/>
      <w:sz w:val="24"/>
      <w:szCs w:val="24"/>
    </w:rPr>
  </w:style>
  <w:style w:type="paragraph" w:customStyle="1" w:styleId="95">
    <w:name w:val="表中文字"/>
    <w:next w:val="1"/>
    <w:link w:val="96"/>
    <w:qFormat/>
    <w:uiPriority w:val="0"/>
    <w:pPr>
      <w:widowControl w:val="0"/>
      <w:spacing w:before="40" w:after="40"/>
      <w:jc w:val="center"/>
    </w:pPr>
    <w:rPr>
      <w:rFonts w:ascii="Times New Roman" w:hAnsi="Times New Roman" w:eastAsia="宋体" w:cs="Times New Roman"/>
      <w:kern w:val="2"/>
      <w:sz w:val="21"/>
      <w:szCs w:val="24"/>
      <w:lang w:val="en-US" w:eastAsia="zh-CN" w:bidi="ar-SA"/>
    </w:rPr>
  </w:style>
  <w:style w:type="character" w:customStyle="1" w:styleId="96">
    <w:name w:val="表中文字 Char"/>
    <w:link w:val="95"/>
    <w:qFormat/>
    <w:uiPriority w:val="0"/>
    <w:rPr>
      <w:kern w:val="2"/>
      <w:sz w:val="21"/>
      <w:szCs w:val="24"/>
      <w:lang w:bidi="ar-SA"/>
    </w:rPr>
  </w:style>
  <w:style w:type="paragraph" w:customStyle="1" w:styleId="97">
    <w:name w:val="Default"/>
    <w:basedOn w:val="98"/>
    <w:qFormat/>
    <w:uiPriority w:val="0"/>
    <w:pPr>
      <w:autoSpaceDE w:val="0"/>
      <w:autoSpaceDN w:val="0"/>
      <w:adjustRightInd w:val="0"/>
    </w:pPr>
    <w:rPr>
      <w:rFonts w:ascii="宋体" w:cs="宋体"/>
      <w:color w:val="000000"/>
      <w:szCs w:val="24"/>
    </w:rPr>
  </w:style>
  <w:style w:type="paragraph" w:customStyle="1" w:styleId="98">
    <w:name w:val="纯文本1"/>
    <w:basedOn w:val="1"/>
    <w:qFormat/>
    <w:uiPriority w:val="0"/>
    <w:rPr>
      <w:rFonts w:hAnsi="Courier New" w:cs="Courier New"/>
      <w:bCs/>
      <w:sz w:val="24"/>
    </w:rPr>
  </w:style>
  <w:style w:type="paragraph" w:customStyle="1" w:styleId="99">
    <w:name w:val="正文txl"/>
    <w:basedOn w:val="1"/>
    <w:link w:val="100"/>
    <w:qFormat/>
    <w:uiPriority w:val="0"/>
    <w:pPr>
      <w:adjustRightInd w:val="0"/>
      <w:snapToGrid w:val="0"/>
      <w:spacing w:line="360" w:lineRule="auto"/>
      <w:ind w:firstLine="200" w:firstLineChars="200"/>
    </w:pPr>
    <w:rPr>
      <w:rFonts w:eastAsia="仿宋_GB2312"/>
      <w:sz w:val="24"/>
      <w:szCs w:val="24"/>
    </w:rPr>
  </w:style>
  <w:style w:type="character" w:customStyle="1" w:styleId="100">
    <w:name w:val="正文txl Char"/>
    <w:link w:val="99"/>
    <w:qFormat/>
    <w:uiPriority w:val="0"/>
    <w:rPr>
      <w:rFonts w:eastAsia="仿宋_GB2312"/>
      <w:kern w:val="2"/>
      <w:sz w:val="24"/>
      <w:szCs w:val="24"/>
    </w:rPr>
  </w:style>
  <w:style w:type="paragraph" w:customStyle="1" w:styleId="101">
    <w:name w:val="1表格内容"/>
    <w:qFormat/>
    <w:uiPriority w:val="0"/>
    <w:pPr>
      <w:adjustRightInd w:val="0"/>
      <w:snapToGrid w:val="0"/>
      <w:jc w:val="center"/>
    </w:pPr>
    <w:rPr>
      <w:rFonts w:ascii="宋体" w:hAnsi="宋体" w:eastAsia="宋体" w:cs="Times New Roman"/>
      <w:sz w:val="18"/>
      <w:lang w:val="en-US" w:eastAsia="zh-CN" w:bidi="ar-SA"/>
    </w:rPr>
  </w:style>
  <w:style w:type="paragraph" w:customStyle="1" w:styleId="102">
    <w:name w:val="表标题"/>
    <w:basedOn w:val="1"/>
    <w:next w:val="1"/>
    <w:link w:val="103"/>
    <w:qFormat/>
    <w:uiPriority w:val="0"/>
    <w:pPr>
      <w:adjustRightInd w:val="0"/>
      <w:snapToGrid w:val="0"/>
      <w:spacing w:beforeLines="50" w:afterLines="50"/>
      <w:jc w:val="center"/>
      <w:textAlignment w:val="baseline"/>
    </w:pPr>
    <w:rPr>
      <w:b/>
      <w:bCs/>
      <w:kern w:val="0"/>
      <w:sz w:val="24"/>
      <w:szCs w:val="20"/>
    </w:rPr>
  </w:style>
  <w:style w:type="character" w:customStyle="1" w:styleId="103">
    <w:name w:val="表标题 Char Char"/>
    <w:link w:val="102"/>
    <w:qFormat/>
    <w:uiPriority w:val="0"/>
    <w:rPr>
      <w:b/>
      <w:bCs/>
      <w:sz w:val="24"/>
    </w:rPr>
  </w:style>
  <w:style w:type="paragraph" w:customStyle="1" w:styleId="104">
    <w:name w:val="无间隔1"/>
    <w:basedOn w:val="1"/>
    <w:qFormat/>
    <w:uiPriority w:val="0"/>
    <w:pPr>
      <w:adjustRightInd w:val="0"/>
      <w:snapToGrid w:val="0"/>
      <w:jc w:val="center"/>
    </w:pPr>
    <w:rPr>
      <w:snapToGrid w:val="0"/>
      <w:kern w:val="0"/>
      <w:sz w:val="18"/>
    </w:rPr>
  </w:style>
  <w:style w:type="paragraph" w:customStyle="1" w:styleId="105">
    <w:name w:val="自定义2"/>
    <w:basedOn w:val="1"/>
    <w:link w:val="106"/>
    <w:qFormat/>
    <w:uiPriority w:val="0"/>
    <w:pPr>
      <w:spacing w:line="360" w:lineRule="auto"/>
      <w:ind w:firstLine="480" w:firstLineChars="200"/>
    </w:pPr>
    <w:rPr>
      <w:rFonts w:hAnsi="宋体"/>
      <w:sz w:val="24"/>
      <w:szCs w:val="22"/>
    </w:rPr>
  </w:style>
  <w:style w:type="character" w:customStyle="1" w:styleId="106">
    <w:name w:val="自定义2 Char Char"/>
    <w:link w:val="105"/>
    <w:qFormat/>
    <w:uiPriority w:val="0"/>
    <w:rPr>
      <w:rFonts w:hAnsi="宋体"/>
      <w:kern w:val="2"/>
      <w:sz w:val="24"/>
      <w:szCs w:val="22"/>
    </w:rPr>
  </w:style>
  <w:style w:type="paragraph" w:customStyle="1" w:styleId="107">
    <w:name w:val="标题411"/>
    <w:basedOn w:val="5"/>
    <w:link w:val="108"/>
    <w:qFormat/>
    <w:uiPriority w:val="0"/>
    <w:pPr>
      <w:numPr>
        <w:ilvl w:val="2"/>
        <w:numId w:val="2"/>
      </w:numPr>
      <w:spacing w:before="0" w:after="0" w:line="360" w:lineRule="auto"/>
      <w:outlineLvl w:val="3"/>
    </w:pPr>
    <w:rPr>
      <w:rFonts w:eastAsia="仿宋_GB2312"/>
      <w:sz w:val="28"/>
    </w:rPr>
  </w:style>
  <w:style w:type="character" w:customStyle="1" w:styleId="108">
    <w:name w:val="标题411 字符"/>
    <w:link w:val="107"/>
    <w:qFormat/>
    <w:uiPriority w:val="0"/>
    <w:rPr>
      <w:rFonts w:eastAsia="仿宋_GB2312"/>
      <w:b/>
      <w:bCs/>
      <w:kern w:val="2"/>
      <w:sz w:val="28"/>
      <w:szCs w:val="32"/>
    </w:rPr>
  </w:style>
  <w:style w:type="paragraph" w:customStyle="1" w:styleId="109">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110">
    <w:name w:val="!表格(alt+t)"/>
    <w:next w:val="1"/>
    <w:qFormat/>
    <w:uiPriority w:val="0"/>
    <w:pPr>
      <w:widowControl w:val="0"/>
      <w:adjustRightInd w:val="0"/>
      <w:spacing w:line="240" w:lineRule="atLeast"/>
      <w:jc w:val="center"/>
      <w:textAlignment w:val="center"/>
    </w:pPr>
    <w:rPr>
      <w:rFonts w:ascii="Times New Roman" w:hAnsi="Times New Roman" w:eastAsia="仿宋_GB2312" w:cs="Times New Roman"/>
      <w:bCs/>
      <w:color w:val="000000"/>
      <w:sz w:val="18"/>
      <w:szCs w:val="18"/>
      <w:lang w:val="en-US" w:eastAsia="zh-CN" w:bidi="ar-SA"/>
    </w:rPr>
  </w:style>
  <w:style w:type="paragraph" w:customStyle="1" w:styleId="111">
    <w:name w:val="正文11"/>
    <w:basedOn w:val="1"/>
    <w:qFormat/>
    <w:uiPriority w:val="0"/>
    <w:pPr>
      <w:spacing w:line="360" w:lineRule="auto"/>
      <w:ind w:firstLine="480" w:firstLineChars="200"/>
    </w:pPr>
    <w:rPr>
      <w:bCs/>
      <w:sz w:val="23"/>
      <w:szCs w:val="23"/>
    </w:rPr>
  </w:style>
  <w:style w:type="paragraph" w:customStyle="1" w:styleId="112">
    <w:name w:val="方案正文样式"/>
    <w:basedOn w:val="1"/>
    <w:qFormat/>
    <w:uiPriority w:val="0"/>
    <w:pPr>
      <w:adjustRightInd w:val="0"/>
      <w:snapToGrid w:val="0"/>
      <w:spacing w:line="408" w:lineRule="auto"/>
      <w:ind w:firstLine="454"/>
      <w:textAlignment w:val="baseline"/>
    </w:pPr>
    <w:rPr>
      <w:rFonts w:ascii="宋体"/>
      <w:snapToGrid w:val="0"/>
      <w:spacing w:val="10"/>
      <w:szCs w:val="24"/>
    </w:rPr>
  </w:style>
  <w:style w:type="paragraph" w:customStyle="1" w:styleId="113">
    <w:name w:val="正文1 Char Char Char Char"/>
    <w:basedOn w:val="1"/>
    <w:qFormat/>
    <w:uiPriority w:val="0"/>
    <w:rPr>
      <w:szCs w:val="30"/>
    </w:rPr>
  </w:style>
  <w:style w:type="paragraph" w:customStyle="1" w:styleId="114">
    <w:name w:val="_Style 57"/>
    <w:basedOn w:val="2"/>
    <w:next w:val="1"/>
    <w:unhideWhenUsed/>
    <w:qFormat/>
    <w:uiPriority w:val="39"/>
    <w:pPr>
      <w:keepLines/>
      <w:widowControl/>
      <w:overflowPunct/>
      <w:snapToGrid/>
      <w:spacing w:before="240" w:after="0"/>
      <w:ind w:left="0" w:firstLine="0"/>
      <w:jc w:val="left"/>
      <w:outlineLvl w:val="9"/>
    </w:pPr>
    <w:rPr>
      <w:rFonts w:ascii="等线 Light" w:hAnsi="等线 Light" w:eastAsia="等线 Light"/>
      <w:b w:val="0"/>
      <w:bCs w:val="0"/>
      <w:color w:val="2E74B5"/>
      <w:kern w:val="0"/>
      <w:sz w:val="32"/>
      <w:szCs w:val="32"/>
    </w:rPr>
  </w:style>
  <w:style w:type="paragraph" w:customStyle="1" w:styleId="115">
    <w:name w:val="Table Paragraph"/>
    <w:basedOn w:val="1"/>
    <w:qFormat/>
    <w:uiPriority w:val="1"/>
    <w:pPr>
      <w:autoSpaceDE w:val="0"/>
      <w:autoSpaceDN w:val="0"/>
      <w:adjustRightInd w:val="0"/>
      <w:jc w:val="left"/>
    </w:pPr>
    <w:rPr>
      <w:rFonts w:ascii="宋体" w:cs="宋体"/>
      <w:kern w:val="0"/>
      <w:sz w:val="24"/>
    </w:rPr>
  </w:style>
  <w:style w:type="paragraph" w:customStyle="1" w:styleId="116">
    <w:name w:val="正文（首行缩进两字）m"/>
    <w:basedOn w:val="7"/>
    <w:link w:val="117"/>
    <w:qFormat/>
    <w:uiPriority w:val="0"/>
    <w:pPr>
      <w:tabs>
        <w:tab w:val="left" w:pos="1848"/>
        <w:tab w:val="left" w:pos="6061"/>
        <w:tab w:val="left" w:pos="8665"/>
      </w:tabs>
      <w:adjustRightInd w:val="0"/>
      <w:snapToGrid w:val="0"/>
      <w:spacing w:beforeLines="50" w:line="460" w:lineRule="exact"/>
      <w:ind w:firstLine="480" w:firstLineChars="0"/>
    </w:pPr>
    <w:rPr>
      <w:color w:val="339966"/>
      <w:sz w:val="24"/>
      <w:szCs w:val="24"/>
    </w:rPr>
  </w:style>
  <w:style w:type="character" w:customStyle="1" w:styleId="117">
    <w:name w:val="正文（首行缩进两字）m Char Char"/>
    <w:link w:val="116"/>
    <w:qFormat/>
    <w:uiPriority w:val="0"/>
    <w:rPr>
      <w:color w:val="339966"/>
      <w:kern w:val="2"/>
      <w:sz w:val="24"/>
      <w:szCs w:val="24"/>
    </w:rPr>
  </w:style>
  <w:style w:type="paragraph" w:customStyle="1" w:styleId="118">
    <w:name w:val="sb-正文"/>
    <w:basedOn w:val="1"/>
    <w:link w:val="119"/>
    <w:qFormat/>
    <w:uiPriority w:val="0"/>
    <w:pPr>
      <w:spacing w:line="360" w:lineRule="auto"/>
      <w:ind w:firstLine="496" w:firstLineChars="200"/>
      <w:jc w:val="left"/>
    </w:pPr>
    <w:rPr>
      <w:rFonts w:eastAsia="仿宋_GB2312"/>
      <w:spacing w:val="4"/>
      <w:sz w:val="24"/>
      <w:szCs w:val="24"/>
    </w:rPr>
  </w:style>
  <w:style w:type="character" w:customStyle="1" w:styleId="119">
    <w:name w:val="sb-正文 Char"/>
    <w:link w:val="118"/>
    <w:qFormat/>
    <w:uiPriority w:val="0"/>
    <w:rPr>
      <w:rFonts w:eastAsia="仿宋_GB2312"/>
      <w:spacing w:val="4"/>
      <w:kern w:val="2"/>
      <w:sz w:val="24"/>
      <w:szCs w:val="24"/>
    </w:rPr>
  </w:style>
  <w:style w:type="paragraph" w:customStyle="1" w:styleId="120">
    <w:name w:val="SB-改正文"/>
    <w:basedOn w:val="118"/>
    <w:qFormat/>
    <w:uiPriority w:val="0"/>
    <w:pPr>
      <w:ind w:firstLine="480"/>
      <w:jc w:val="center"/>
    </w:pPr>
  </w:style>
  <w:style w:type="paragraph" w:customStyle="1" w:styleId="121">
    <w:name w:val="1-表中文字"/>
    <w:next w:val="1"/>
    <w:qFormat/>
    <w:uiPriority w:val="0"/>
    <w:pPr>
      <w:widowControl w:val="0"/>
      <w:adjustRightInd w:val="0"/>
      <w:snapToGrid w:val="0"/>
      <w:jc w:val="center"/>
    </w:pPr>
    <w:rPr>
      <w:rFonts w:ascii="Times New Roman" w:hAnsi="Times New Roman" w:eastAsia="宋体" w:cs="Times New Roman"/>
      <w:sz w:val="21"/>
      <w:szCs w:val="21"/>
      <w:lang w:val="en-US" w:eastAsia="zh-CN" w:bidi="ar-SA"/>
    </w:rPr>
  </w:style>
  <w:style w:type="character" w:customStyle="1" w:styleId="122">
    <w:name w:val="日期 字符"/>
    <w:semiHidden/>
    <w:qFormat/>
    <w:uiPriority w:val="0"/>
    <w:rPr>
      <w:rFonts w:ascii="Times New Roman" w:hAnsi="Times New Roman" w:eastAsia="宋体" w:cs="Times New Roman"/>
      <w:sz w:val="24"/>
      <w:szCs w:val="24"/>
    </w:rPr>
  </w:style>
  <w:style w:type="character" w:customStyle="1" w:styleId="123">
    <w:name w:val="普通(网站) Char"/>
    <w:qFormat/>
    <w:locked/>
    <w:uiPriority w:val="0"/>
    <w:rPr>
      <w:rFonts w:ascii="宋体" w:hAnsi="宋体" w:eastAsia="宋体"/>
      <w:sz w:val="24"/>
    </w:rPr>
  </w:style>
  <w:style w:type="character" w:customStyle="1" w:styleId="124">
    <w:name w:val="批注文字 字符1"/>
    <w:semiHidden/>
    <w:qFormat/>
    <w:uiPriority w:val="0"/>
    <w:rPr>
      <w:rFonts w:ascii="Times New Roman" w:hAnsi="Times New Roman" w:eastAsia="宋体" w:cs="Times New Roman"/>
      <w:sz w:val="24"/>
      <w:szCs w:val="24"/>
    </w:rPr>
  </w:style>
  <w:style w:type="character" w:customStyle="1" w:styleId="125">
    <w:name w:val="bsharetext"/>
    <w:qFormat/>
    <w:uiPriority w:val="0"/>
  </w:style>
  <w:style w:type="character" w:customStyle="1" w:styleId="126">
    <w:name w:val="fontstrikethrough"/>
    <w:qFormat/>
    <w:uiPriority w:val="0"/>
    <w:rPr>
      <w:strike/>
    </w:rPr>
  </w:style>
  <w:style w:type="character" w:customStyle="1" w:styleId="127">
    <w:name w:val="fontborder"/>
    <w:qFormat/>
    <w:uiPriority w:val="0"/>
    <w:rPr>
      <w:bdr w:val="single" w:color="000000" w:sz="6" w:space="0"/>
    </w:rPr>
  </w:style>
  <w:style w:type="character" w:customStyle="1" w:styleId="128">
    <w:name w:val="正文文本 字符1"/>
    <w:semiHidden/>
    <w:qFormat/>
    <w:uiPriority w:val="0"/>
    <w:rPr>
      <w:rFonts w:ascii="Times New Roman" w:hAnsi="Times New Roman" w:eastAsia="宋体" w:cs="Times New Roman"/>
      <w:sz w:val="24"/>
      <w:szCs w:val="24"/>
    </w:rPr>
  </w:style>
  <w:style w:type="character" w:customStyle="1" w:styleId="129">
    <w:name w:val="正文（首行缩进两字） Char Char"/>
    <w:qFormat/>
    <w:uiPriority w:val="0"/>
    <w:rPr>
      <w:rFonts w:eastAsia="宋体"/>
      <w:spacing w:val="14"/>
      <w:kern w:val="2"/>
      <w:sz w:val="28"/>
      <w:szCs w:val="28"/>
      <w:lang w:val="en-US" w:eastAsia="zh-CN" w:bidi="ar-SA"/>
    </w:rPr>
  </w:style>
  <w:style w:type="table" w:customStyle="1" w:styleId="130">
    <w:name w:val="自己"/>
    <w:basedOn w:val="30"/>
    <w:qFormat/>
    <w:uiPriority w:val="0"/>
    <w:pPr>
      <w:jc w:val="center"/>
    </w:pPr>
    <w:rPr>
      <w:rFonts w:eastAsia="仿宋_GB2312"/>
      <w:sz w:val="18"/>
    </w:rPr>
    <w:tblP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
    <w:tcPr>
      <w:vAlign w:val="center"/>
    </w:tcPr>
  </w:style>
  <w:style w:type="character" w:customStyle="1" w:styleId="131">
    <w:name w:val="font21"/>
    <w:qFormat/>
    <w:uiPriority w:val="0"/>
    <w:rPr>
      <w:rFonts w:hint="eastAsia" w:ascii="宋体" w:hAnsi="宋体" w:eastAsia="宋体" w:cs="宋体"/>
      <w:color w:val="000000"/>
      <w:sz w:val="21"/>
      <w:szCs w:val="21"/>
      <w:u w:val="none"/>
    </w:rPr>
  </w:style>
  <w:style w:type="character" w:customStyle="1" w:styleId="132">
    <w:name w:val="font11"/>
    <w:qFormat/>
    <w:uiPriority w:val="0"/>
    <w:rPr>
      <w:rFonts w:hint="default" w:ascii="Times New Roman" w:hAnsi="Times New Roman" w:cs="Times New Roman"/>
      <w:color w:val="000000"/>
      <w:sz w:val="21"/>
      <w:szCs w:val="21"/>
      <w:u w:val="none"/>
      <w:vertAlign w:val="superscript"/>
    </w:rPr>
  </w:style>
  <w:style w:type="character" w:customStyle="1" w:styleId="133">
    <w:name w:val="font41"/>
    <w:qFormat/>
    <w:uiPriority w:val="0"/>
    <w:rPr>
      <w:rFonts w:hint="default" w:ascii="Times New Roman" w:hAnsi="Times New Roman" w:cs="Times New Roman"/>
      <w:color w:val="000000"/>
      <w:sz w:val="21"/>
      <w:szCs w:val="21"/>
      <w:u w:val="none"/>
    </w:rPr>
  </w:style>
  <w:style w:type="character" w:customStyle="1" w:styleId="134">
    <w:name w:val="font61"/>
    <w:qFormat/>
    <w:uiPriority w:val="0"/>
    <w:rPr>
      <w:rFonts w:hint="eastAsia" w:ascii="宋体" w:hAnsi="宋体" w:eastAsia="宋体" w:cs="宋体"/>
      <w:color w:val="000000"/>
      <w:sz w:val="21"/>
      <w:szCs w:val="21"/>
      <w:u w:val="none"/>
    </w:rPr>
  </w:style>
  <w:style w:type="character" w:customStyle="1" w:styleId="135">
    <w:name w:val="font71"/>
    <w:qFormat/>
    <w:uiPriority w:val="0"/>
    <w:rPr>
      <w:rFonts w:hint="default" w:ascii="Times New Roman" w:hAnsi="Times New Roman" w:cs="Times New Roman"/>
      <w:color w:val="000000"/>
      <w:sz w:val="21"/>
      <w:szCs w:val="21"/>
      <w:u w:val="none"/>
    </w:rPr>
  </w:style>
  <w:style w:type="character" w:customStyle="1" w:styleId="136">
    <w:name w:val="font51"/>
    <w:qFormat/>
    <w:uiPriority w:val="0"/>
    <w:rPr>
      <w:rFonts w:hint="default" w:ascii="Times New Roman" w:hAnsi="Times New Roman" w:cs="Times New Roman"/>
      <w:color w:val="000000"/>
      <w:sz w:val="21"/>
      <w:szCs w:val="21"/>
      <w:u w:val="none"/>
    </w:rPr>
  </w:style>
  <w:style w:type="paragraph" w:customStyle="1" w:styleId="137">
    <w:name w:val="样式 样式1 + Times New Roman"/>
    <w:basedOn w:val="66"/>
    <w:qFormat/>
    <w:uiPriority w:val="0"/>
  </w:style>
  <w:style w:type="character" w:customStyle="1" w:styleId="138">
    <w:name w:val="font01"/>
    <w:qFormat/>
    <w:uiPriority w:val="0"/>
    <w:rPr>
      <w:rFonts w:hint="eastAsia" w:ascii="宋体" w:hAnsi="宋体" w:eastAsia="宋体" w:cs="宋体"/>
      <w:color w:val="000000"/>
      <w:sz w:val="21"/>
      <w:szCs w:val="21"/>
      <w:u w:val="none"/>
    </w:rPr>
  </w:style>
  <w:style w:type="paragraph" w:customStyle="1" w:styleId="139">
    <w:name w:val="表中文字-lxd"/>
    <w:next w:val="1"/>
    <w:link w:val="140"/>
    <w:unhideWhenUsed/>
    <w:qFormat/>
    <w:uiPriority w:val="0"/>
    <w:pPr>
      <w:widowControl w:val="0"/>
      <w:spacing w:before="40" w:after="40"/>
      <w:jc w:val="center"/>
    </w:pPr>
    <w:rPr>
      <w:rFonts w:ascii="Times New Roman" w:hAnsi="Times New Roman" w:eastAsia="宋体" w:cs="Times New Roman"/>
      <w:kern w:val="2"/>
      <w:sz w:val="21"/>
      <w:lang w:val="en-US" w:eastAsia="zh-CN" w:bidi="ar-SA"/>
    </w:rPr>
  </w:style>
  <w:style w:type="character" w:customStyle="1" w:styleId="140">
    <w:name w:val="表中文字-lxd Char Char"/>
    <w:link w:val="139"/>
    <w:qFormat/>
    <w:uiPriority w:val="0"/>
    <w:rPr>
      <w:kern w:val="2"/>
      <w:sz w:val="21"/>
      <w:lang w:bidi="ar-SA"/>
    </w:rPr>
  </w:style>
  <w:style w:type="character" w:customStyle="1" w:styleId="141">
    <w:name w:val="apple-style-span"/>
    <w:qFormat/>
    <w:uiPriority w:val="0"/>
    <w:rPr>
      <w:rFonts w:ascii="Times New Roman" w:hAnsi="Times New Roman"/>
      <w:color w:val="auto"/>
      <w:szCs w:val="24"/>
    </w:rPr>
  </w:style>
  <w:style w:type="paragraph" w:customStyle="1" w:styleId="142">
    <w:name w:val="正文首行缩进 2 + 首行缩进:  2 字符1 + 首行缩进:  2 字符"/>
    <w:basedOn w:val="1"/>
    <w:qFormat/>
    <w:uiPriority w:val="0"/>
    <w:pPr>
      <w:adjustRightInd w:val="0"/>
      <w:spacing w:line="360" w:lineRule="auto"/>
      <w:ind w:firstLine="480" w:firstLineChars="200"/>
      <w:textAlignment w:val="baseline"/>
    </w:pPr>
    <w:rPr>
      <w:rFonts w:cs="宋体"/>
      <w:color w:val="FF0000"/>
      <w:sz w:val="24"/>
      <w:szCs w:val="20"/>
    </w:rPr>
  </w:style>
  <w:style w:type="character" w:customStyle="1" w:styleId="143">
    <w:name w:val="fontstyle01"/>
    <w:qFormat/>
    <w:uiPriority w:val="0"/>
    <w:rPr>
      <w:rFonts w:hint="eastAsia" w:ascii="宋体" w:hAnsi="宋体" w:eastAsia="宋体"/>
      <w:color w:val="000000"/>
      <w:sz w:val="24"/>
      <w:szCs w:val="24"/>
    </w:rPr>
  </w:style>
  <w:style w:type="paragraph" w:customStyle="1" w:styleId="144">
    <w:name w:val="_Style 111"/>
    <w:basedOn w:val="12"/>
    <w:next w:val="1"/>
    <w:qFormat/>
    <w:uiPriority w:val="0"/>
    <w:pPr>
      <w:ind w:firstLine="420" w:firstLineChars="200"/>
    </w:pPr>
  </w:style>
  <w:style w:type="paragraph" w:customStyle="1" w:styleId="145">
    <w:name w:val="Char Char Char Char"/>
    <w:basedOn w:val="1"/>
    <w:qFormat/>
    <w:uiPriority w:val="0"/>
    <w:pPr>
      <w:spacing w:line="360" w:lineRule="auto"/>
      <w:ind w:firstLine="200" w:firstLineChars="200"/>
    </w:pPr>
    <w:rPr>
      <w:rFonts w:ascii="宋体" w:hAnsi="宋体" w:cs="宋体"/>
      <w:sz w:val="24"/>
    </w:rPr>
  </w:style>
  <w:style w:type="character" w:customStyle="1" w:styleId="146">
    <w:name w:val="题注 Char"/>
    <w:qFormat/>
    <w:uiPriority w:val="0"/>
    <w:rPr>
      <w:rFonts w:ascii="黑体" w:eastAsia="黑体"/>
      <w:kern w:val="2"/>
      <w:sz w:val="24"/>
    </w:rPr>
  </w:style>
  <w:style w:type="paragraph" w:customStyle="1" w:styleId="147">
    <w:name w:val="6正文"/>
    <w:basedOn w:val="1"/>
    <w:qFormat/>
    <w:uiPriority w:val="0"/>
    <w:pPr>
      <w:adjustRightInd w:val="0"/>
      <w:snapToGrid w:val="0"/>
      <w:spacing w:line="360" w:lineRule="auto"/>
      <w:ind w:firstLine="200" w:firstLineChars="200"/>
    </w:pPr>
    <w:rPr>
      <w:rFonts w:eastAsia="仿宋"/>
      <w:szCs w:val="24"/>
    </w:rPr>
  </w:style>
  <w:style w:type="character" w:customStyle="1" w:styleId="148">
    <w:name w:val="正文文本 Char"/>
    <w:qFormat/>
    <w:locked/>
    <w:uiPriority w:val="0"/>
    <w:rPr>
      <w:sz w:val="18"/>
    </w:rPr>
  </w:style>
  <w:style w:type="character" w:customStyle="1" w:styleId="149">
    <w:name w:val="正文首行缩进 字符"/>
    <w:qFormat/>
    <w:uiPriority w:val="99"/>
    <w:rPr>
      <w:rFonts w:ascii="Calibri" w:hAnsi="Calibri" w:eastAsia="宋体" w:cs="Times New Roman"/>
      <w:b/>
      <w:kern w:val="2"/>
      <w:sz w:val="24"/>
      <w:szCs w:val="22"/>
    </w:rPr>
  </w:style>
  <w:style w:type="paragraph" w:customStyle="1" w:styleId="150">
    <w:name w:val="1jw正文"/>
    <w:qFormat/>
    <w:uiPriority w:val="0"/>
    <w:pPr>
      <w:spacing w:beforeLines="50" w:afterLines="50" w:line="360" w:lineRule="auto"/>
      <w:ind w:firstLine="200" w:firstLineChars="200"/>
    </w:pPr>
    <w:rPr>
      <w:rFonts w:ascii="Times New Roman" w:hAnsi="Times New Roman" w:eastAsia="宋体" w:cs="宋体"/>
      <w:sz w:val="24"/>
      <w:szCs w:val="24"/>
      <w:lang w:val="en-US" w:eastAsia="zh-CN" w:bidi="ar-SA"/>
    </w:rPr>
  </w:style>
  <w:style w:type="character" w:customStyle="1" w:styleId="151">
    <w:name w:val="正文文本 2 字符"/>
    <w:qFormat/>
    <w:uiPriority w:val="0"/>
    <w:rPr>
      <w:kern w:val="2"/>
      <w:sz w:val="21"/>
      <w:szCs w:val="21"/>
    </w:rPr>
  </w:style>
  <w:style w:type="paragraph" w:customStyle="1" w:styleId="152">
    <w:name w:val="封面主标题"/>
    <w:basedOn w:val="153"/>
    <w:qFormat/>
    <w:uiPriority w:val="99"/>
    <w:pPr>
      <w:jc w:val="center"/>
    </w:pPr>
    <w:rPr>
      <w:rFonts w:ascii="华文新魏" w:eastAsia="华文新魏" w:cs="宋体"/>
      <w:b/>
      <w:bCs/>
      <w:w w:val="100"/>
      <w:sz w:val="84"/>
      <w:szCs w:val="84"/>
    </w:rPr>
  </w:style>
  <w:style w:type="paragraph" w:customStyle="1" w:styleId="153">
    <w:name w:val="封面标题"/>
    <w:basedOn w:val="1"/>
    <w:qFormat/>
    <w:uiPriority w:val="99"/>
    <w:rPr>
      <w:rFonts w:ascii="华文中宋" w:hAnsi="华文中宋" w:eastAsia="华文中宋"/>
      <w:w w:val="150"/>
      <w:sz w:val="28"/>
      <w:szCs w:val="28"/>
    </w:rPr>
  </w:style>
  <w:style w:type="paragraph" w:customStyle="1" w:styleId="154">
    <w:name w:val="！正文 Alt+0"/>
    <w:basedOn w:val="1"/>
    <w:qFormat/>
    <w:uiPriority w:val="0"/>
    <w:rPr>
      <w:sz w:val="24"/>
    </w:rPr>
  </w:style>
  <w:style w:type="paragraph" w:customStyle="1" w:styleId="155">
    <w:name w:val="表头"/>
    <w:basedOn w:val="1"/>
    <w:link w:val="156"/>
    <w:qFormat/>
    <w:uiPriority w:val="0"/>
    <w:pPr>
      <w:spacing w:line="360" w:lineRule="auto"/>
      <w:jc w:val="center"/>
    </w:pPr>
    <w:rPr>
      <w:b/>
      <w:sz w:val="24"/>
      <w:szCs w:val="22"/>
    </w:rPr>
  </w:style>
  <w:style w:type="character" w:customStyle="1" w:styleId="156">
    <w:name w:val="表头 Char"/>
    <w:link w:val="155"/>
    <w:qFormat/>
    <w:uiPriority w:val="0"/>
    <w:rPr>
      <w:b/>
      <w:kern w:val="2"/>
      <w:sz w:val="24"/>
      <w:szCs w:val="22"/>
    </w:rPr>
  </w:style>
  <w:style w:type="paragraph" w:customStyle="1" w:styleId="157">
    <w:name w:val="图标标题"/>
    <w:basedOn w:val="1"/>
    <w:link w:val="158"/>
    <w:qFormat/>
    <w:uiPriority w:val="0"/>
    <w:pPr>
      <w:spacing w:line="360" w:lineRule="auto"/>
      <w:ind w:firstLine="422" w:firstLineChars="200"/>
      <w:jc w:val="center"/>
    </w:pPr>
    <w:rPr>
      <w:b/>
      <w:bCs/>
    </w:rPr>
  </w:style>
  <w:style w:type="character" w:customStyle="1" w:styleId="158">
    <w:name w:val="图标标题 字符"/>
    <w:link w:val="157"/>
    <w:qFormat/>
    <w:uiPriority w:val="0"/>
    <w:rPr>
      <w:b/>
      <w:bCs/>
      <w:kern w:val="2"/>
      <w:sz w:val="21"/>
      <w:szCs w:val="21"/>
    </w:rPr>
  </w:style>
  <w:style w:type="paragraph" w:customStyle="1" w:styleId="159">
    <w:name w:val="二级正文"/>
    <w:basedOn w:val="160"/>
    <w:next w:val="1"/>
    <w:qFormat/>
    <w:uiPriority w:val="0"/>
    <w:pPr>
      <w:ind w:firstLine="562" w:firstLineChars="200"/>
    </w:pPr>
  </w:style>
  <w:style w:type="paragraph" w:customStyle="1" w:styleId="160">
    <w:name w:val="一级正文"/>
    <w:basedOn w:val="1"/>
    <w:next w:val="1"/>
    <w:qFormat/>
    <w:uiPriority w:val="0"/>
    <w:rPr>
      <w:b/>
    </w:rPr>
  </w:style>
  <w:style w:type="character" w:customStyle="1" w:styleId="161">
    <w:name w:val="data"/>
    <w:qFormat/>
    <w:uiPriority w:val="0"/>
    <w:rPr>
      <w:rFonts w:hint="eastAsia" w:ascii="宋体" w:hAnsi="宋体" w:eastAsia="宋体" w:cs="宋体"/>
      <w:color w:val="595757"/>
      <w:sz w:val="27"/>
      <w:szCs w:val="27"/>
    </w:rPr>
  </w:style>
  <w:style w:type="character" w:customStyle="1" w:styleId="162">
    <w:name w:val="font91"/>
    <w:qFormat/>
    <w:uiPriority w:val="0"/>
    <w:rPr>
      <w:rFonts w:hint="eastAsia" w:ascii="宋体" w:hAnsi="宋体" w:eastAsia="宋体" w:cs="宋体"/>
      <w:color w:val="000000"/>
      <w:sz w:val="21"/>
      <w:szCs w:val="21"/>
      <w:u w:val="none"/>
    </w:rPr>
  </w:style>
  <w:style w:type="character" w:customStyle="1" w:styleId="163">
    <w:name w:val="data1"/>
    <w:qFormat/>
    <w:uiPriority w:val="0"/>
    <w:rPr>
      <w:rFonts w:hint="eastAsia" w:ascii="宋体" w:hAnsi="宋体" w:eastAsia="宋体" w:cs="宋体"/>
      <w:color w:val="595757"/>
      <w:sz w:val="22"/>
      <w:szCs w:val="22"/>
    </w:rPr>
  </w:style>
  <w:style w:type="character" w:customStyle="1" w:styleId="164">
    <w:name w:val="正文文本缩进 字符1"/>
    <w:semiHidden/>
    <w:qFormat/>
    <w:uiPriority w:val="99"/>
  </w:style>
  <w:style w:type="character" w:customStyle="1" w:styleId="165">
    <w:name w:val="正文文本首行缩进 2 字符1"/>
    <w:semiHidden/>
    <w:qFormat/>
    <w:uiPriority w:val="99"/>
  </w:style>
  <w:style w:type="character" w:customStyle="1" w:styleId="166">
    <w:name w:val="正文文本 字符2"/>
    <w:semiHidden/>
    <w:qFormat/>
    <w:uiPriority w:val="99"/>
  </w:style>
  <w:style w:type="character" w:customStyle="1" w:styleId="167">
    <w:name w:val="批注文字 字符2"/>
    <w:qFormat/>
    <w:uiPriority w:val="99"/>
  </w:style>
  <w:style w:type="character" w:customStyle="1" w:styleId="168">
    <w:name w:val="批注主题 字符1"/>
    <w:semiHidden/>
    <w:qFormat/>
    <w:uiPriority w:val="99"/>
    <w:rPr>
      <w:b/>
      <w:bCs/>
    </w:rPr>
  </w:style>
  <w:style w:type="character" w:customStyle="1" w:styleId="169">
    <w:name w:val="正文文本缩进 3 字符1"/>
    <w:semiHidden/>
    <w:qFormat/>
    <w:uiPriority w:val="99"/>
    <w:rPr>
      <w:sz w:val="16"/>
      <w:szCs w:val="16"/>
    </w:rPr>
  </w:style>
  <w:style w:type="character" w:customStyle="1" w:styleId="170">
    <w:name w:val="批注框文本 字符1"/>
    <w:semiHidden/>
    <w:qFormat/>
    <w:uiPriority w:val="99"/>
    <w:rPr>
      <w:sz w:val="18"/>
      <w:szCs w:val="18"/>
    </w:rPr>
  </w:style>
  <w:style w:type="character" w:customStyle="1" w:styleId="171">
    <w:name w:val="日期 字符2"/>
    <w:semiHidden/>
    <w:qFormat/>
    <w:uiPriority w:val="99"/>
  </w:style>
  <w:style w:type="paragraph" w:customStyle="1" w:styleId="172">
    <w:name w:val="正文首行缩进2"/>
    <w:qFormat/>
    <w:uiPriority w:val="0"/>
    <w:pPr>
      <w:widowControl w:val="0"/>
      <w:spacing w:line="360" w:lineRule="auto"/>
      <w:ind w:firstLine="200" w:firstLineChars="200"/>
    </w:pPr>
    <w:rPr>
      <w:rFonts w:ascii="Times New Roman" w:hAnsi="Times New Roman" w:eastAsia="Times New Roman" w:cs="Times New Roman"/>
      <w:color w:val="000000"/>
      <w:kern w:val="2"/>
      <w:sz w:val="24"/>
      <w:szCs w:val="21"/>
      <w:lang w:val="en-US" w:eastAsia="zh-CN" w:bidi="ar-SA"/>
    </w:rPr>
  </w:style>
  <w:style w:type="paragraph" w:customStyle="1" w:styleId="173">
    <w:name w:val="KD表格标题"/>
    <w:next w:val="174"/>
    <w:qFormat/>
    <w:uiPriority w:val="0"/>
    <w:pPr>
      <w:spacing w:before="120" w:after="60"/>
      <w:jc w:val="center"/>
    </w:pPr>
    <w:rPr>
      <w:rFonts w:ascii="Times New Roman" w:hAnsi="Times New Roman" w:eastAsia="黑体" w:cs="黑体"/>
      <w:kern w:val="2"/>
      <w:sz w:val="24"/>
      <w:szCs w:val="22"/>
      <w:lang w:val="en-US" w:eastAsia="zh-CN" w:bidi="ar-SA"/>
    </w:rPr>
  </w:style>
  <w:style w:type="paragraph" w:customStyle="1" w:styleId="174">
    <w:name w:val="KD正文"/>
    <w:qFormat/>
    <w:uiPriority w:val="0"/>
    <w:pPr>
      <w:autoSpaceDE w:val="0"/>
      <w:autoSpaceDN w:val="0"/>
      <w:spacing w:line="360" w:lineRule="auto"/>
      <w:ind w:firstLine="200" w:firstLineChars="200"/>
      <w:jc w:val="both"/>
    </w:pPr>
    <w:rPr>
      <w:rFonts w:ascii="Times New Roman" w:hAnsi="Times New Roman" w:eastAsia="宋体" w:cs="黑体"/>
      <w:kern w:val="2"/>
      <w:sz w:val="28"/>
      <w:szCs w:val="22"/>
      <w:lang w:val="en-US" w:eastAsia="zh-CN" w:bidi="ar-SA"/>
    </w:rPr>
  </w:style>
  <w:style w:type="paragraph" w:customStyle="1" w:styleId="175">
    <w:name w:val="WPSOffice手动目录 1"/>
    <w:qFormat/>
    <w:uiPriority w:val="0"/>
    <w:rPr>
      <w:rFonts w:ascii="Times New Roman" w:hAnsi="Times New Roman" w:eastAsia="宋体" w:cs="Times New Roman"/>
      <w:lang w:val="en-US" w:eastAsia="zh-CN" w:bidi="ar-SA"/>
    </w:rPr>
  </w:style>
  <w:style w:type="paragraph" w:customStyle="1" w:styleId="176">
    <w:name w:val="正文格式"/>
    <w:basedOn w:val="1"/>
    <w:qFormat/>
    <w:uiPriority w:val="0"/>
    <w:rPr>
      <w:rFonts w:cs="宋体"/>
      <w:spacing w:val="4"/>
      <w:sz w:val="24"/>
      <w:szCs w:val="20"/>
    </w:rPr>
  </w:style>
  <w:style w:type="paragraph" w:customStyle="1" w:styleId="177">
    <w:name w:val="正文-甘-采用"/>
    <w:basedOn w:val="1"/>
    <w:qFormat/>
    <w:uiPriority w:val="0"/>
    <w:pPr>
      <w:overflowPunct w:val="0"/>
      <w:topLinePunct/>
      <w:adjustRightInd w:val="0"/>
      <w:snapToGrid w:val="0"/>
      <w:ind w:firstLine="512"/>
    </w:pPr>
    <w:rPr>
      <w:rFonts w:cs="宋体"/>
      <w:sz w:val="24"/>
      <w:szCs w:val="20"/>
    </w:rPr>
  </w:style>
  <w:style w:type="paragraph" w:customStyle="1" w:styleId="178">
    <w:name w:val="KD表格文字"/>
    <w:qFormat/>
    <w:uiPriority w:val="0"/>
    <w:pPr>
      <w:spacing w:before="40" w:after="40"/>
      <w:jc w:val="center"/>
    </w:pPr>
    <w:rPr>
      <w:rFonts w:ascii="Times New Roman" w:hAnsi="Times New Roman" w:eastAsia="宋体" w:cs="黑体"/>
      <w:kern w:val="2"/>
      <w:sz w:val="21"/>
      <w:szCs w:val="22"/>
      <w:lang w:val="en-US" w:eastAsia="zh-CN" w:bidi="ar-SA"/>
    </w:rPr>
  </w:style>
  <w:style w:type="paragraph" w:customStyle="1" w:styleId="179">
    <w:name w:val="TOC 标题1"/>
    <w:basedOn w:val="2"/>
    <w:next w:val="1"/>
    <w:qFormat/>
    <w:uiPriority w:val="39"/>
    <w:pPr>
      <w:keepLines/>
      <w:widowControl/>
      <w:overflowPunct/>
      <w:snapToGrid/>
      <w:spacing w:before="240" w:after="0"/>
      <w:ind w:left="0" w:firstLine="0"/>
      <w:jc w:val="left"/>
      <w:outlineLvl w:val="9"/>
    </w:pPr>
    <w:rPr>
      <w:rFonts w:ascii="等线 Light" w:hAnsi="等线 Light" w:eastAsia="等线 Light"/>
      <w:b w:val="0"/>
      <w:bCs w:val="0"/>
      <w:color w:val="2E74B5"/>
      <w:kern w:val="0"/>
      <w:sz w:val="32"/>
      <w:szCs w:val="32"/>
    </w:rPr>
  </w:style>
  <w:style w:type="paragraph" w:customStyle="1" w:styleId="180">
    <w:name w:val="无悬挂正文5号"/>
    <w:basedOn w:val="1"/>
    <w:qFormat/>
    <w:uiPriority w:val="0"/>
    <w:pPr>
      <w:jc w:val="center"/>
    </w:pPr>
    <w:rPr>
      <w:szCs w:val="24"/>
    </w:rPr>
  </w:style>
  <w:style w:type="paragraph" w:customStyle="1" w:styleId="181">
    <w:name w:val="表文lyf"/>
    <w:basedOn w:val="1"/>
    <w:qFormat/>
    <w:uiPriority w:val="0"/>
    <w:pPr>
      <w:autoSpaceDE w:val="0"/>
      <w:autoSpaceDN w:val="0"/>
      <w:adjustRightInd w:val="0"/>
      <w:snapToGrid w:val="0"/>
      <w:jc w:val="center"/>
      <w:textAlignment w:val="baseline"/>
    </w:pPr>
    <w:rPr>
      <w:snapToGrid w:val="0"/>
      <w:kern w:val="11"/>
      <w:lang w:val="zh-CN"/>
    </w:rPr>
  </w:style>
  <w:style w:type="paragraph" w:customStyle="1" w:styleId="182">
    <w:name w:val="正文2"/>
    <w:qFormat/>
    <w:uiPriority w:val="0"/>
    <w:pPr>
      <w:jc w:val="both"/>
    </w:pPr>
    <w:rPr>
      <w:rFonts w:ascii="Times New Roman" w:hAnsi="Times New Roman" w:eastAsia="宋体" w:cs="Times New Roman"/>
      <w:kern w:val="2"/>
      <w:sz w:val="21"/>
      <w:szCs w:val="21"/>
      <w:lang w:val="en-US" w:eastAsia="zh-CN" w:bidi="ar-SA"/>
    </w:rPr>
  </w:style>
  <w:style w:type="paragraph" w:styleId="183">
    <w:name w:val="List Paragraph"/>
    <w:basedOn w:val="1"/>
    <w:qFormat/>
    <w:uiPriority w:val="34"/>
    <w:pPr>
      <w:ind w:firstLine="420" w:firstLineChars="200"/>
    </w:pPr>
  </w:style>
  <w:style w:type="paragraph" w:customStyle="1" w:styleId="184">
    <w:name w:val="正文3"/>
    <w:qFormat/>
    <w:uiPriority w:val="0"/>
    <w:pPr>
      <w:jc w:val="both"/>
    </w:pPr>
    <w:rPr>
      <w:rFonts w:ascii="Times New Roman" w:hAnsi="Times New Roman" w:eastAsia="宋体" w:cs="Times New Roman"/>
      <w:kern w:val="2"/>
      <w:sz w:val="21"/>
      <w:szCs w:val="21"/>
      <w:lang w:val="en-US" w:eastAsia="zh-CN" w:bidi="ar-SA"/>
    </w:rPr>
  </w:style>
  <w:style w:type="paragraph" w:customStyle="1" w:styleId="185">
    <w:name w:val="Char Char Char Char Char Char Char Char Char Char Char Char Char Char Char Char Char Char Char1"/>
    <w:basedOn w:val="1"/>
    <w:semiHidden/>
    <w:qFormat/>
    <w:uiPriority w:val="0"/>
  </w:style>
  <w:style w:type="paragraph" w:customStyle="1" w:styleId="186">
    <w:name w:val="2正文文本"/>
    <w:basedOn w:val="1"/>
    <w:qFormat/>
    <w:uiPriority w:val="0"/>
    <w:rPr>
      <w:rFonts w:eastAsia="仿宋"/>
      <w:sz w:val="28"/>
      <w:szCs w:val="28"/>
    </w:rPr>
  </w:style>
  <w:style w:type="paragraph" w:customStyle="1" w:styleId="187">
    <w:name w:val="正本文字"/>
    <w:basedOn w:val="1"/>
    <w:qFormat/>
    <w:uiPriority w:val="0"/>
    <w:pPr>
      <w:adjustRightInd w:val="0"/>
      <w:snapToGrid w:val="0"/>
      <w:spacing w:line="360" w:lineRule="auto"/>
      <w:ind w:firstLine="200" w:firstLineChars="200"/>
      <w:jc w:val="left"/>
    </w:pPr>
    <w:rPr>
      <w:rFonts w:cs="宋体"/>
      <w:kern w:val="18"/>
      <w:sz w:val="24"/>
      <w:szCs w:val="20"/>
    </w:rPr>
  </w:style>
  <w:style w:type="paragraph" w:customStyle="1" w:styleId="188">
    <w:name w:val="表格1"/>
    <w:basedOn w:val="1"/>
    <w:qFormat/>
    <w:uiPriority w:val="0"/>
    <w:pPr>
      <w:adjustRightInd w:val="0"/>
      <w:snapToGrid w:val="0"/>
      <w:jc w:val="center"/>
    </w:pPr>
    <w:rPr>
      <w:kern w:val="0"/>
    </w:rPr>
  </w:style>
  <w:style w:type="table" w:customStyle="1" w:styleId="189">
    <w:name w:val="Table Normal"/>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paragraph" w:customStyle="1" w:styleId="190">
    <w:name w:val="正文4"/>
    <w:qFormat/>
    <w:uiPriority w:val="0"/>
    <w:pPr>
      <w:jc w:val="both"/>
    </w:pPr>
    <w:rPr>
      <w:rFonts w:ascii="Times New Roman" w:hAnsi="Times New Roman" w:eastAsia="宋体" w:cs="Times New Roman"/>
      <w:kern w:val="2"/>
      <w:sz w:val="21"/>
      <w:szCs w:val="21"/>
      <w:lang w:val="en-US" w:eastAsia="zh-CN" w:bidi="ar-SA"/>
    </w:rPr>
  </w:style>
  <w:style w:type="paragraph" w:customStyle="1" w:styleId="191">
    <w:name w:val="Char Char Char Char Char Char Char Char Char Char Char Char Char Char Char Char Char Char Char2"/>
    <w:basedOn w:val="1"/>
    <w:semiHidden/>
    <w:qFormat/>
    <w:uiPriority w:val="0"/>
    <w:rPr>
      <w:szCs w:val="24"/>
    </w:rPr>
  </w:style>
  <w:style w:type="paragraph" w:customStyle="1" w:styleId="192">
    <w:name w:val="标题3"/>
    <w:basedOn w:val="5"/>
    <w:next w:val="1"/>
    <w:link w:val="193"/>
    <w:qFormat/>
    <w:uiPriority w:val="0"/>
    <w:pPr>
      <w:spacing w:before="0" w:after="0" w:line="360" w:lineRule="auto"/>
      <w:jc w:val="left"/>
    </w:pPr>
    <w:rPr>
      <w:kern w:val="0"/>
      <w:sz w:val="28"/>
    </w:rPr>
  </w:style>
  <w:style w:type="character" w:customStyle="1" w:styleId="193">
    <w:name w:val="标题3 字符"/>
    <w:link w:val="192"/>
    <w:qFormat/>
    <w:uiPriority w:val="0"/>
    <w:rPr>
      <w:b/>
      <w:bCs/>
      <w:sz w:val="28"/>
      <w:szCs w:val="32"/>
    </w:rPr>
  </w:style>
  <w:style w:type="table" w:customStyle="1" w:styleId="194">
    <w:name w:val="数据表格"/>
    <w:basedOn w:val="30"/>
    <w:qFormat/>
    <w:uiPriority w:val="99"/>
    <w:pPr>
      <w:jc w:val="center"/>
      <w:textAlignment w:val="center"/>
    </w:p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0" w:type="dxa"/>
        <w:right w:w="0" w:type="dxa"/>
      </w:tblCellMar>
    </w:tblPr>
    <w:trPr>
      <w:jc w:val="center"/>
    </w:trPr>
    <w:tcPr>
      <w:vAlign w:val="center"/>
    </w:tcPr>
  </w:style>
  <w:style w:type="paragraph" w:customStyle="1" w:styleId="195">
    <w:name w:val="1.5倍行距"/>
    <w:basedOn w:val="1"/>
    <w:qFormat/>
    <w:uiPriority w:val="0"/>
    <w:pPr>
      <w:spacing w:line="360" w:lineRule="auto"/>
      <w:ind w:firstLine="200" w:firstLineChars="200"/>
      <w:jc w:val="left"/>
    </w:pPr>
    <w:rPr>
      <w:sz w:val="24"/>
    </w:rPr>
  </w:style>
  <w:style w:type="paragraph" w:customStyle="1" w:styleId="196">
    <w:name w:val="li_正文"/>
    <w:basedOn w:val="1"/>
    <w:qFormat/>
    <w:uiPriority w:val="0"/>
    <w:pPr>
      <w:spacing w:line="360" w:lineRule="auto"/>
      <w:ind w:firstLine="200" w:firstLineChars="200"/>
    </w:pPr>
    <w:rPr>
      <w:sz w:val="28"/>
      <w:szCs w:val="28"/>
    </w:rPr>
  </w:style>
  <w:style w:type="paragraph" w:customStyle="1" w:styleId="197">
    <w:name w:val="王勇"/>
    <w:basedOn w:val="1"/>
    <w:link w:val="198"/>
    <w:qFormat/>
    <w:uiPriority w:val="0"/>
    <w:rPr>
      <w:szCs w:val="20"/>
    </w:rPr>
  </w:style>
  <w:style w:type="character" w:customStyle="1" w:styleId="198">
    <w:name w:val="王勇 Char"/>
    <w:link w:val="197"/>
    <w:qFormat/>
    <w:locked/>
    <w:uiPriority w:val="0"/>
    <w:rPr>
      <w:kern w:val="2"/>
      <w:sz w:val="21"/>
    </w:rPr>
  </w:style>
  <w:style w:type="character" w:customStyle="1" w:styleId="199">
    <w:name w:val="font81"/>
    <w:qFormat/>
    <w:uiPriority w:val="0"/>
    <w:rPr>
      <w:rFonts w:hint="default" w:ascii="Times New Roman" w:hAnsi="Times New Roman" w:cs="Times New Roman"/>
      <w:b/>
      <w:bCs/>
      <w:color w:val="000000"/>
      <w:sz w:val="21"/>
      <w:szCs w:val="21"/>
      <w:u w:val="none"/>
      <w:vertAlign w:val="superscript"/>
    </w:rPr>
  </w:style>
  <w:style w:type="paragraph" w:customStyle="1" w:styleId="200">
    <w:name w:val="常用表格样式"/>
    <w:qFormat/>
    <w:uiPriority w:val="0"/>
    <w:pPr>
      <w:jc w:val="center"/>
    </w:pPr>
    <w:rPr>
      <w:rFonts w:ascii="宋体" w:hAnsi="新宋体" w:eastAsia="仿宋_GB2312" w:cs="Times New Roman"/>
      <w:spacing w:val="2"/>
      <w:kern w:val="2"/>
      <w:sz w:val="18"/>
      <w:szCs w:val="24"/>
      <w:lang w:val="en-US" w:eastAsia="zh-CN" w:bidi="ar-SA"/>
    </w:rPr>
  </w:style>
  <w:style w:type="character" w:customStyle="1" w:styleId="201">
    <w:name w:val="font31"/>
    <w:qFormat/>
    <w:uiPriority w:val="0"/>
    <w:rPr>
      <w:rFonts w:hint="eastAsia" w:ascii="宋体" w:hAnsi="宋体" w:eastAsia="宋体" w:cs="宋体"/>
      <w:color w:val="000000"/>
      <w:sz w:val="20"/>
      <w:szCs w:val="20"/>
      <w:u w:val="none"/>
    </w:rPr>
  </w:style>
  <w:style w:type="paragraph" w:customStyle="1" w:styleId="202">
    <w:name w:val="图表样式"/>
    <w:basedOn w:val="1"/>
    <w:qFormat/>
    <w:uiPriority w:val="0"/>
    <w:pPr>
      <w:widowControl/>
      <w:adjustRightInd w:val="0"/>
      <w:snapToGrid w:val="0"/>
      <w:jc w:val="center"/>
    </w:pPr>
    <w:rPr>
      <w:rFonts w:hAnsi="宋体"/>
      <w:kern w:val="0"/>
    </w:rPr>
  </w:style>
  <w:style w:type="paragraph" w:customStyle="1" w:styleId="203">
    <w:name w:val="正文（标准）"/>
    <w:basedOn w:val="1"/>
    <w:next w:val="1"/>
    <w:qFormat/>
    <w:uiPriority w:val="0"/>
    <w:pPr>
      <w:snapToGrid w:val="0"/>
      <w:ind w:firstLine="525"/>
    </w:pPr>
  </w:style>
  <w:style w:type="paragraph" w:customStyle="1" w:styleId="204">
    <w:name w:val="样式 正文1 + 首行缩进:  2 字符"/>
    <w:basedOn w:val="1"/>
    <w:qFormat/>
    <w:uiPriority w:val="0"/>
    <w:pPr>
      <w:spacing w:line="360" w:lineRule="auto"/>
      <w:ind w:firstLine="200" w:firstLineChars="200"/>
    </w:pPr>
    <w:rPr>
      <w:rFonts w:ascii="宋体"/>
      <w:sz w:val="24"/>
      <w:szCs w:val="20"/>
    </w:rPr>
  </w:style>
  <w:style w:type="paragraph" w:customStyle="1" w:styleId="205">
    <w:name w:val="样式3"/>
    <w:basedOn w:val="1"/>
    <w:qFormat/>
    <w:uiPriority w:val="0"/>
    <w:pPr>
      <w:autoSpaceDE w:val="0"/>
      <w:autoSpaceDN w:val="0"/>
      <w:adjustRightInd w:val="0"/>
      <w:snapToGrid w:val="0"/>
      <w:jc w:val="center"/>
    </w:pPr>
    <w:rPr>
      <w:rFonts w:ascii="仿宋" w:hAnsi="仿宋" w:eastAsia="仿宋"/>
      <w:color w:val="FF0000"/>
      <w:kern w:val="0"/>
    </w:rPr>
  </w:style>
  <w:style w:type="paragraph" w:customStyle="1" w:styleId="206">
    <w:name w:val="表文2"/>
    <w:qFormat/>
    <w:uiPriority w:val="0"/>
    <w:pPr>
      <w:adjustRightInd w:val="0"/>
      <w:snapToGrid w:val="0"/>
      <w:spacing w:line="288" w:lineRule="auto"/>
      <w:jc w:val="center"/>
    </w:pPr>
    <w:rPr>
      <w:rFonts w:ascii="Times New Roman" w:hAnsi="Times New Roman" w:eastAsia="宋体" w:cs="Times New Roman"/>
      <w:color w:val="FF0000"/>
      <w:sz w:val="21"/>
      <w:szCs w:val="21"/>
      <w:lang w:val="en-US" w:eastAsia="zh-CN" w:bidi="ar-SA"/>
    </w:rPr>
  </w:style>
  <w:style w:type="paragraph" w:customStyle="1" w:styleId="207">
    <w:name w:val="正文首行缩进 2 Char + 首行缩进: 2 字符"/>
    <w:basedOn w:val="1"/>
    <w:qFormat/>
    <w:uiPriority w:val="0"/>
    <w:pPr>
      <w:ind w:firstLine="496"/>
    </w:pPr>
    <w:rPr>
      <w:rFonts w:eastAsia="华文中宋"/>
      <w:sz w:val="24"/>
      <w:szCs w:val="24"/>
    </w:rPr>
  </w:style>
  <w:style w:type="paragraph" w:customStyle="1" w:styleId="208">
    <w:name w:val="Table Text"/>
    <w:basedOn w:val="1"/>
    <w:semiHidden/>
    <w:qFormat/>
    <w:uiPriority w:val="0"/>
    <w:rPr>
      <w:rFonts w:eastAsia="Times New Roman"/>
      <w:sz w:val="20"/>
      <w:szCs w:val="20"/>
      <w:lang w:eastAsia="en-US"/>
    </w:rPr>
  </w:style>
  <w:style w:type="paragraph" w:customStyle="1" w:styleId="209">
    <w:name w:val="SB-说明"/>
    <w:basedOn w:val="1"/>
    <w:qFormat/>
    <w:uiPriority w:val="0"/>
    <w:pPr>
      <w:spacing w:line="0" w:lineRule="atLeast"/>
      <w:ind w:firstLine="420" w:firstLineChars="200"/>
      <w:jc w:val="left"/>
    </w:pPr>
    <w:rPr>
      <w:rFonts w:eastAsia="仿宋_GB2312"/>
      <w:sz w:val="18"/>
      <w:szCs w:val="24"/>
    </w:rPr>
  </w:style>
  <w:style w:type="paragraph" w:customStyle="1" w:styleId="210">
    <w:name w:val="表格格式"/>
    <w:basedOn w:val="1"/>
    <w:next w:val="1"/>
    <w:qFormat/>
    <w:uiPriority w:val="0"/>
    <w:pPr>
      <w:adjustRightInd w:val="0"/>
      <w:snapToGrid w:val="0"/>
      <w:jc w:val="center"/>
    </w:pPr>
    <w:rPr>
      <w:rFonts w:ascii="Calibri"/>
      <w:snapToGrid w:val="0"/>
      <w:szCs w:val="24"/>
    </w:rPr>
  </w:style>
  <w:style w:type="paragraph" w:customStyle="1" w:styleId="211">
    <w:name w:val="Revision"/>
    <w:unhideWhenUsed/>
    <w:qFormat/>
    <w:uiPriority w:val="99"/>
    <w:rPr>
      <w:rFonts w:ascii="Times New Roman" w:hAnsi="Times New Roman" w:eastAsia="宋体" w:cs="Times New Roman"/>
      <w:kern w:val="2"/>
      <w:sz w:val="21"/>
      <w:szCs w:val="21"/>
      <w:lang w:val="en-US" w:eastAsia="zh-CN" w:bidi="ar-SA"/>
    </w:rPr>
  </w:style>
  <w:style w:type="paragraph" w:customStyle="1" w:styleId="212">
    <w:name w:val="正文啊"/>
    <w:basedOn w:val="213"/>
    <w:link w:val="214"/>
    <w:qFormat/>
    <w:uiPriority w:val="0"/>
    <w:pPr>
      <w:spacing w:line="360" w:lineRule="auto"/>
      <w:ind w:firstLine="200" w:firstLineChars="200"/>
    </w:pPr>
    <w:rPr>
      <w:kern w:val="2"/>
      <w:sz w:val="24"/>
      <w:szCs w:val="22"/>
      <w:lang w:val="zh-CN"/>
    </w:rPr>
  </w:style>
  <w:style w:type="paragraph" w:styleId="213">
    <w:name w:val="No Spacing"/>
    <w:qFormat/>
    <w:uiPriority w:val="99"/>
    <w:pPr>
      <w:widowControl w:val="0"/>
      <w:jc w:val="both"/>
    </w:pPr>
    <w:rPr>
      <w:rFonts w:ascii="Times New Roman" w:hAnsi="Times New Roman" w:eastAsia="宋体" w:cs="Times New Roman"/>
      <w:lang w:val="en-US" w:eastAsia="zh-CN" w:bidi="ar-SA"/>
    </w:rPr>
  </w:style>
  <w:style w:type="character" w:customStyle="1" w:styleId="214">
    <w:name w:val="正文啊 字符"/>
    <w:link w:val="212"/>
    <w:qFormat/>
    <w:uiPriority w:val="0"/>
    <w:rPr>
      <w:kern w:val="2"/>
      <w:sz w:val="24"/>
      <w:szCs w:val="22"/>
      <w:lang w:val="zh-CN"/>
    </w:rPr>
  </w:style>
  <w:style w:type="character" w:customStyle="1" w:styleId="215">
    <w:name w:val="font141"/>
    <w:qFormat/>
    <w:uiPriority w:val="0"/>
    <w:rPr>
      <w:rFonts w:hint="default" w:ascii="Times New Roman" w:hAnsi="Times New Roman" w:cs="Times New Roman"/>
      <w:color w:val="000000"/>
      <w:sz w:val="40"/>
      <w:szCs w:val="40"/>
      <w:u w:val="none"/>
    </w:rPr>
  </w:style>
  <w:style w:type="character" w:customStyle="1" w:styleId="216">
    <w:name w:val="fontstyle21"/>
    <w:qFormat/>
    <w:uiPriority w:val="0"/>
    <w:rPr>
      <w:rFonts w:hint="default" w:ascii="TimesNewRomanPS-BoldMT" w:hAnsi="TimesNewRomanPS-BoldMT"/>
      <w:b/>
      <w:bCs/>
      <w:color w:val="000000"/>
      <w:sz w:val="24"/>
      <w:szCs w:val="24"/>
    </w:rPr>
  </w:style>
  <w:style w:type="character" w:customStyle="1" w:styleId="217">
    <w:name w:val="fontstyle31"/>
    <w:qFormat/>
    <w:uiPriority w:val="0"/>
    <w:rPr>
      <w:rFonts w:hint="eastAsia" w:ascii="TimesNewRomanPSMT" w:hAnsi="TimesNewRomanPSMT" w:eastAsia="TimesNewRomanPSMT"/>
      <w:color w:val="000000"/>
      <w:sz w:val="24"/>
      <w:szCs w:val="24"/>
    </w:rPr>
  </w:style>
  <w:style w:type="character" w:customStyle="1" w:styleId="218">
    <w:name w:val="fontstyle11"/>
    <w:qFormat/>
    <w:uiPriority w:val="0"/>
    <w:rPr>
      <w:rFonts w:hint="eastAsia" w:ascii="TimesNewRomanPSMT" w:hAnsi="TimesNewRomanPSMT" w:eastAsia="TimesNewRomanPSMT"/>
      <w:color w:val="000000"/>
      <w:sz w:val="24"/>
      <w:szCs w:val="24"/>
    </w:rPr>
  </w:style>
  <w:style w:type="paragraph" w:customStyle="1" w:styleId="219">
    <w:name w:val="表名"/>
    <w:basedOn w:val="1"/>
    <w:next w:val="83"/>
    <w:qFormat/>
    <w:uiPriority w:val="0"/>
    <w:pPr>
      <w:spacing w:before="50" w:beforeLines="50" w:line="360" w:lineRule="auto"/>
      <w:jc w:val="center"/>
    </w:pPr>
    <w:rPr>
      <w:b/>
      <w:szCs w:val="22"/>
    </w:rPr>
  </w:style>
  <w:style w:type="character" w:customStyle="1" w:styleId="220">
    <w:name w:val="表名 字符"/>
    <w:qFormat/>
    <w:uiPriority w:val="0"/>
    <w:rPr>
      <w:rFonts w:hint="default" w:ascii="Times New Roman" w:hAnsi="Times New Roman" w:cs="Times New Roman"/>
      <w:b/>
      <w:sz w:val="21"/>
      <w:szCs w:val="22"/>
    </w:rPr>
  </w:style>
  <w:style w:type="paragraph" w:customStyle="1" w:styleId="221">
    <w:name w:val="样式 样式 正文样式1 + 宋体 + 黑色"/>
    <w:basedOn w:val="1"/>
    <w:qFormat/>
    <w:uiPriority w:val="0"/>
    <w:pPr>
      <w:adjustRightInd w:val="0"/>
      <w:ind w:firstLine="200" w:firstLineChars="200"/>
      <w:jc w:val="left"/>
      <w:textAlignment w:val="baseline"/>
    </w:pPr>
    <w:rPr>
      <w:rFonts w:hAnsi="宋体"/>
      <w:color w:val="000000"/>
      <w:kern w:val="0"/>
      <w:sz w:val="24"/>
      <w:szCs w:val="24"/>
    </w:rPr>
  </w:style>
  <w:style w:type="paragraph" w:customStyle="1" w:styleId="222">
    <w:name w:val="样式 样式 首行缩进:  2 字符 行距: 固定值 22 磅 + 首行缩进:  2 字符1"/>
    <w:basedOn w:val="1"/>
    <w:qFormat/>
    <w:uiPriority w:val="0"/>
    <w:pPr>
      <w:tabs>
        <w:tab w:val="left" w:pos="4144"/>
      </w:tabs>
      <w:spacing w:line="360" w:lineRule="auto"/>
      <w:ind w:firstLine="480" w:firstLineChars="200"/>
    </w:pPr>
    <w:rPr>
      <w:rFonts w:cs="宋体"/>
      <w:sz w:val="24"/>
    </w:rPr>
  </w:style>
  <w:style w:type="paragraph" w:customStyle="1" w:styleId="223">
    <w:name w:val="空格行"/>
    <w:basedOn w:val="1"/>
    <w:qFormat/>
    <w:uiPriority w:val="0"/>
    <w:rPr>
      <w:rFonts w:cs="宋体"/>
      <w:color w:val="FF0000"/>
      <w:sz w:val="24"/>
    </w:rPr>
  </w:style>
  <w:style w:type="character" w:customStyle="1" w:styleId="224">
    <w:name w:val="正文文本 Char1"/>
    <w:qFormat/>
    <w:uiPriority w:val="0"/>
    <w:rPr>
      <w:kern w:val="2"/>
      <w:sz w:val="21"/>
      <w:szCs w:val="24"/>
    </w:rPr>
  </w:style>
  <w:style w:type="paragraph" w:customStyle="1" w:styleId="225">
    <w:name w:val="小表文居中"/>
    <w:basedOn w:val="226"/>
    <w:qFormat/>
    <w:uiPriority w:val="0"/>
    <w:pPr>
      <w:jc w:val="center"/>
    </w:pPr>
  </w:style>
  <w:style w:type="paragraph" w:customStyle="1" w:styleId="226">
    <w:name w:val="小表文"/>
    <w:basedOn w:val="1"/>
    <w:qFormat/>
    <w:uiPriority w:val="0"/>
    <w:pPr>
      <w:spacing w:before="20"/>
    </w:pPr>
    <w:rPr>
      <w:sz w:val="18"/>
    </w:rPr>
  </w:style>
  <w:style w:type="paragraph" w:customStyle="1" w:styleId="227">
    <w:name w:val="宋-a表内字"/>
    <w:basedOn w:val="1"/>
    <w:qFormat/>
    <w:uiPriority w:val="1"/>
    <w:pPr>
      <w:jc w:val="center"/>
    </w:pPr>
    <w:rPr>
      <w:kern w:val="0"/>
      <w:szCs w:val="44"/>
    </w:rPr>
  </w:style>
  <w:style w:type="paragraph" w:customStyle="1" w:styleId="228">
    <w:name w:val="TOC Heading"/>
    <w:basedOn w:val="2"/>
    <w:next w:val="1"/>
    <w:qFormat/>
    <w:uiPriority w:val="39"/>
    <w:pPr>
      <w:keepLines/>
      <w:widowControl/>
      <w:overflowPunct/>
      <w:snapToGrid/>
      <w:spacing w:before="240" w:after="0"/>
      <w:ind w:left="0" w:firstLine="0"/>
      <w:jc w:val="left"/>
      <w:outlineLvl w:val="9"/>
    </w:pPr>
    <w:rPr>
      <w:rFonts w:ascii="等线 Light" w:hAnsi="等线 Light" w:eastAsia="等线 Light"/>
      <w:b w:val="0"/>
      <w:bCs w:val="0"/>
      <w:color w:val="2F5496"/>
      <w:kern w:val="0"/>
      <w:sz w:val="32"/>
      <w:szCs w:val="32"/>
    </w:rPr>
  </w:style>
  <w:style w:type="paragraph" w:customStyle="1" w:styleId="229">
    <w:name w:val="表格体"/>
    <w:basedOn w:val="1"/>
    <w:qFormat/>
    <w:uiPriority w:val="0"/>
    <w:pPr>
      <w:adjustRightInd w:val="0"/>
      <w:snapToGrid w:val="0"/>
    </w:pPr>
    <w:rPr>
      <w:bCs/>
      <w:szCs w:val="24"/>
    </w:rPr>
  </w:style>
  <w:style w:type="character" w:customStyle="1" w:styleId="230">
    <w:name w:val="表格五号 Char Char"/>
    <w:qFormat/>
    <w:uiPriority w:val="0"/>
    <w:rPr>
      <w:rFonts w:ascii="宋体" w:hAnsi="宋体" w:eastAsia="宋体"/>
      <w:kern w:val="2"/>
      <w:sz w:val="21"/>
      <w:szCs w:val="21"/>
      <w:lang w:val="en-US" w:eastAsia="zh-CN" w:bidi="ar-SA"/>
    </w:rPr>
  </w:style>
  <w:style w:type="paragraph" w:customStyle="1" w:styleId="231">
    <w:name w:val="表格项目"/>
    <w:basedOn w:val="1"/>
    <w:next w:val="1"/>
    <w:qFormat/>
    <w:uiPriority w:val="0"/>
    <w:pPr>
      <w:spacing w:before="40" w:after="40"/>
    </w:pPr>
    <w:rPr>
      <w:rFonts w:cs="Arial"/>
      <w:szCs w:val="24"/>
    </w:rPr>
  </w:style>
  <w:style w:type="paragraph" w:customStyle="1" w:styleId="232">
    <w:name w:val="_Style 13"/>
    <w:qFormat/>
    <w:uiPriority w:val="0"/>
    <w:pPr>
      <w:spacing w:before="120" w:after="120" w:line="288" w:lineRule="auto"/>
    </w:pPr>
    <w:rPr>
      <w:rFonts w:ascii="Arial" w:hAnsi="Arial" w:eastAsia="等线" w:cs="Arial"/>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0" Type="http://schemas.openxmlformats.org/officeDocument/2006/relationships/fontTable" Target="fontTable.xml"/><Relationship Id="rId4" Type="http://schemas.openxmlformats.org/officeDocument/2006/relationships/footer" Target="footer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21.jpeg"/><Relationship Id="rId36" Type="http://schemas.openxmlformats.org/officeDocument/2006/relationships/image" Target="media/image20.jpeg"/><Relationship Id="rId35" Type="http://schemas.openxmlformats.org/officeDocument/2006/relationships/image" Target="media/image19.wmf"/><Relationship Id="rId34" Type="http://schemas.openxmlformats.org/officeDocument/2006/relationships/oleObject" Target="embeddings/oleObject2.bin"/><Relationship Id="rId33" Type="http://schemas.openxmlformats.org/officeDocument/2006/relationships/image" Target="media/image18.png"/><Relationship Id="rId32" Type="http://schemas.openxmlformats.org/officeDocument/2006/relationships/image" Target="media/image17.wmf"/><Relationship Id="rId31" Type="http://schemas.openxmlformats.org/officeDocument/2006/relationships/image" Target="file:///I:\..\Administrator\AppData\Roaming\Microsoft\Users\Administrator\AppData\Roaming\Microsoft\&#22823;&#21476;&#34905;\Application%252525252525252525252525252525252525252525252525252525252525252525252525252525252525252525252525252525252525252525252525252525252525252525252525252525252525252525252525252525252525252525252525252525252525252525252525252525252520Data\Tencent\Users\104886133\QQ\WinTemp\RichOle\VVBWXB(%25252525252525252525252525252525252525252525252525252525252525252525252525252525252525252525252525252525252525252525252525252525252525252525252525252525252525252525252525252525252525252525252525252525252525252525252525252525257bP0HPBE9JH0JC3F1.jpg" TargetMode="External"/><Relationship Id="rId30" Type="http://schemas.openxmlformats.org/officeDocument/2006/relationships/image" Target="media/image16.jpeg"/><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oleObject" Target="embeddings/oleObject1.bin"/><Relationship Id="rId27" Type="http://schemas.openxmlformats.org/officeDocument/2006/relationships/image" Target="media/image14.wmf"/><Relationship Id="rId26" Type="http://schemas.openxmlformats.org/officeDocument/2006/relationships/image" Target="media/image13.jpeg"/><Relationship Id="rId25" Type="http://schemas.openxmlformats.org/officeDocument/2006/relationships/image" Target="media/image12.jpeg"/><Relationship Id="rId24" Type="http://schemas.openxmlformats.org/officeDocument/2006/relationships/image" Target="media/image11.jpe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161</Pages>
  <Words>1203</Words>
  <Characters>1484</Characters>
  <Lines>982</Lines>
  <Paragraphs>276</Paragraphs>
  <TotalTime>12</TotalTime>
  <ScaleCrop>false</ScaleCrop>
  <LinksUpToDate>false</LinksUpToDate>
  <CharactersWithSpaces>1549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2026-08-13T01:27:00Z</dcterms:created>
  <dc:creator>lhj</dc:creator>
  <cp:lastModifiedBy>郭丽娜</cp:lastModifiedBy>
  <cp:lastPrinted>2026-08-12T13:48:00Z</cp:lastPrinted>
  <dcterms:modified xsi:type="dcterms:W3CDTF">2026-08-13T08:13:54Z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6C418079D5204A1696E7169CB20946F7_13</vt:lpwstr>
  </property>
  <property fmtid="{D5CDD505-2E9C-101B-9397-08002B2CF9AE}" pid="4" name="KSOTemplateDocerSaveRecord">
    <vt:lpwstr>eyJoZGlkIjoiYTA0OTFiNTllN2E3YTc2MDc5ZTIwYTg0ZjFlZjFlMWQiLCJ1c2VySWQiOiIzNzMyMDUyODEifQ==</vt:lpwstr>
  </property>
</Properties>
</file>