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76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5"/>
        <w:gridCol w:w="2311"/>
        <w:gridCol w:w="4020"/>
        <w:gridCol w:w="2835"/>
        <w:gridCol w:w="2281"/>
        <w:gridCol w:w="2841"/>
        <w:gridCol w:w="2555"/>
      </w:tblGrid>
      <w:tr w14:paraId="4A94A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9" w:hRule="atLeast"/>
        </w:trPr>
        <w:tc>
          <w:tcPr>
            <w:tcW w:w="785" w:type="dxa"/>
            <w:vMerge w:val="restart"/>
            <w:tcBorders>
              <w:bottom w:val="nil"/>
            </w:tcBorders>
            <w:textDirection w:val="tbRlV"/>
            <w:vAlign w:val="top"/>
          </w:tcPr>
          <w:p w14:paraId="633C106E">
            <w:pPr>
              <w:pStyle w:val="6"/>
              <w:spacing w:before="261" w:line="202" w:lineRule="auto"/>
              <w:ind w:left="660"/>
            </w:pPr>
            <w:r>
              <w:rPr>
                <w:spacing w:val="3"/>
              </w:rPr>
              <w:t>方</w:t>
            </w:r>
            <w:r>
              <w:rPr>
                <w:spacing w:val="58"/>
              </w:rPr>
              <w:t xml:space="preserve">   </w:t>
            </w:r>
            <w:r>
              <w:rPr>
                <w:spacing w:val="3"/>
              </w:rPr>
              <w:t>案</w:t>
            </w:r>
          </w:p>
        </w:tc>
        <w:tc>
          <w:tcPr>
            <w:tcW w:w="2311" w:type="dxa"/>
            <w:vAlign w:val="top"/>
          </w:tcPr>
          <w:p w14:paraId="291ACFC3">
            <w:pPr>
              <w:spacing w:line="335" w:lineRule="auto"/>
              <w:rPr>
                <w:rFonts w:ascii="Arial"/>
                <w:sz w:val="21"/>
              </w:rPr>
            </w:pPr>
          </w:p>
          <w:p w14:paraId="3AEDAEBC">
            <w:pPr>
              <w:spacing w:line="335" w:lineRule="auto"/>
              <w:rPr>
                <w:rFonts w:ascii="Arial"/>
                <w:sz w:val="21"/>
              </w:rPr>
            </w:pPr>
          </w:p>
          <w:p w14:paraId="507C8155">
            <w:pPr>
              <w:pStyle w:val="6"/>
              <w:spacing w:before="120" w:line="223" w:lineRule="auto"/>
              <w:ind w:left="681"/>
            </w:pPr>
            <w:r>
              <w:rPr>
                <w:spacing w:val="-8"/>
              </w:rPr>
              <w:t>名</w:t>
            </w:r>
            <w:r>
              <w:rPr>
                <w:spacing w:val="20"/>
              </w:rPr>
              <w:t xml:space="preserve"> </w:t>
            </w:r>
            <w:r>
              <w:rPr>
                <w:spacing w:val="-8"/>
              </w:rPr>
              <w:t>称</w:t>
            </w:r>
          </w:p>
        </w:tc>
        <w:tc>
          <w:tcPr>
            <w:tcW w:w="14532" w:type="dxa"/>
            <w:gridSpan w:val="5"/>
            <w:vAlign w:val="top"/>
          </w:tcPr>
          <w:p w14:paraId="632B8219">
            <w:pPr>
              <w:spacing w:line="274" w:lineRule="auto"/>
              <w:rPr>
                <w:rFonts w:ascii="Arial"/>
                <w:sz w:val="21"/>
              </w:rPr>
            </w:pPr>
          </w:p>
          <w:p w14:paraId="1340EAB6">
            <w:pPr>
              <w:pStyle w:val="6"/>
              <w:spacing w:before="120" w:line="285" w:lineRule="auto"/>
              <w:ind w:left="3891" w:right="2551" w:hanging="1324"/>
            </w:pPr>
            <w:r>
              <w:rPr>
                <w:spacing w:val="78"/>
              </w:rPr>
              <w:t>云南驰宏锌锗股份有限公司会泽县白矿山铅锌矿</w:t>
            </w:r>
            <w:r>
              <w:t xml:space="preserve"> </w:t>
            </w:r>
            <w:r>
              <w:rPr>
                <w:spacing w:val="80"/>
              </w:rPr>
              <w:t>矿山地质环境保护与土地复垦方案</w:t>
            </w:r>
          </w:p>
        </w:tc>
      </w:tr>
      <w:tr w14:paraId="23854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785" w:type="dxa"/>
            <w:vMerge w:val="continue"/>
            <w:tcBorders>
              <w:top w:val="nil"/>
            </w:tcBorders>
            <w:textDirection w:val="tbRlV"/>
            <w:vAlign w:val="top"/>
          </w:tcPr>
          <w:p w14:paraId="49AB09E8">
            <w:pPr>
              <w:rPr>
                <w:rFonts w:ascii="Arial"/>
                <w:sz w:val="21"/>
              </w:rPr>
            </w:pPr>
          </w:p>
        </w:tc>
        <w:tc>
          <w:tcPr>
            <w:tcW w:w="2311" w:type="dxa"/>
            <w:vAlign w:val="top"/>
          </w:tcPr>
          <w:p w14:paraId="129DC035">
            <w:pPr>
              <w:spacing w:line="316" w:lineRule="auto"/>
              <w:rPr>
                <w:rFonts w:ascii="Arial"/>
                <w:sz w:val="21"/>
              </w:rPr>
            </w:pPr>
          </w:p>
          <w:p w14:paraId="6B6C7EBE">
            <w:pPr>
              <w:pStyle w:val="6"/>
              <w:spacing w:before="120" w:line="221" w:lineRule="auto"/>
              <w:ind w:left="681"/>
            </w:pPr>
            <w:r>
              <w:rPr>
                <w:spacing w:val="-8"/>
              </w:rPr>
              <w:t>主</w:t>
            </w:r>
            <w:r>
              <w:rPr>
                <w:spacing w:val="19"/>
              </w:rPr>
              <w:t xml:space="preserve"> </w:t>
            </w:r>
            <w:r>
              <w:rPr>
                <w:spacing w:val="-8"/>
              </w:rPr>
              <w:t>编</w:t>
            </w:r>
          </w:p>
        </w:tc>
        <w:tc>
          <w:tcPr>
            <w:tcW w:w="6855" w:type="dxa"/>
            <w:gridSpan w:val="2"/>
            <w:vAlign w:val="top"/>
          </w:tcPr>
          <w:p w14:paraId="04556268">
            <w:pPr>
              <w:spacing w:line="302" w:lineRule="auto"/>
              <w:rPr>
                <w:rFonts w:ascii="Arial"/>
                <w:sz w:val="21"/>
              </w:rPr>
            </w:pPr>
          </w:p>
          <w:p w14:paraId="4F22C6DD">
            <w:pPr>
              <w:pStyle w:val="6"/>
              <w:spacing w:before="120" w:line="222" w:lineRule="auto"/>
              <w:ind w:left="2982"/>
            </w:pPr>
            <w:r>
              <w:rPr>
                <w:spacing w:val="12"/>
              </w:rPr>
              <w:t>张鹏</w:t>
            </w:r>
          </w:p>
        </w:tc>
        <w:tc>
          <w:tcPr>
            <w:tcW w:w="2281" w:type="dxa"/>
            <w:vAlign w:val="top"/>
          </w:tcPr>
          <w:p w14:paraId="31CAA37C">
            <w:pPr>
              <w:spacing w:line="363" w:lineRule="auto"/>
              <w:rPr>
                <w:rFonts w:ascii="Arial"/>
                <w:sz w:val="21"/>
              </w:rPr>
            </w:pPr>
          </w:p>
          <w:p w14:paraId="70423634">
            <w:pPr>
              <w:pStyle w:val="6"/>
              <w:spacing w:before="120" w:line="220" w:lineRule="auto"/>
              <w:ind w:left="203"/>
            </w:pPr>
            <w:r>
              <w:rPr>
                <w:spacing w:val="6"/>
              </w:rPr>
              <w:t>电话及传真</w:t>
            </w:r>
          </w:p>
        </w:tc>
        <w:tc>
          <w:tcPr>
            <w:tcW w:w="5396" w:type="dxa"/>
            <w:gridSpan w:val="2"/>
            <w:vAlign w:val="top"/>
          </w:tcPr>
          <w:p w14:paraId="3A11BB5A">
            <w:pPr>
              <w:spacing w:line="419" w:lineRule="auto"/>
              <w:rPr>
                <w:rFonts w:ascii="Arial"/>
                <w:sz w:val="21"/>
              </w:rPr>
            </w:pPr>
          </w:p>
          <w:p w14:paraId="3FA557E3">
            <w:pPr>
              <w:pStyle w:val="6"/>
              <w:spacing w:before="121" w:line="241" w:lineRule="auto"/>
              <w:ind w:left="1552"/>
            </w:pPr>
            <w:r>
              <w:rPr>
                <w:spacing w:val="-10"/>
              </w:rPr>
              <w:t>138         13</w:t>
            </w:r>
          </w:p>
        </w:tc>
      </w:tr>
      <w:tr w14:paraId="4605A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3" w:hRule="atLeast"/>
        </w:trPr>
        <w:tc>
          <w:tcPr>
            <w:tcW w:w="785" w:type="dxa"/>
            <w:vMerge w:val="restart"/>
            <w:tcBorders>
              <w:bottom w:val="nil"/>
            </w:tcBorders>
            <w:textDirection w:val="tbRlV"/>
            <w:vAlign w:val="top"/>
          </w:tcPr>
          <w:p w14:paraId="69EF94DE">
            <w:pPr>
              <w:pStyle w:val="6"/>
              <w:spacing w:before="206" w:line="204" w:lineRule="auto"/>
              <w:ind w:left="1798"/>
            </w:pPr>
            <w:r>
              <w:rPr>
                <w:color w:val="304050"/>
                <w:spacing w:val="3"/>
              </w:rPr>
              <w:t>评</w:t>
            </w:r>
            <w:r>
              <w:rPr>
                <w:color w:val="304050"/>
                <w:spacing w:val="12"/>
              </w:rPr>
              <w:t xml:space="preserve">   </w:t>
            </w:r>
            <w:r>
              <w:rPr>
                <w:color w:val="304050"/>
                <w:spacing w:val="3"/>
              </w:rPr>
              <w:t>审</w:t>
            </w:r>
            <w:r>
              <w:rPr>
                <w:color w:val="304050"/>
                <w:spacing w:val="12"/>
              </w:rPr>
              <w:t xml:space="preserve">   </w:t>
            </w:r>
            <w:r>
              <w:rPr>
                <w:color w:val="304050"/>
                <w:spacing w:val="3"/>
              </w:rPr>
              <w:t>专</w:t>
            </w:r>
            <w:r>
              <w:rPr>
                <w:color w:val="304050"/>
                <w:spacing w:val="12"/>
              </w:rPr>
              <w:t xml:space="preserve">   </w:t>
            </w:r>
            <w:r>
              <w:rPr>
                <w:color w:val="304050"/>
                <w:spacing w:val="3"/>
              </w:rPr>
              <w:t>家</w:t>
            </w:r>
            <w:r>
              <w:rPr>
                <w:color w:val="304050"/>
                <w:spacing w:val="12"/>
              </w:rPr>
              <w:t xml:space="preserve">   </w:t>
            </w:r>
            <w:r>
              <w:rPr>
                <w:color w:val="304050"/>
                <w:spacing w:val="3"/>
              </w:rPr>
              <w:t>组</w:t>
            </w:r>
            <w:r>
              <w:rPr>
                <w:color w:val="304050"/>
                <w:spacing w:val="12"/>
              </w:rPr>
              <w:t xml:space="preserve">   </w:t>
            </w:r>
            <w:r>
              <w:rPr>
                <w:color w:val="304050"/>
                <w:spacing w:val="3"/>
              </w:rPr>
              <w:t>名</w:t>
            </w:r>
            <w:r>
              <w:rPr>
                <w:color w:val="304050"/>
                <w:spacing w:val="12"/>
              </w:rPr>
              <w:t xml:space="preserve">   </w:t>
            </w:r>
            <w:r>
              <w:rPr>
                <w:color w:val="304050"/>
                <w:spacing w:val="3"/>
              </w:rPr>
              <w:t>单</w:t>
            </w:r>
          </w:p>
        </w:tc>
        <w:tc>
          <w:tcPr>
            <w:tcW w:w="2311" w:type="dxa"/>
            <w:vAlign w:val="top"/>
          </w:tcPr>
          <w:p w14:paraId="18BC0FFD">
            <w:pPr>
              <w:spacing w:line="358" w:lineRule="auto"/>
              <w:rPr>
                <w:rFonts w:ascii="Arial"/>
                <w:sz w:val="21"/>
              </w:rPr>
            </w:pPr>
          </w:p>
          <w:p w14:paraId="76720563">
            <w:pPr>
              <w:pStyle w:val="6"/>
              <w:spacing w:before="121" w:line="221" w:lineRule="auto"/>
              <w:ind w:left="681"/>
            </w:pPr>
            <w:r>
              <w:rPr>
                <w:spacing w:val="-6"/>
              </w:rPr>
              <w:t>姓</w:t>
            </w:r>
            <w:r>
              <w:rPr>
                <w:spacing w:val="16"/>
              </w:rPr>
              <w:t xml:space="preserve"> </w:t>
            </w:r>
            <w:r>
              <w:rPr>
                <w:spacing w:val="-6"/>
              </w:rPr>
              <w:t>名</w:t>
            </w:r>
          </w:p>
        </w:tc>
        <w:tc>
          <w:tcPr>
            <w:tcW w:w="4020" w:type="dxa"/>
            <w:vAlign w:val="top"/>
          </w:tcPr>
          <w:p w14:paraId="602784CF">
            <w:pPr>
              <w:spacing w:line="359" w:lineRule="auto"/>
              <w:rPr>
                <w:rFonts w:ascii="Arial"/>
                <w:sz w:val="21"/>
              </w:rPr>
            </w:pPr>
          </w:p>
          <w:p w14:paraId="08F88248">
            <w:pPr>
              <w:pStyle w:val="6"/>
              <w:spacing w:before="120" w:line="222" w:lineRule="auto"/>
              <w:ind w:left="1537"/>
            </w:pPr>
            <w:r>
              <w:rPr>
                <w:spacing w:val="-8"/>
              </w:rPr>
              <w:t>单</w:t>
            </w:r>
            <w:r>
              <w:rPr>
                <w:spacing w:val="19"/>
              </w:rPr>
              <w:t xml:space="preserve"> </w:t>
            </w:r>
            <w:r>
              <w:rPr>
                <w:spacing w:val="-8"/>
              </w:rPr>
              <w:t>位</w:t>
            </w:r>
          </w:p>
        </w:tc>
        <w:tc>
          <w:tcPr>
            <w:tcW w:w="2835" w:type="dxa"/>
            <w:vAlign w:val="top"/>
          </w:tcPr>
          <w:p w14:paraId="5EF0E251">
            <w:pPr>
              <w:spacing w:line="358" w:lineRule="auto"/>
              <w:rPr>
                <w:rFonts w:ascii="Arial"/>
                <w:sz w:val="21"/>
              </w:rPr>
            </w:pPr>
          </w:p>
          <w:p w14:paraId="1F9BC3AD">
            <w:pPr>
              <w:pStyle w:val="6"/>
              <w:spacing w:before="121" w:line="221" w:lineRule="auto"/>
              <w:ind w:left="666"/>
            </w:pPr>
            <w:r>
              <w:rPr>
                <w:spacing w:val="7"/>
              </w:rPr>
              <w:t>职务职称</w:t>
            </w:r>
          </w:p>
        </w:tc>
        <w:tc>
          <w:tcPr>
            <w:tcW w:w="2281" w:type="dxa"/>
            <w:vAlign w:val="top"/>
          </w:tcPr>
          <w:p w14:paraId="7E3ED950">
            <w:pPr>
              <w:spacing w:line="359" w:lineRule="auto"/>
              <w:rPr>
                <w:rFonts w:ascii="Arial"/>
                <w:sz w:val="21"/>
              </w:rPr>
            </w:pPr>
          </w:p>
          <w:p w14:paraId="0A67B410">
            <w:pPr>
              <w:pStyle w:val="6"/>
              <w:spacing w:before="120" w:line="222" w:lineRule="auto"/>
              <w:ind w:left="763"/>
            </w:pPr>
            <w:r>
              <w:rPr>
                <w:spacing w:val="9"/>
              </w:rPr>
              <w:t>专业</w:t>
            </w:r>
          </w:p>
        </w:tc>
        <w:tc>
          <w:tcPr>
            <w:tcW w:w="2841" w:type="dxa"/>
            <w:vAlign w:val="top"/>
          </w:tcPr>
          <w:p w14:paraId="4D56F52D">
            <w:pPr>
              <w:spacing w:line="363" w:lineRule="auto"/>
              <w:rPr>
                <w:rFonts w:ascii="Arial"/>
                <w:sz w:val="21"/>
              </w:rPr>
            </w:pPr>
          </w:p>
          <w:p w14:paraId="14CFAAD8">
            <w:pPr>
              <w:pStyle w:val="6"/>
              <w:spacing w:before="120" w:line="223" w:lineRule="auto"/>
              <w:ind w:left="1023"/>
            </w:pPr>
            <w:r>
              <w:rPr>
                <w:spacing w:val="10"/>
              </w:rPr>
              <w:t>电话</w:t>
            </w:r>
          </w:p>
        </w:tc>
        <w:tc>
          <w:tcPr>
            <w:tcW w:w="2555" w:type="dxa"/>
            <w:vAlign w:val="top"/>
          </w:tcPr>
          <w:p w14:paraId="10E4A6FA">
            <w:pPr>
              <w:spacing w:line="365" w:lineRule="auto"/>
              <w:rPr>
                <w:rFonts w:ascii="Arial"/>
                <w:sz w:val="21"/>
              </w:rPr>
            </w:pPr>
          </w:p>
          <w:p w14:paraId="3269DCA1">
            <w:pPr>
              <w:pStyle w:val="6"/>
              <w:spacing w:before="120" w:line="225" w:lineRule="auto"/>
              <w:ind w:left="825"/>
            </w:pPr>
            <w:r>
              <w:rPr>
                <w:spacing w:val="27"/>
              </w:rPr>
              <w:t>签名</w:t>
            </w:r>
          </w:p>
        </w:tc>
      </w:tr>
      <w:tr w14:paraId="648CD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3" w:hRule="atLeast"/>
        </w:trPr>
        <w:tc>
          <w:tcPr>
            <w:tcW w:w="785" w:type="dxa"/>
            <w:vMerge w:val="continue"/>
            <w:tcBorders>
              <w:top w:val="nil"/>
              <w:bottom w:val="nil"/>
            </w:tcBorders>
            <w:textDirection w:val="tbRlV"/>
            <w:vAlign w:val="top"/>
          </w:tcPr>
          <w:p w14:paraId="6C900534">
            <w:pPr>
              <w:rPr>
                <w:rFonts w:ascii="Arial"/>
                <w:sz w:val="21"/>
              </w:rPr>
            </w:pPr>
          </w:p>
        </w:tc>
        <w:tc>
          <w:tcPr>
            <w:tcW w:w="2311" w:type="dxa"/>
            <w:vAlign w:val="top"/>
          </w:tcPr>
          <w:p w14:paraId="43C09D0B">
            <w:pPr>
              <w:spacing w:line="347" w:lineRule="auto"/>
              <w:rPr>
                <w:rFonts w:ascii="Arial"/>
                <w:sz w:val="21"/>
              </w:rPr>
            </w:pPr>
          </w:p>
          <w:p w14:paraId="0FF4D235">
            <w:pPr>
              <w:pStyle w:val="6"/>
              <w:spacing w:before="121" w:line="222" w:lineRule="auto"/>
              <w:ind w:left="591"/>
            </w:pPr>
            <w:r>
              <w:rPr>
                <w:spacing w:val="8"/>
              </w:rPr>
              <w:t>刘忠发</w:t>
            </w:r>
          </w:p>
        </w:tc>
        <w:tc>
          <w:tcPr>
            <w:tcW w:w="4020" w:type="dxa"/>
            <w:vAlign w:val="top"/>
          </w:tcPr>
          <w:p w14:paraId="4BE52A52">
            <w:pPr>
              <w:pStyle w:val="6"/>
              <w:spacing w:before="162" w:line="277" w:lineRule="auto"/>
              <w:ind w:left="513" w:right="309" w:hanging="186"/>
            </w:pPr>
            <w:r>
              <w:rPr>
                <w:spacing w:val="5"/>
              </w:rPr>
              <w:t>云南省地质工程勘察</w:t>
            </w:r>
            <w:r>
              <w:rPr>
                <w:spacing w:val="2"/>
              </w:rPr>
              <w:t xml:space="preserve"> </w:t>
            </w:r>
            <w:r>
              <w:rPr>
                <w:spacing w:val="9"/>
              </w:rPr>
              <w:t>总公司曲靖分公司</w:t>
            </w:r>
          </w:p>
        </w:tc>
        <w:tc>
          <w:tcPr>
            <w:tcW w:w="2835" w:type="dxa"/>
            <w:vAlign w:val="top"/>
          </w:tcPr>
          <w:p w14:paraId="16EC2347">
            <w:pPr>
              <w:spacing w:line="347" w:lineRule="auto"/>
              <w:rPr>
                <w:rFonts w:ascii="Arial"/>
                <w:sz w:val="21"/>
              </w:rPr>
            </w:pPr>
          </w:p>
          <w:p w14:paraId="1DEB79E4">
            <w:pPr>
              <w:pStyle w:val="6"/>
              <w:spacing w:before="120" w:line="221" w:lineRule="auto"/>
              <w:ind w:left="479"/>
            </w:pPr>
            <w:r>
              <w:rPr>
                <w:spacing w:val="7"/>
              </w:rPr>
              <w:t>高级工程师</w:t>
            </w:r>
          </w:p>
        </w:tc>
        <w:tc>
          <w:tcPr>
            <w:tcW w:w="2281" w:type="dxa"/>
            <w:vAlign w:val="top"/>
          </w:tcPr>
          <w:p w14:paraId="03D4CA94">
            <w:pPr>
              <w:spacing w:line="347" w:lineRule="auto"/>
              <w:rPr>
                <w:rFonts w:ascii="Arial"/>
                <w:sz w:val="21"/>
              </w:rPr>
            </w:pPr>
          </w:p>
          <w:p w14:paraId="18FB97F2">
            <w:pPr>
              <w:pStyle w:val="6"/>
              <w:spacing w:before="120" w:line="221" w:lineRule="auto"/>
              <w:ind w:left="576"/>
            </w:pPr>
            <w:r>
              <w:rPr>
                <w:spacing w:val="9"/>
              </w:rPr>
              <w:t>水工环</w:t>
            </w:r>
          </w:p>
        </w:tc>
        <w:tc>
          <w:tcPr>
            <w:tcW w:w="2841" w:type="dxa"/>
            <w:vAlign w:val="top"/>
          </w:tcPr>
          <w:p w14:paraId="09B5218A">
            <w:pPr>
              <w:spacing w:line="402" w:lineRule="auto"/>
              <w:rPr>
                <w:rFonts w:ascii="Arial"/>
                <w:sz w:val="21"/>
              </w:rPr>
            </w:pPr>
          </w:p>
          <w:p w14:paraId="073F32FF">
            <w:pPr>
              <w:pStyle w:val="6"/>
              <w:spacing w:before="120" w:line="490" w:lineRule="exact"/>
              <w:ind w:left="324"/>
            </w:pPr>
            <w:r>
              <w:rPr>
                <w:spacing w:val="-10"/>
                <w:position w:val="2"/>
              </w:rPr>
              <w:t>139</w:t>
            </w:r>
            <w:r>
              <w:rPr>
                <w:spacing w:val="23"/>
                <w:position w:val="2"/>
              </w:rPr>
              <w:t xml:space="preserve">      </w:t>
            </w:r>
            <w:r>
              <w:rPr>
                <w:spacing w:val="-10"/>
                <w:position w:val="2"/>
              </w:rPr>
              <w:t>74</w:t>
            </w:r>
          </w:p>
        </w:tc>
        <w:tc>
          <w:tcPr>
            <w:tcW w:w="2555" w:type="dxa"/>
            <w:vAlign w:val="top"/>
          </w:tcPr>
          <w:p w14:paraId="18E76048">
            <w:pPr>
              <w:spacing w:line="414" w:lineRule="auto"/>
              <w:rPr>
                <w:rFonts w:ascii="Arial"/>
                <w:sz w:val="21"/>
              </w:rPr>
            </w:pPr>
          </w:p>
          <w:p w14:paraId="11E23697">
            <w:pPr>
              <w:pStyle w:val="6"/>
              <w:spacing w:before="120" w:line="242" w:lineRule="auto"/>
              <w:ind w:left="1180"/>
            </w:pPr>
            <w:r>
              <w:t>t</w:t>
            </w:r>
          </w:p>
        </w:tc>
      </w:tr>
      <w:tr w14:paraId="224596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7" w:hRule="atLeast"/>
        </w:trPr>
        <w:tc>
          <w:tcPr>
            <w:tcW w:w="785" w:type="dxa"/>
            <w:vMerge w:val="continue"/>
            <w:tcBorders>
              <w:top w:val="nil"/>
              <w:bottom w:val="nil"/>
            </w:tcBorders>
            <w:textDirection w:val="tbRlV"/>
            <w:vAlign w:val="top"/>
          </w:tcPr>
          <w:p w14:paraId="17390F1E">
            <w:pPr>
              <w:rPr>
                <w:rFonts w:ascii="Arial"/>
                <w:sz w:val="21"/>
              </w:rPr>
            </w:pPr>
          </w:p>
        </w:tc>
        <w:tc>
          <w:tcPr>
            <w:tcW w:w="2311" w:type="dxa"/>
            <w:vAlign w:val="top"/>
          </w:tcPr>
          <w:p w14:paraId="078069F7">
            <w:pPr>
              <w:spacing w:line="311" w:lineRule="auto"/>
              <w:rPr>
                <w:rFonts w:ascii="Arial"/>
                <w:sz w:val="21"/>
              </w:rPr>
            </w:pPr>
          </w:p>
          <w:p w14:paraId="25FB72A4">
            <w:pPr>
              <w:pStyle w:val="6"/>
              <w:spacing w:before="120" w:line="221" w:lineRule="auto"/>
              <w:ind w:left="591"/>
            </w:pPr>
            <w:r>
              <w:rPr>
                <w:spacing w:val="11"/>
              </w:rPr>
              <w:t>杨光伟</w:t>
            </w:r>
          </w:p>
        </w:tc>
        <w:tc>
          <w:tcPr>
            <w:tcW w:w="4020" w:type="dxa"/>
            <w:vAlign w:val="top"/>
          </w:tcPr>
          <w:p w14:paraId="3751C512">
            <w:pPr>
              <w:pStyle w:val="6"/>
              <w:spacing w:before="124" w:line="270" w:lineRule="auto"/>
              <w:ind w:left="1633" w:right="314" w:hanging="1306"/>
            </w:pPr>
            <w:r>
              <w:rPr>
                <w:spacing w:val="4"/>
              </w:rPr>
              <w:t>曲靖市土地开发整理</w:t>
            </w:r>
            <w:r>
              <w:rPr>
                <w:spacing w:val="5"/>
              </w:rPr>
              <w:t xml:space="preserve"> </w:t>
            </w:r>
            <w:r>
              <w:rPr>
                <w:spacing w:val="15"/>
              </w:rPr>
              <w:t>中心</w:t>
            </w:r>
          </w:p>
        </w:tc>
        <w:tc>
          <w:tcPr>
            <w:tcW w:w="2835" w:type="dxa"/>
            <w:vAlign w:val="top"/>
          </w:tcPr>
          <w:p w14:paraId="3AFF66C7">
            <w:pPr>
              <w:spacing w:line="311" w:lineRule="auto"/>
              <w:rPr>
                <w:rFonts w:ascii="Arial"/>
                <w:sz w:val="21"/>
              </w:rPr>
            </w:pPr>
          </w:p>
          <w:p w14:paraId="69F792FC">
            <w:pPr>
              <w:pStyle w:val="6"/>
              <w:spacing w:before="120" w:line="221" w:lineRule="auto"/>
              <w:ind w:left="1039"/>
            </w:pPr>
            <w:r>
              <w:rPr>
                <w:spacing w:val="11"/>
              </w:rPr>
              <w:t>主任</w:t>
            </w:r>
          </w:p>
        </w:tc>
        <w:tc>
          <w:tcPr>
            <w:tcW w:w="2281" w:type="dxa"/>
            <w:vAlign w:val="top"/>
          </w:tcPr>
          <w:p w14:paraId="2B39E33D">
            <w:pPr>
              <w:spacing w:line="322" w:lineRule="auto"/>
              <w:rPr>
                <w:rFonts w:ascii="Arial"/>
                <w:sz w:val="21"/>
              </w:rPr>
            </w:pPr>
          </w:p>
          <w:p w14:paraId="7B116324">
            <w:pPr>
              <w:pStyle w:val="6"/>
              <w:spacing w:before="120" w:line="226" w:lineRule="auto"/>
              <w:ind w:left="390"/>
            </w:pPr>
            <w:r>
              <w:rPr>
                <w:spacing w:val="11"/>
              </w:rPr>
              <w:t>土地整治</w:t>
            </w:r>
          </w:p>
        </w:tc>
        <w:tc>
          <w:tcPr>
            <w:tcW w:w="2841" w:type="dxa"/>
            <w:vAlign w:val="top"/>
          </w:tcPr>
          <w:p w14:paraId="194F1148">
            <w:pPr>
              <w:spacing w:line="378" w:lineRule="auto"/>
              <w:rPr>
                <w:rFonts w:ascii="Arial"/>
                <w:sz w:val="21"/>
              </w:rPr>
            </w:pPr>
          </w:p>
          <w:p w14:paraId="12147811">
            <w:pPr>
              <w:pStyle w:val="6"/>
              <w:spacing w:before="121" w:line="489" w:lineRule="exact"/>
              <w:ind w:left="318"/>
            </w:pPr>
            <w:r>
              <w:rPr>
                <w:spacing w:val="-8"/>
                <w:position w:val="2"/>
              </w:rPr>
              <w:t>1398</w:t>
            </w:r>
            <w:r>
              <w:rPr>
                <w:spacing w:val="3"/>
                <w:position w:val="2"/>
              </w:rPr>
              <w:t xml:space="preserve">      </w:t>
            </w:r>
            <w:r>
              <w:rPr>
                <w:spacing w:val="-8"/>
                <w:position w:val="2"/>
              </w:rPr>
              <w:t>65</w:t>
            </w:r>
          </w:p>
        </w:tc>
        <w:tc>
          <w:tcPr>
            <w:tcW w:w="2555" w:type="dxa"/>
            <w:vAlign w:val="top"/>
          </w:tcPr>
          <w:p w14:paraId="755DFF68">
            <w:pPr>
              <w:spacing w:line="341" w:lineRule="auto"/>
              <w:rPr>
                <w:rFonts w:ascii="Arial"/>
                <w:sz w:val="21"/>
              </w:rPr>
            </w:pPr>
          </w:p>
          <w:p w14:paraId="4344E21E">
            <w:pPr>
              <w:pStyle w:val="6"/>
              <w:spacing w:before="120" w:line="221" w:lineRule="auto"/>
              <w:ind w:left="1090"/>
            </w:pPr>
            <w:r>
              <w:t>伟</w:t>
            </w:r>
          </w:p>
        </w:tc>
      </w:tr>
      <w:tr w14:paraId="5C22F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785" w:type="dxa"/>
            <w:vMerge w:val="continue"/>
            <w:tcBorders>
              <w:top w:val="nil"/>
              <w:bottom w:val="nil"/>
            </w:tcBorders>
            <w:textDirection w:val="tbRlV"/>
            <w:vAlign w:val="top"/>
          </w:tcPr>
          <w:p w14:paraId="641C02FE">
            <w:pPr>
              <w:rPr>
                <w:rFonts w:ascii="Arial"/>
                <w:sz w:val="21"/>
              </w:rPr>
            </w:pPr>
          </w:p>
        </w:tc>
        <w:tc>
          <w:tcPr>
            <w:tcW w:w="2311" w:type="dxa"/>
            <w:vAlign w:val="top"/>
          </w:tcPr>
          <w:p w14:paraId="7961654F">
            <w:pPr>
              <w:spacing w:line="311" w:lineRule="auto"/>
              <w:rPr>
                <w:rFonts w:ascii="Arial"/>
                <w:sz w:val="21"/>
              </w:rPr>
            </w:pPr>
          </w:p>
          <w:p w14:paraId="322F2304">
            <w:pPr>
              <w:pStyle w:val="6"/>
              <w:spacing w:before="120" w:line="224" w:lineRule="auto"/>
              <w:ind w:left="591"/>
            </w:pPr>
            <w:r>
              <w:rPr>
                <w:spacing w:val="12"/>
              </w:rPr>
              <w:t>念红良</w:t>
            </w:r>
          </w:p>
        </w:tc>
        <w:tc>
          <w:tcPr>
            <w:tcW w:w="4020" w:type="dxa"/>
            <w:vAlign w:val="top"/>
          </w:tcPr>
          <w:p w14:paraId="776CE377">
            <w:pPr>
              <w:pStyle w:val="6"/>
              <w:spacing w:before="121" w:line="266" w:lineRule="auto"/>
              <w:ind w:left="1446" w:right="313" w:hanging="1119"/>
            </w:pPr>
            <w:r>
              <w:rPr>
                <w:spacing w:val="4"/>
              </w:rPr>
              <w:t>云南省有色地质局三</w:t>
            </w:r>
            <w:r>
              <w:rPr>
                <w:spacing w:val="7"/>
              </w:rPr>
              <w:t xml:space="preserve"> </w:t>
            </w:r>
            <w:r>
              <w:rPr>
                <w:spacing w:val="10"/>
              </w:rPr>
              <w:t>一七队</w:t>
            </w:r>
          </w:p>
        </w:tc>
        <w:tc>
          <w:tcPr>
            <w:tcW w:w="2835" w:type="dxa"/>
            <w:vAlign w:val="top"/>
          </w:tcPr>
          <w:p w14:paraId="631EA396">
            <w:pPr>
              <w:spacing w:line="305" w:lineRule="auto"/>
              <w:rPr>
                <w:rFonts w:ascii="Arial"/>
                <w:sz w:val="21"/>
              </w:rPr>
            </w:pPr>
          </w:p>
          <w:p w14:paraId="1641E855">
            <w:pPr>
              <w:pStyle w:val="6"/>
              <w:spacing w:before="121" w:line="221" w:lineRule="auto"/>
              <w:ind w:left="293"/>
            </w:pPr>
            <w:r>
              <w:rPr>
                <w:spacing w:val="6"/>
              </w:rPr>
              <w:t>正高级工程师</w:t>
            </w:r>
          </w:p>
        </w:tc>
        <w:tc>
          <w:tcPr>
            <w:tcW w:w="2281" w:type="dxa"/>
            <w:vAlign w:val="top"/>
          </w:tcPr>
          <w:p w14:paraId="1E1090C3">
            <w:pPr>
              <w:spacing w:line="306" w:lineRule="auto"/>
              <w:rPr>
                <w:rFonts w:ascii="Arial"/>
                <w:sz w:val="21"/>
              </w:rPr>
            </w:pPr>
          </w:p>
          <w:p w14:paraId="2A7825D9">
            <w:pPr>
              <w:pStyle w:val="6"/>
              <w:spacing w:before="120" w:line="222" w:lineRule="auto"/>
              <w:ind w:left="763"/>
            </w:pPr>
            <w:r>
              <w:rPr>
                <w:spacing w:val="24"/>
              </w:rPr>
              <w:t>地质</w:t>
            </w:r>
          </w:p>
        </w:tc>
        <w:tc>
          <w:tcPr>
            <w:tcW w:w="2841" w:type="dxa"/>
            <w:vAlign w:val="top"/>
          </w:tcPr>
          <w:p w14:paraId="69EB5A5A">
            <w:pPr>
              <w:spacing w:line="349" w:lineRule="auto"/>
              <w:rPr>
                <w:rFonts w:ascii="Arial"/>
                <w:sz w:val="21"/>
              </w:rPr>
            </w:pPr>
          </w:p>
          <w:p w14:paraId="0C97644D">
            <w:pPr>
              <w:pStyle w:val="6"/>
              <w:spacing w:before="120" w:line="241" w:lineRule="auto"/>
              <w:ind w:left="318"/>
            </w:pPr>
            <w:r>
              <w:rPr>
                <w:spacing w:val="-10"/>
              </w:rPr>
              <w:t>137</w:t>
            </w:r>
            <w:r>
              <w:rPr>
                <w:spacing w:val="5"/>
              </w:rPr>
              <w:t xml:space="preserve">       </w:t>
            </w:r>
            <w:r>
              <w:rPr>
                <w:spacing w:val="-10"/>
              </w:rPr>
              <w:t>75</w:t>
            </w:r>
          </w:p>
        </w:tc>
        <w:tc>
          <w:tcPr>
            <w:tcW w:w="2555" w:type="dxa"/>
            <w:vAlign w:val="top"/>
          </w:tcPr>
          <w:p w14:paraId="22CDB8FB">
            <w:pPr>
              <w:spacing w:line="297" w:lineRule="auto"/>
              <w:rPr>
                <w:rFonts w:ascii="Arial"/>
                <w:sz w:val="21"/>
              </w:rPr>
            </w:pPr>
          </w:p>
          <w:p w14:paraId="6F15C436">
            <w:pPr>
              <w:pStyle w:val="6"/>
              <w:spacing w:before="120" w:line="222" w:lineRule="auto"/>
              <w:ind w:left="903"/>
            </w:pPr>
            <w:r>
              <w:rPr>
                <w:spacing w:val="14"/>
              </w:rPr>
              <w:t>感呢</w:t>
            </w:r>
          </w:p>
        </w:tc>
      </w:tr>
      <w:tr w14:paraId="65EBD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7" w:hRule="atLeast"/>
        </w:trPr>
        <w:tc>
          <w:tcPr>
            <w:tcW w:w="785" w:type="dxa"/>
            <w:vMerge w:val="continue"/>
            <w:tcBorders>
              <w:top w:val="nil"/>
              <w:bottom w:val="nil"/>
            </w:tcBorders>
            <w:textDirection w:val="tbRlV"/>
            <w:vAlign w:val="top"/>
          </w:tcPr>
          <w:p w14:paraId="6107ECBF">
            <w:pPr>
              <w:rPr>
                <w:rFonts w:ascii="Arial"/>
                <w:sz w:val="21"/>
              </w:rPr>
            </w:pPr>
          </w:p>
        </w:tc>
        <w:tc>
          <w:tcPr>
            <w:tcW w:w="2311" w:type="dxa"/>
            <w:vAlign w:val="top"/>
          </w:tcPr>
          <w:p w14:paraId="7D6705F0">
            <w:pPr>
              <w:spacing w:line="300" w:lineRule="auto"/>
              <w:rPr>
                <w:rFonts w:ascii="Arial"/>
                <w:sz w:val="21"/>
              </w:rPr>
            </w:pPr>
          </w:p>
          <w:p w14:paraId="4E5A70B7">
            <w:pPr>
              <w:pStyle w:val="6"/>
              <w:spacing w:before="121" w:line="221" w:lineRule="auto"/>
              <w:ind w:left="591"/>
            </w:pPr>
            <w:r>
              <w:rPr>
                <w:spacing w:val="9"/>
              </w:rPr>
              <w:t>蔡培全</w:t>
            </w:r>
          </w:p>
        </w:tc>
        <w:tc>
          <w:tcPr>
            <w:tcW w:w="4020" w:type="dxa"/>
            <w:vAlign w:val="top"/>
          </w:tcPr>
          <w:p w14:paraId="5679BBD8">
            <w:pPr>
              <w:pStyle w:val="6"/>
              <w:spacing w:before="126" w:line="262" w:lineRule="auto"/>
              <w:ind w:left="327" w:right="307"/>
            </w:pPr>
            <w:r>
              <w:rPr>
                <w:spacing w:val="5"/>
              </w:rPr>
              <w:t>云南省地质矿产</w:t>
            </w:r>
            <w:r>
              <w:rPr>
                <w:rFonts w:hint="eastAsia"/>
                <w:spacing w:val="5"/>
                <w:lang w:eastAsia="zh-CN"/>
              </w:rPr>
              <w:t>勘查</w:t>
            </w:r>
            <w:bookmarkStart w:id="0" w:name="_GoBack"/>
            <w:bookmarkEnd w:id="0"/>
            <w:r>
              <w:rPr>
                <w:spacing w:val="2"/>
              </w:rPr>
              <w:t xml:space="preserve"> </w:t>
            </w:r>
            <w:r>
              <w:rPr>
                <w:spacing w:val="5"/>
              </w:rPr>
              <w:t>开发局第一地质大队</w:t>
            </w:r>
          </w:p>
        </w:tc>
        <w:tc>
          <w:tcPr>
            <w:tcW w:w="2835" w:type="dxa"/>
            <w:vAlign w:val="top"/>
          </w:tcPr>
          <w:p w14:paraId="5CEE86B4">
            <w:pPr>
              <w:spacing w:line="300" w:lineRule="auto"/>
              <w:rPr>
                <w:rFonts w:ascii="Arial"/>
                <w:sz w:val="21"/>
              </w:rPr>
            </w:pPr>
          </w:p>
          <w:p w14:paraId="702D70A0">
            <w:pPr>
              <w:pStyle w:val="6"/>
              <w:spacing w:before="121" w:line="221" w:lineRule="auto"/>
              <w:ind w:left="479"/>
            </w:pPr>
            <w:r>
              <w:rPr>
                <w:spacing w:val="7"/>
              </w:rPr>
              <w:t>高级工程师</w:t>
            </w:r>
          </w:p>
        </w:tc>
        <w:tc>
          <w:tcPr>
            <w:tcW w:w="2281" w:type="dxa"/>
            <w:vAlign w:val="top"/>
          </w:tcPr>
          <w:p w14:paraId="455ACBC1">
            <w:pPr>
              <w:spacing w:line="301" w:lineRule="auto"/>
              <w:rPr>
                <w:rFonts w:ascii="Arial"/>
                <w:sz w:val="21"/>
              </w:rPr>
            </w:pPr>
          </w:p>
          <w:p w14:paraId="00685CB3">
            <w:pPr>
              <w:pStyle w:val="6"/>
              <w:spacing w:before="121" w:line="222" w:lineRule="auto"/>
              <w:ind w:left="763"/>
            </w:pPr>
            <w:r>
              <w:rPr>
                <w:spacing w:val="24"/>
              </w:rPr>
              <w:t>地质</w:t>
            </w:r>
          </w:p>
        </w:tc>
        <w:tc>
          <w:tcPr>
            <w:tcW w:w="2841" w:type="dxa"/>
            <w:vAlign w:val="top"/>
          </w:tcPr>
          <w:p w14:paraId="42EAA35B">
            <w:pPr>
              <w:spacing w:line="350" w:lineRule="auto"/>
              <w:rPr>
                <w:rFonts w:ascii="Arial"/>
                <w:sz w:val="21"/>
              </w:rPr>
            </w:pPr>
          </w:p>
          <w:p w14:paraId="52B193A0">
            <w:pPr>
              <w:pStyle w:val="6"/>
              <w:spacing w:before="121" w:line="241" w:lineRule="auto"/>
              <w:ind w:left="324"/>
            </w:pPr>
            <w:r>
              <w:rPr>
                <w:spacing w:val="-9"/>
              </w:rPr>
              <w:t>137</w:t>
            </w:r>
            <w:r>
              <w:rPr>
                <w:spacing w:val="1"/>
              </w:rPr>
              <w:t xml:space="preserve">       </w:t>
            </w:r>
            <w:r>
              <w:rPr>
                <w:spacing w:val="-9"/>
              </w:rPr>
              <w:t>00</w:t>
            </w:r>
          </w:p>
        </w:tc>
        <w:tc>
          <w:tcPr>
            <w:tcW w:w="2555" w:type="dxa"/>
            <w:vAlign w:val="top"/>
          </w:tcPr>
          <w:p w14:paraId="27D334A7">
            <w:pPr>
              <w:spacing w:line="300" w:lineRule="auto"/>
              <w:rPr>
                <w:rFonts w:ascii="Arial"/>
                <w:sz w:val="21"/>
              </w:rPr>
            </w:pPr>
          </w:p>
          <w:p w14:paraId="6CAF316E">
            <w:pPr>
              <w:pStyle w:val="6"/>
              <w:spacing w:before="120" w:line="220" w:lineRule="auto"/>
              <w:ind w:left="903"/>
            </w:pPr>
            <w:r>
              <w:rPr>
                <w:spacing w:val="11"/>
              </w:rPr>
              <w:t>同会</w:t>
            </w:r>
          </w:p>
        </w:tc>
      </w:tr>
      <w:tr w14:paraId="364C0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3" w:hRule="atLeast"/>
        </w:trPr>
        <w:tc>
          <w:tcPr>
            <w:tcW w:w="785" w:type="dxa"/>
            <w:vMerge w:val="continue"/>
            <w:tcBorders>
              <w:top w:val="nil"/>
              <w:bottom w:val="nil"/>
            </w:tcBorders>
            <w:textDirection w:val="tbRlV"/>
            <w:vAlign w:val="top"/>
          </w:tcPr>
          <w:p w14:paraId="022BD9B7">
            <w:pPr>
              <w:rPr>
                <w:rFonts w:ascii="Arial"/>
                <w:sz w:val="21"/>
              </w:rPr>
            </w:pPr>
          </w:p>
        </w:tc>
        <w:tc>
          <w:tcPr>
            <w:tcW w:w="2311" w:type="dxa"/>
            <w:vAlign w:val="top"/>
          </w:tcPr>
          <w:p w14:paraId="057318C9">
            <w:pPr>
              <w:spacing w:line="301" w:lineRule="auto"/>
              <w:rPr>
                <w:rFonts w:ascii="Arial"/>
                <w:sz w:val="21"/>
              </w:rPr>
            </w:pPr>
          </w:p>
          <w:p w14:paraId="74069577">
            <w:pPr>
              <w:pStyle w:val="6"/>
              <w:spacing w:before="121" w:line="222" w:lineRule="auto"/>
              <w:ind w:left="591"/>
            </w:pPr>
            <w:r>
              <w:rPr>
                <w:spacing w:val="8"/>
              </w:rPr>
              <w:t>李成献</w:t>
            </w:r>
          </w:p>
        </w:tc>
        <w:tc>
          <w:tcPr>
            <w:tcW w:w="4020" w:type="dxa"/>
            <w:vAlign w:val="top"/>
          </w:tcPr>
          <w:p w14:paraId="17337E7F">
            <w:pPr>
              <w:pStyle w:val="6"/>
              <w:spacing w:before="116" w:line="266" w:lineRule="auto"/>
              <w:ind w:left="886" w:right="314" w:hanging="559"/>
            </w:pPr>
            <w:r>
              <w:rPr>
                <w:spacing w:val="4"/>
              </w:rPr>
              <w:t>曲靖市建森工程监理</w:t>
            </w:r>
            <w:r>
              <w:rPr>
                <w:spacing w:val="5"/>
              </w:rPr>
              <w:t xml:space="preserve"> </w:t>
            </w:r>
            <w:r>
              <w:rPr>
                <w:spacing w:val="11"/>
              </w:rPr>
              <w:t>有限责任公司</w:t>
            </w:r>
          </w:p>
        </w:tc>
        <w:tc>
          <w:tcPr>
            <w:tcW w:w="2835" w:type="dxa"/>
            <w:vAlign w:val="top"/>
          </w:tcPr>
          <w:p w14:paraId="012F4F6C">
            <w:pPr>
              <w:spacing w:line="301" w:lineRule="auto"/>
              <w:rPr>
                <w:rFonts w:ascii="Arial"/>
                <w:sz w:val="21"/>
              </w:rPr>
            </w:pPr>
          </w:p>
          <w:p w14:paraId="51B4347D">
            <w:pPr>
              <w:pStyle w:val="6"/>
              <w:spacing w:before="120" w:line="221" w:lineRule="auto"/>
              <w:ind w:left="853"/>
            </w:pPr>
            <w:r>
              <w:rPr>
                <w:spacing w:val="9"/>
              </w:rPr>
              <w:t>工程师</w:t>
            </w:r>
          </w:p>
        </w:tc>
        <w:tc>
          <w:tcPr>
            <w:tcW w:w="2281" w:type="dxa"/>
            <w:vAlign w:val="top"/>
          </w:tcPr>
          <w:p w14:paraId="674A8C3C">
            <w:pPr>
              <w:spacing w:line="304" w:lineRule="auto"/>
              <w:rPr>
                <w:rFonts w:ascii="Arial"/>
                <w:sz w:val="21"/>
              </w:rPr>
            </w:pPr>
          </w:p>
          <w:p w14:paraId="684DC5D8">
            <w:pPr>
              <w:pStyle w:val="6"/>
              <w:spacing w:before="121" w:line="222" w:lineRule="auto"/>
              <w:ind w:left="763"/>
            </w:pPr>
            <w:r>
              <w:rPr>
                <w:spacing w:val="11"/>
              </w:rPr>
              <w:t>测绘</w:t>
            </w:r>
          </w:p>
        </w:tc>
        <w:tc>
          <w:tcPr>
            <w:tcW w:w="2841" w:type="dxa"/>
            <w:vAlign w:val="top"/>
          </w:tcPr>
          <w:p w14:paraId="721BA5FD">
            <w:pPr>
              <w:spacing w:line="350" w:lineRule="auto"/>
              <w:rPr>
                <w:rFonts w:ascii="Arial"/>
                <w:sz w:val="21"/>
              </w:rPr>
            </w:pPr>
          </w:p>
          <w:p w14:paraId="05592D67">
            <w:pPr>
              <w:pStyle w:val="6"/>
              <w:spacing w:before="120" w:line="508" w:lineRule="exact"/>
              <w:ind w:left="324"/>
            </w:pPr>
            <w:r>
              <w:rPr>
                <w:spacing w:val="-10"/>
                <w:position w:val="2"/>
              </w:rPr>
              <w:t>135</w:t>
            </w:r>
            <w:r>
              <w:rPr>
                <w:spacing w:val="1"/>
                <w:position w:val="2"/>
              </w:rPr>
              <w:t xml:space="preserve">       </w:t>
            </w:r>
            <w:r>
              <w:rPr>
                <w:spacing w:val="-10"/>
                <w:position w:val="3"/>
              </w:rPr>
              <w:t>74</w:t>
            </w:r>
          </w:p>
        </w:tc>
        <w:tc>
          <w:tcPr>
            <w:tcW w:w="2555" w:type="dxa"/>
            <w:vAlign w:val="top"/>
          </w:tcPr>
          <w:p w14:paraId="77009421">
            <w:pPr>
              <w:spacing w:before="215" w:line="948" w:lineRule="exact"/>
              <w:ind w:firstLine="318"/>
            </w:pPr>
            <w:r>
              <w:rPr>
                <w:position w:val="-18"/>
              </w:rPr>
              <w:drawing>
                <wp:inline distT="0" distB="0" distL="0" distR="0">
                  <wp:extent cx="1167130" cy="60198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0"/>
                          <a:stretch>
                            <a:fillRect/>
                          </a:stretch>
                        </pic:blipFill>
                        <pic:spPr>
                          <a:xfrm>
                            <a:off x="0" y="0"/>
                            <a:ext cx="1167624" cy="602064"/>
                          </a:xfrm>
                          <a:prstGeom prst="rect">
                            <a:avLst/>
                          </a:prstGeom>
                        </pic:spPr>
                      </pic:pic>
                    </a:graphicData>
                  </a:graphic>
                </wp:inline>
              </w:drawing>
            </w:r>
          </w:p>
        </w:tc>
      </w:tr>
      <w:tr w14:paraId="3EC8B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1" w:hRule="atLeast"/>
        </w:trPr>
        <w:tc>
          <w:tcPr>
            <w:tcW w:w="785" w:type="dxa"/>
            <w:vMerge w:val="continue"/>
            <w:tcBorders>
              <w:top w:val="nil"/>
              <w:bottom w:val="nil"/>
            </w:tcBorders>
            <w:textDirection w:val="tbRlV"/>
            <w:vAlign w:val="top"/>
          </w:tcPr>
          <w:p w14:paraId="0163B9A9">
            <w:pPr>
              <w:rPr>
                <w:rFonts w:ascii="Arial"/>
                <w:sz w:val="21"/>
              </w:rPr>
            </w:pPr>
          </w:p>
        </w:tc>
        <w:tc>
          <w:tcPr>
            <w:tcW w:w="2311" w:type="dxa"/>
            <w:vAlign w:val="top"/>
          </w:tcPr>
          <w:p w14:paraId="1D758431">
            <w:pPr>
              <w:spacing w:line="295" w:lineRule="auto"/>
              <w:rPr>
                <w:rFonts w:ascii="Arial"/>
                <w:sz w:val="21"/>
              </w:rPr>
            </w:pPr>
          </w:p>
          <w:p w14:paraId="00D4CF61">
            <w:pPr>
              <w:pStyle w:val="6"/>
              <w:spacing w:before="120" w:line="221" w:lineRule="auto"/>
              <w:ind w:left="591"/>
            </w:pPr>
            <w:r>
              <w:rPr>
                <w:spacing w:val="10"/>
              </w:rPr>
              <w:t>王劲松</w:t>
            </w:r>
          </w:p>
        </w:tc>
        <w:tc>
          <w:tcPr>
            <w:tcW w:w="4020" w:type="dxa"/>
            <w:vAlign w:val="top"/>
          </w:tcPr>
          <w:p w14:paraId="297FD971">
            <w:pPr>
              <w:pStyle w:val="6"/>
              <w:spacing w:before="104" w:line="266" w:lineRule="auto"/>
              <w:ind w:left="1820" w:right="303" w:hanging="1493"/>
            </w:pPr>
            <w:r>
              <w:rPr>
                <w:spacing w:val="6"/>
              </w:rPr>
              <w:t>曲靖市土壤肥料工作</w:t>
            </w:r>
            <w:r>
              <w:t xml:space="preserve"> 站</w:t>
            </w:r>
          </w:p>
        </w:tc>
        <w:tc>
          <w:tcPr>
            <w:tcW w:w="2835" w:type="dxa"/>
            <w:vAlign w:val="top"/>
          </w:tcPr>
          <w:p w14:paraId="14A01C67">
            <w:pPr>
              <w:spacing w:line="295" w:lineRule="auto"/>
              <w:rPr>
                <w:rFonts w:ascii="Arial"/>
                <w:sz w:val="21"/>
              </w:rPr>
            </w:pPr>
          </w:p>
          <w:p w14:paraId="13C81E58">
            <w:pPr>
              <w:pStyle w:val="6"/>
              <w:spacing w:before="120" w:line="221" w:lineRule="auto"/>
              <w:ind w:left="479"/>
            </w:pPr>
            <w:r>
              <w:rPr>
                <w:spacing w:val="7"/>
              </w:rPr>
              <w:t>高级工程师</w:t>
            </w:r>
          </w:p>
        </w:tc>
        <w:tc>
          <w:tcPr>
            <w:tcW w:w="2281" w:type="dxa"/>
            <w:vAlign w:val="top"/>
          </w:tcPr>
          <w:p w14:paraId="54D39120">
            <w:pPr>
              <w:spacing w:line="299" w:lineRule="auto"/>
              <w:rPr>
                <w:rFonts w:ascii="Arial"/>
                <w:sz w:val="21"/>
              </w:rPr>
            </w:pPr>
          </w:p>
          <w:p w14:paraId="52CAAC07">
            <w:pPr>
              <w:pStyle w:val="6"/>
              <w:spacing w:before="121" w:line="223" w:lineRule="auto"/>
              <w:ind w:left="763"/>
            </w:pPr>
            <w:r>
              <w:rPr>
                <w:spacing w:val="9"/>
              </w:rPr>
              <w:t>农业</w:t>
            </w:r>
          </w:p>
        </w:tc>
        <w:tc>
          <w:tcPr>
            <w:tcW w:w="2841" w:type="dxa"/>
            <w:vAlign w:val="top"/>
          </w:tcPr>
          <w:p w14:paraId="615C68E8">
            <w:pPr>
              <w:spacing w:line="362" w:lineRule="auto"/>
              <w:rPr>
                <w:rFonts w:ascii="Arial"/>
                <w:sz w:val="21"/>
              </w:rPr>
            </w:pPr>
          </w:p>
          <w:p w14:paraId="28372FEB">
            <w:pPr>
              <w:pStyle w:val="6"/>
              <w:spacing w:before="121" w:line="241" w:lineRule="auto"/>
              <w:ind w:left="324"/>
            </w:pPr>
            <w:r>
              <w:rPr>
                <w:spacing w:val="-10"/>
              </w:rPr>
              <w:t>135</w:t>
            </w:r>
            <w:r>
              <w:rPr>
                <w:spacing w:val="4"/>
              </w:rPr>
              <w:t xml:space="preserve">       </w:t>
            </w:r>
            <w:r>
              <w:rPr>
                <w:spacing w:val="-10"/>
              </w:rPr>
              <w:t>30</w:t>
            </w:r>
          </w:p>
        </w:tc>
        <w:tc>
          <w:tcPr>
            <w:tcW w:w="2555" w:type="dxa"/>
            <w:vAlign w:val="top"/>
          </w:tcPr>
          <w:p w14:paraId="2C97AD26">
            <w:pPr>
              <w:rPr>
                <w:rFonts w:ascii="Arial"/>
                <w:sz w:val="21"/>
              </w:rPr>
            </w:pPr>
            <w:r>
              <w:drawing>
                <wp:anchor distT="0" distB="0" distL="0" distR="0" simplePos="0" relativeHeight="251659264" behindDoc="0" locked="0" layoutInCell="1" allowOverlap="1">
                  <wp:simplePos x="0" y="0"/>
                  <wp:positionH relativeFrom="rightMargin">
                    <wp:posOffset>-1513840</wp:posOffset>
                  </wp:positionH>
                  <wp:positionV relativeFrom="topMargin">
                    <wp:posOffset>256540</wp:posOffset>
                  </wp:positionV>
                  <wp:extent cx="1285875" cy="56261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1"/>
                          <a:stretch>
                            <a:fillRect/>
                          </a:stretch>
                        </pic:blipFill>
                        <pic:spPr>
                          <a:xfrm>
                            <a:off x="0" y="0"/>
                            <a:ext cx="1285732" cy="562833"/>
                          </a:xfrm>
                          <a:prstGeom prst="rect">
                            <a:avLst/>
                          </a:prstGeom>
                        </pic:spPr>
                      </pic:pic>
                    </a:graphicData>
                  </a:graphic>
                </wp:anchor>
              </w:drawing>
            </w:r>
          </w:p>
        </w:tc>
      </w:tr>
      <w:tr w14:paraId="1C162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7" w:hRule="atLeast"/>
        </w:trPr>
        <w:tc>
          <w:tcPr>
            <w:tcW w:w="785" w:type="dxa"/>
            <w:vMerge w:val="continue"/>
            <w:tcBorders>
              <w:top w:val="nil"/>
            </w:tcBorders>
            <w:textDirection w:val="tbRlV"/>
            <w:vAlign w:val="top"/>
          </w:tcPr>
          <w:p w14:paraId="3FC1F4F0">
            <w:pPr>
              <w:rPr>
                <w:rFonts w:ascii="Arial"/>
                <w:sz w:val="21"/>
              </w:rPr>
            </w:pPr>
          </w:p>
        </w:tc>
        <w:tc>
          <w:tcPr>
            <w:tcW w:w="2311" w:type="dxa"/>
            <w:vAlign w:val="top"/>
          </w:tcPr>
          <w:p w14:paraId="3F0FF7F3">
            <w:pPr>
              <w:spacing w:line="298" w:lineRule="auto"/>
              <w:rPr>
                <w:rFonts w:ascii="Arial"/>
                <w:sz w:val="21"/>
              </w:rPr>
            </w:pPr>
          </w:p>
          <w:p w14:paraId="45CBC2C9">
            <w:pPr>
              <w:pStyle w:val="6"/>
              <w:spacing w:before="121" w:line="222" w:lineRule="auto"/>
              <w:ind w:left="778"/>
            </w:pPr>
            <w:r>
              <w:rPr>
                <w:spacing w:val="11"/>
              </w:rPr>
              <w:t>宗超</w:t>
            </w:r>
          </w:p>
        </w:tc>
        <w:tc>
          <w:tcPr>
            <w:tcW w:w="4020" w:type="dxa"/>
            <w:vAlign w:val="top"/>
          </w:tcPr>
          <w:p w14:paraId="6DFAB47E">
            <w:pPr>
              <w:pStyle w:val="6"/>
              <w:spacing w:before="120" w:line="261" w:lineRule="auto"/>
              <w:ind w:left="513" w:right="309" w:hanging="186"/>
            </w:pPr>
            <w:r>
              <w:rPr>
                <w:spacing w:val="5"/>
              </w:rPr>
              <w:t>云南省地质工程勘察</w:t>
            </w:r>
            <w:r>
              <w:rPr>
                <w:spacing w:val="2"/>
              </w:rPr>
              <w:t xml:space="preserve"> </w:t>
            </w:r>
            <w:r>
              <w:rPr>
                <w:spacing w:val="9"/>
              </w:rPr>
              <w:t>总公司曲靖分公司</w:t>
            </w:r>
          </w:p>
        </w:tc>
        <w:tc>
          <w:tcPr>
            <w:tcW w:w="2835" w:type="dxa"/>
            <w:vAlign w:val="top"/>
          </w:tcPr>
          <w:p w14:paraId="33047382">
            <w:pPr>
              <w:spacing w:line="295" w:lineRule="auto"/>
              <w:rPr>
                <w:rFonts w:ascii="Arial"/>
                <w:sz w:val="21"/>
              </w:rPr>
            </w:pPr>
          </w:p>
          <w:p w14:paraId="116ED130">
            <w:pPr>
              <w:pStyle w:val="6"/>
              <w:spacing w:before="120" w:line="221" w:lineRule="auto"/>
              <w:ind w:left="853"/>
            </w:pPr>
            <w:r>
              <w:rPr>
                <w:spacing w:val="9"/>
              </w:rPr>
              <w:t>工程师</w:t>
            </w:r>
          </w:p>
        </w:tc>
        <w:tc>
          <w:tcPr>
            <w:tcW w:w="2281" w:type="dxa"/>
            <w:vAlign w:val="top"/>
          </w:tcPr>
          <w:p w14:paraId="44C93D5F">
            <w:pPr>
              <w:spacing w:line="295" w:lineRule="auto"/>
              <w:rPr>
                <w:rFonts w:ascii="Arial"/>
                <w:sz w:val="21"/>
              </w:rPr>
            </w:pPr>
          </w:p>
          <w:p w14:paraId="72A5AEC4">
            <w:pPr>
              <w:pStyle w:val="6"/>
              <w:spacing w:before="120" w:line="221" w:lineRule="auto"/>
              <w:ind w:left="576"/>
            </w:pPr>
            <w:r>
              <w:rPr>
                <w:spacing w:val="9"/>
              </w:rPr>
              <w:t>水工环</w:t>
            </w:r>
          </w:p>
        </w:tc>
        <w:tc>
          <w:tcPr>
            <w:tcW w:w="2841" w:type="dxa"/>
            <w:vAlign w:val="top"/>
          </w:tcPr>
          <w:p w14:paraId="7D579890">
            <w:pPr>
              <w:spacing w:line="386" w:lineRule="auto"/>
              <w:rPr>
                <w:rFonts w:ascii="Arial"/>
                <w:sz w:val="21"/>
              </w:rPr>
            </w:pPr>
          </w:p>
          <w:p w14:paraId="438C893D">
            <w:pPr>
              <w:pStyle w:val="6"/>
              <w:spacing w:before="120" w:line="241" w:lineRule="auto"/>
              <w:ind w:left="324"/>
            </w:pPr>
            <w:r>
              <w:rPr>
                <w:spacing w:val="-9"/>
              </w:rPr>
              <w:t>151</w:t>
            </w:r>
            <w:r>
              <w:rPr>
                <w:spacing w:val="1"/>
              </w:rPr>
              <w:t xml:space="preserve">       </w:t>
            </w:r>
            <w:r>
              <w:rPr>
                <w:spacing w:val="-9"/>
              </w:rPr>
              <w:t>66</w:t>
            </w:r>
          </w:p>
        </w:tc>
        <w:tc>
          <w:tcPr>
            <w:tcW w:w="2555" w:type="dxa"/>
            <w:vAlign w:val="top"/>
          </w:tcPr>
          <w:p w14:paraId="5240B6A3">
            <w:pPr>
              <w:spacing w:line="342" w:lineRule="auto"/>
              <w:rPr>
                <w:rFonts w:ascii="Arial"/>
                <w:sz w:val="21"/>
              </w:rPr>
            </w:pPr>
          </w:p>
          <w:p w14:paraId="266DD948">
            <w:pPr>
              <w:spacing w:line="758" w:lineRule="exact"/>
              <w:ind w:firstLine="128"/>
            </w:pPr>
            <w:r>
              <w:rPr>
                <w:position w:val="-15"/>
              </w:rPr>
              <w:drawing>
                <wp:inline distT="0" distB="0" distL="0" distR="0">
                  <wp:extent cx="968375" cy="48069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2"/>
                          <a:stretch>
                            <a:fillRect/>
                          </a:stretch>
                        </pic:blipFill>
                        <pic:spPr>
                          <a:xfrm>
                            <a:off x="0" y="0"/>
                            <a:ext cx="968831" cy="481139"/>
                          </a:xfrm>
                          <a:prstGeom prst="rect">
                            <a:avLst/>
                          </a:prstGeom>
                        </pic:spPr>
                      </pic:pic>
                    </a:graphicData>
                  </a:graphic>
                </wp:inline>
              </w:drawing>
            </w:r>
          </w:p>
        </w:tc>
      </w:tr>
    </w:tbl>
    <w:p w14:paraId="0E5AD63F">
      <w:pPr>
        <w:rPr>
          <w:rFonts w:ascii="Arial"/>
          <w:sz w:val="21"/>
        </w:rPr>
      </w:pPr>
    </w:p>
    <w:p w14:paraId="62D1126C">
      <w:pPr>
        <w:rPr>
          <w:rFonts w:ascii="Arial" w:hAnsi="Arial" w:eastAsia="Arial" w:cs="Arial"/>
          <w:sz w:val="21"/>
          <w:szCs w:val="21"/>
        </w:rPr>
        <w:sectPr>
          <w:pgSz w:w="22397" w:h="31680"/>
          <w:pgMar w:top="1399" w:right="2609" w:bottom="0" w:left="2152" w:header="0" w:footer="0" w:gutter="0"/>
          <w:cols w:space="720" w:num="1"/>
        </w:sectPr>
      </w:pPr>
    </w:p>
    <w:tbl>
      <w:tblPr>
        <w:tblStyle w:val="5"/>
        <w:tblW w:w="184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3"/>
        <w:gridCol w:w="17165"/>
      </w:tblGrid>
      <w:tr w14:paraId="68FABF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54" w:hRule="atLeast"/>
        </w:trPr>
        <w:tc>
          <w:tcPr>
            <w:tcW w:w="1303" w:type="dxa"/>
            <w:textDirection w:val="tbRlV"/>
            <w:vAlign w:val="top"/>
          </w:tcPr>
          <w:p w14:paraId="1D5FD675">
            <w:pPr>
              <w:spacing w:line="286" w:lineRule="auto"/>
              <w:rPr>
                <w:rFonts w:ascii="Arial"/>
                <w:sz w:val="21"/>
              </w:rPr>
            </w:pPr>
          </w:p>
          <w:p w14:paraId="6486358D">
            <w:pPr>
              <w:pStyle w:val="6"/>
              <w:spacing w:before="150" w:line="204" w:lineRule="auto"/>
              <w:ind w:left="5291"/>
              <w:rPr>
                <w:sz w:val="45"/>
                <w:szCs w:val="45"/>
              </w:rPr>
            </w:pPr>
            <w:r>
              <w:rPr>
                <w:color w:val="404050"/>
                <w:spacing w:val="7"/>
                <w:sz w:val="45"/>
                <w:szCs w:val="45"/>
              </w:rPr>
              <w:t>专</w:t>
            </w:r>
            <w:r>
              <w:rPr>
                <w:color w:val="404050"/>
                <w:spacing w:val="18"/>
                <w:sz w:val="45"/>
                <w:szCs w:val="45"/>
              </w:rPr>
              <w:t xml:space="preserve">     </w:t>
            </w:r>
            <w:r>
              <w:rPr>
                <w:color w:val="404050"/>
                <w:spacing w:val="7"/>
                <w:sz w:val="45"/>
                <w:szCs w:val="45"/>
              </w:rPr>
              <w:t>家</w:t>
            </w:r>
            <w:r>
              <w:rPr>
                <w:color w:val="404050"/>
                <w:spacing w:val="19"/>
                <w:sz w:val="45"/>
                <w:szCs w:val="45"/>
              </w:rPr>
              <w:t xml:space="preserve">     </w:t>
            </w:r>
            <w:r>
              <w:rPr>
                <w:color w:val="404050"/>
                <w:spacing w:val="7"/>
                <w:sz w:val="45"/>
                <w:szCs w:val="45"/>
              </w:rPr>
              <w:t>评</w:t>
            </w:r>
            <w:r>
              <w:rPr>
                <w:color w:val="404050"/>
                <w:spacing w:val="18"/>
                <w:sz w:val="45"/>
                <w:szCs w:val="45"/>
              </w:rPr>
              <w:t xml:space="preserve">     </w:t>
            </w:r>
            <w:r>
              <w:rPr>
                <w:color w:val="404050"/>
                <w:spacing w:val="7"/>
                <w:sz w:val="45"/>
                <w:szCs w:val="45"/>
              </w:rPr>
              <w:t>审</w:t>
            </w:r>
            <w:r>
              <w:rPr>
                <w:color w:val="404050"/>
                <w:spacing w:val="19"/>
                <w:sz w:val="45"/>
                <w:szCs w:val="45"/>
              </w:rPr>
              <w:t xml:space="preserve">     </w:t>
            </w:r>
            <w:r>
              <w:rPr>
                <w:color w:val="404050"/>
                <w:spacing w:val="7"/>
                <w:sz w:val="45"/>
                <w:szCs w:val="45"/>
              </w:rPr>
              <w:t>意</w:t>
            </w:r>
            <w:r>
              <w:rPr>
                <w:color w:val="404050"/>
                <w:spacing w:val="18"/>
                <w:sz w:val="45"/>
                <w:szCs w:val="45"/>
              </w:rPr>
              <w:t xml:space="preserve">     </w:t>
            </w:r>
            <w:r>
              <w:rPr>
                <w:color w:val="404050"/>
                <w:spacing w:val="7"/>
                <w:sz w:val="45"/>
                <w:szCs w:val="45"/>
              </w:rPr>
              <w:t>见</w:t>
            </w:r>
          </w:p>
        </w:tc>
        <w:tc>
          <w:tcPr>
            <w:tcW w:w="17165" w:type="dxa"/>
            <w:vAlign w:val="top"/>
          </w:tcPr>
          <w:p w14:paraId="5D97F22B">
            <w:pPr>
              <w:pStyle w:val="6"/>
              <w:spacing w:before="223" w:line="221" w:lineRule="auto"/>
              <w:ind w:left="1079"/>
              <w:rPr>
                <w:sz w:val="45"/>
                <w:szCs w:val="45"/>
              </w:rPr>
            </w:pPr>
            <w:r>
              <w:rPr>
                <w:spacing w:val="7"/>
                <w:sz w:val="45"/>
                <w:szCs w:val="45"/>
              </w:rPr>
              <w:t>2020年10月29日，受曲靖市自然资源和规划局委托，曲靖市土地矿业权评估事</w:t>
            </w:r>
          </w:p>
          <w:p w14:paraId="18924B6F">
            <w:pPr>
              <w:pStyle w:val="6"/>
              <w:spacing w:before="260" w:line="332" w:lineRule="auto"/>
              <w:ind w:left="194" w:firstLine="24"/>
              <w:rPr>
                <w:sz w:val="45"/>
                <w:szCs w:val="45"/>
              </w:rPr>
            </w:pPr>
            <w:r>
              <w:rPr>
                <w:spacing w:val="8"/>
                <w:sz w:val="45"/>
                <w:szCs w:val="45"/>
              </w:rPr>
              <w:t>务所在曲靖组织专家对中国有色金属工业昆明勘察设计研</w:t>
            </w:r>
            <w:r>
              <w:rPr>
                <w:spacing w:val="7"/>
                <w:sz w:val="45"/>
                <w:szCs w:val="45"/>
              </w:rPr>
              <w:t>究院有限公司编制的《云南</w:t>
            </w:r>
            <w:r>
              <w:rPr>
                <w:sz w:val="45"/>
                <w:szCs w:val="45"/>
              </w:rPr>
              <w:t xml:space="preserve"> </w:t>
            </w:r>
            <w:r>
              <w:rPr>
                <w:spacing w:val="8"/>
                <w:sz w:val="45"/>
                <w:szCs w:val="45"/>
              </w:rPr>
              <w:t>驰宏锌锗股份有限公司会泽县白矿山铅锌矿矿山地质环境保护与土地复垦方案》进行</w:t>
            </w:r>
            <w:r>
              <w:rPr>
                <w:spacing w:val="18"/>
                <w:sz w:val="45"/>
                <w:szCs w:val="45"/>
              </w:rPr>
              <w:t xml:space="preserve"> </w:t>
            </w:r>
            <w:r>
              <w:rPr>
                <w:spacing w:val="-4"/>
                <w:sz w:val="45"/>
                <w:szCs w:val="45"/>
              </w:rPr>
              <w:t>评审。与会专家在会前审阅、听取介绍、并在提问、答疑、讨论的基础上，分别对《方</w:t>
            </w:r>
            <w:r>
              <w:rPr>
                <w:spacing w:val="4"/>
                <w:sz w:val="45"/>
                <w:szCs w:val="45"/>
              </w:rPr>
              <w:t xml:space="preserve"> </w:t>
            </w:r>
            <w:r>
              <w:rPr>
                <w:spacing w:val="8"/>
                <w:sz w:val="45"/>
                <w:szCs w:val="45"/>
              </w:rPr>
              <w:t>案》中存在的问题提出修改建议和意见，编制单位根据专家提出修改建议和意见进行</w:t>
            </w:r>
            <w:r>
              <w:rPr>
                <w:spacing w:val="6"/>
                <w:sz w:val="45"/>
                <w:szCs w:val="45"/>
              </w:rPr>
              <w:t xml:space="preserve"> </w:t>
            </w:r>
            <w:r>
              <w:rPr>
                <w:spacing w:val="8"/>
                <w:sz w:val="45"/>
                <w:szCs w:val="45"/>
              </w:rPr>
              <w:t>了认真的修改，经预算专家和专家组长复核，认为基本达到技术规范要求，专家组形</w:t>
            </w:r>
            <w:r>
              <w:rPr>
                <w:spacing w:val="10"/>
                <w:sz w:val="45"/>
                <w:szCs w:val="45"/>
              </w:rPr>
              <w:t xml:space="preserve"> </w:t>
            </w:r>
            <w:r>
              <w:rPr>
                <w:spacing w:val="6"/>
                <w:sz w:val="45"/>
                <w:szCs w:val="45"/>
              </w:rPr>
              <w:t>成如下评审意见：</w:t>
            </w:r>
          </w:p>
          <w:p w14:paraId="72B94BA5">
            <w:pPr>
              <w:pStyle w:val="6"/>
              <w:spacing w:before="28" w:line="222" w:lineRule="auto"/>
              <w:ind w:left="1465"/>
              <w:rPr>
                <w:sz w:val="45"/>
                <w:szCs w:val="45"/>
              </w:rPr>
            </w:pPr>
            <w:r>
              <w:rPr>
                <w:b/>
                <w:bCs/>
                <w:spacing w:val="1"/>
                <w:sz w:val="45"/>
                <w:szCs w:val="45"/>
              </w:rPr>
              <w:t>一、项目基本情况</w:t>
            </w:r>
          </w:p>
          <w:p w14:paraId="4F9D33E2">
            <w:pPr>
              <w:pStyle w:val="6"/>
              <w:spacing w:before="206" w:line="330" w:lineRule="auto"/>
              <w:ind w:left="176" w:right="263" w:firstLine="915"/>
              <w:rPr>
                <w:sz w:val="45"/>
                <w:szCs w:val="45"/>
              </w:rPr>
            </w:pPr>
            <w:r>
              <w:rPr>
                <w:spacing w:val="8"/>
                <w:sz w:val="45"/>
                <w:szCs w:val="45"/>
              </w:rPr>
              <w:t>矿区位于云南省会泽县59°方向，平距47</w:t>
            </w:r>
            <w:r>
              <w:rPr>
                <w:sz w:val="45"/>
                <w:szCs w:val="45"/>
              </w:rPr>
              <w:t>km</w:t>
            </w:r>
            <w:r>
              <w:rPr>
                <w:spacing w:val="7"/>
                <w:sz w:val="45"/>
                <w:szCs w:val="45"/>
              </w:rPr>
              <w:t>,  地处会泽县矿山镇境内，地理坐</w:t>
            </w:r>
            <w:r>
              <w:rPr>
                <w:sz w:val="45"/>
                <w:szCs w:val="45"/>
              </w:rPr>
              <w:t xml:space="preserve"> </w:t>
            </w:r>
            <w:r>
              <w:rPr>
                <w:spacing w:val="11"/>
                <w:sz w:val="45"/>
                <w:szCs w:val="45"/>
              </w:rPr>
              <w:t>标为东经为103°42′24.31”～103°42′49.64”,北纬26°38′28.6</w:t>
            </w:r>
            <w:r>
              <w:rPr>
                <w:spacing w:val="10"/>
                <w:sz w:val="45"/>
                <w:szCs w:val="45"/>
              </w:rPr>
              <w:t>2”～26°</w:t>
            </w:r>
          </w:p>
          <w:p w14:paraId="0FA1EC49">
            <w:pPr>
              <w:pStyle w:val="6"/>
              <w:spacing w:before="5" w:line="330" w:lineRule="auto"/>
              <w:ind w:left="200" w:right="22" w:hanging="12"/>
              <w:rPr>
                <w:sz w:val="45"/>
                <w:szCs w:val="45"/>
              </w:rPr>
            </w:pPr>
            <w:r>
              <w:rPr>
                <w:spacing w:val="7"/>
                <w:sz w:val="45"/>
                <w:szCs w:val="45"/>
              </w:rPr>
              <w:t>38′45.36”,行政区划隶属云南省曲靖市会泽县矿山镇管辖。由曲靖市自然资源和规</w:t>
            </w:r>
            <w:r>
              <w:rPr>
                <w:spacing w:val="11"/>
                <w:sz w:val="45"/>
                <w:szCs w:val="45"/>
              </w:rPr>
              <w:t xml:space="preserve"> </w:t>
            </w:r>
            <w:r>
              <w:rPr>
                <w:spacing w:val="6"/>
                <w:sz w:val="45"/>
                <w:szCs w:val="45"/>
              </w:rPr>
              <w:t>划局发放采矿许可证，证号C53000020130932401314</w:t>
            </w:r>
            <w:r>
              <w:rPr>
                <w:spacing w:val="5"/>
                <w:sz w:val="45"/>
                <w:szCs w:val="45"/>
              </w:rPr>
              <w:t>05,有效期2020年5月25日至</w:t>
            </w:r>
          </w:p>
          <w:p w14:paraId="44C35007">
            <w:pPr>
              <w:pStyle w:val="6"/>
              <w:spacing w:before="1" w:line="219" w:lineRule="auto"/>
              <w:ind w:left="182"/>
              <w:rPr>
                <w:sz w:val="45"/>
                <w:szCs w:val="45"/>
              </w:rPr>
            </w:pPr>
            <w:r>
              <w:rPr>
                <w:spacing w:val="16"/>
                <w:sz w:val="45"/>
                <w:szCs w:val="45"/>
              </w:rPr>
              <w:t>2020年11月7月。划定矿区由11个拐点圈定，矿区面积0.2184</w:t>
            </w:r>
            <w:r>
              <w:rPr>
                <w:sz w:val="45"/>
                <w:szCs w:val="45"/>
              </w:rPr>
              <w:t>km</w:t>
            </w:r>
            <w:r>
              <w:rPr>
                <w:spacing w:val="16"/>
                <w:sz w:val="45"/>
                <w:szCs w:val="45"/>
              </w:rPr>
              <w:t>²,开采深度2550~</w:t>
            </w:r>
          </w:p>
          <w:p w14:paraId="566D3BC2">
            <w:pPr>
              <w:pStyle w:val="6"/>
              <w:spacing w:before="296" w:line="328" w:lineRule="auto"/>
              <w:ind w:left="188" w:right="13" w:hanging="18"/>
              <w:rPr>
                <w:sz w:val="45"/>
                <w:szCs w:val="45"/>
              </w:rPr>
            </w:pPr>
            <w:r>
              <w:rPr>
                <w:spacing w:val="8"/>
                <w:sz w:val="45"/>
                <w:szCs w:val="45"/>
              </w:rPr>
              <w:t>2350m。开采矿种为铅矿、锌矿，生产规模3万吨/年。</w:t>
            </w:r>
            <w:r>
              <w:rPr>
                <w:spacing w:val="7"/>
                <w:sz w:val="45"/>
                <w:szCs w:val="45"/>
              </w:rPr>
              <w:t>原采矿权人为会泽县民兵应急</w:t>
            </w:r>
            <w:r>
              <w:rPr>
                <w:sz w:val="45"/>
                <w:szCs w:val="45"/>
              </w:rPr>
              <w:t xml:space="preserve">  </w:t>
            </w:r>
            <w:r>
              <w:rPr>
                <w:spacing w:val="8"/>
                <w:sz w:val="45"/>
                <w:szCs w:val="45"/>
              </w:rPr>
              <w:t>营白矿山铅锌矿，2020年5月采矿权转让给云南驰宏锌锗股份有限公司，变更后采矿</w:t>
            </w:r>
            <w:r>
              <w:rPr>
                <w:spacing w:val="18"/>
                <w:sz w:val="45"/>
                <w:szCs w:val="45"/>
              </w:rPr>
              <w:t xml:space="preserve"> </w:t>
            </w:r>
            <w:r>
              <w:rPr>
                <w:spacing w:val="8"/>
                <w:sz w:val="45"/>
                <w:szCs w:val="45"/>
              </w:rPr>
              <w:t>权人为云南驰宏锌锗股份有限公司，转让后矿区面积、开采标高、开采方式、开采矿</w:t>
            </w:r>
            <w:r>
              <w:rPr>
                <w:spacing w:val="2"/>
                <w:sz w:val="45"/>
                <w:szCs w:val="45"/>
              </w:rPr>
              <w:t xml:space="preserve"> </w:t>
            </w:r>
            <w:r>
              <w:rPr>
                <w:spacing w:val="8"/>
                <w:sz w:val="45"/>
                <w:szCs w:val="45"/>
              </w:rPr>
              <w:t>种、生产规模不变。据富源县自然资源局出示证明，矿山自2014年以来一</w:t>
            </w:r>
            <w:r>
              <w:rPr>
                <w:spacing w:val="7"/>
                <w:sz w:val="45"/>
                <w:szCs w:val="45"/>
              </w:rPr>
              <w:t>直处于停产</w:t>
            </w:r>
            <w:r>
              <w:rPr>
                <w:sz w:val="45"/>
                <w:szCs w:val="45"/>
              </w:rPr>
              <w:t xml:space="preserve"> </w:t>
            </w:r>
            <w:r>
              <w:rPr>
                <w:spacing w:val="8"/>
                <w:sz w:val="45"/>
                <w:szCs w:val="45"/>
              </w:rPr>
              <w:t>状态。另据2013年5月昆明坤泽矿业技术有限责任公司提交的《会</w:t>
            </w:r>
            <w:r>
              <w:rPr>
                <w:spacing w:val="7"/>
                <w:sz w:val="45"/>
                <w:szCs w:val="45"/>
              </w:rPr>
              <w:t>泽县民兵应急营</w:t>
            </w:r>
          </w:p>
          <w:p w14:paraId="320B7B28">
            <w:pPr>
              <w:pStyle w:val="6"/>
              <w:spacing w:before="4" w:line="341" w:lineRule="auto"/>
              <w:ind w:left="218" w:hanging="12"/>
              <w:rPr>
                <w:sz w:val="45"/>
                <w:szCs w:val="45"/>
              </w:rPr>
            </w:pPr>
            <w:r>
              <w:rPr>
                <w:spacing w:val="2"/>
                <w:sz w:val="45"/>
                <w:szCs w:val="45"/>
              </w:rPr>
              <w:t>白矿山铅锌矿矿产资源开发利用方案》,设计开采矿区范围内的白矿山矿段⑧号矿体及</w:t>
            </w:r>
            <w:r>
              <w:rPr>
                <w:spacing w:val="1"/>
                <w:sz w:val="45"/>
                <w:szCs w:val="45"/>
              </w:rPr>
              <w:t xml:space="preserve"> </w:t>
            </w:r>
            <w:r>
              <w:rPr>
                <w:spacing w:val="7"/>
                <w:sz w:val="45"/>
                <w:szCs w:val="45"/>
              </w:rPr>
              <w:t>打断山矿段⑨号矿体，开采矿种为铅矿、锌矿，开采标高2550m～2365m,设计利用资</w:t>
            </w:r>
          </w:p>
          <w:p w14:paraId="52DD58A0">
            <w:pPr>
              <w:pStyle w:val="6"/>
              <w:spacing w:before="2" w:line="221" w:lineRule="auto"/>
              <w:ind w:left="212"/>
              <w:rPr>
                <w:sz w:val="45"/>
                <w:szCs w:val="45"/>
              </w:rPr>
            </w:pPr>
            <w:r>
              <w:rPr>
                <w:spacing w:val="7"/>
                <w:sz w:val="45"/>
                <w:szCs w:val="45"/>
              </w:rPr>
              <w:t>源储量15.6万吨，设计采出矿石量14.06万吨，设计开采规模为3万吨/年，属小</w:t>
            </w:r>
          </w:p>
          <w:p w14:paraId="0C07D1BD">
            <w:pPr>
              <w:pStyle w:val="6"/>
              <w:spacing w:before="244" w:line="337" w:lineRule="auto"/>
              <w:ind w:left="223" w:right="233" w:hanging="17"/>
              <w:rPr>
                <w:sz w:val="45"/>
                <w:szCs w:val="45"/>
              </w:rPr>
            </w:pPr>
            <w:r>
              <w:rPr>
                <w:spacing w:val="8"/>
                <w:sz w:val="45"/>
                <w:szCs w:val="45"/>
              </w:rPr>
              <w:t>型矿山，矿山总服务年限为4.8年。本方案编制的目的是为换</w:t>
            </w:r>
            <w:r>
              <w:rPr>
                <w:spacing w:val="7"/>
                <w:sz w:val="45"/>
                <w:szCs w:val="45"/>
              </w:rPr>
              <w:t>发采矿许可证和预存矿</w:t>
            </w:r>
            <w:r>
              <w:rPr>
                <w:sz w:val="45"/>
                <w:szCs w:val="45"/>
              </w:rPr>
              <w:t xml:space="preserve"> </w:t>
            </w:r>
            <w:r>
              <w:rPr>
                <w:spacing w:val="7"/>
                <w:sz w:val="45"/>
                <w:szCs w:val="45"/>
              </w:rPr>
              <w:t>山地质环境恢复治理基金、为土地复垦交纳履约保证金或复垦费用提供依据。</w:t>
            </w:r>
          </w:p>
          <w:p w14:paraId="5980421D">
            <w:pPr>
              <w:pStyle w:val="6"/>
              <w:spacing w:before="1" w:line="222" w:lineRule="auto"/>
              <w:ind w:left="1555"/>
              <w:rPr>
                <w:sz w:val="45"/>
                <w:szCs w:val="45"/>
              </w:rPr>
            </w:pPr>
            <w:r>
              <w:rPr>
                <w:b/>
                <w:bCs/>
                <w:spacing w:val="3"/>
                <w:sz w:val="45"/>
                <w:szCs w:val="45"/>
              </w:rPr>
              <w:t>二、矿山地质环境保护与恢复治理部分</w:t>
            </w:r>
          </w:p>
          <w:p w14:paraId="69780D15">
            <w:pPr>
              <w:pStyle w:val="6"/>
              <w:spacing w:before="221" w:line="284" w:lineRule="auto"/>
              <w:ind w:left="212" w:right="255" w:firstLine="1113"/>
              <w:rPr>
                <w:sz w:val="45"/>
                <w:szCs w:val="45"/>
              </w:rPr>
            </w:pPr>
            <w:r>
              <w:rPr>
                <w:spacing w:val="8"/>
                <w:sz w:val="45"/>
                <w:szCs w:val="45"/>
              </w:rPr>
              <w:t>(一)该矿山属小型停产矿山，评估区地质环境条件复杂，评估区重要程</w:t>
            </w:r>
            <w:r>
              <w:rPr>
                <w:spacing w:val="7"/>
                <w:sz w:val="45"/>
                <w:szCs w:val="45"/>
              </w:rPr>
              <w:t>度为重</w:t>
            </w:r>
            <w:r>
              <w:rPr>
                <w:sz w:val="45"/>
                <w:szCs w:val="45"/>
              </w:rPr>
              <w:t xml:space="preserve"> </w:t>
            </w:r>
            <w:r>
              <w:rPr>
                <w:spacing w:val="7"/>
                <w:sz w:val="45"/>
                <w:szCs w:val="45"/>
              </w:rPr>
              <w:t>要区；按一级精度开展矿山地质环境保护与治理恢复方案编制符合现行规定。</w:t>
            </w:r>
          </w:p>
          <w:p w14:paraId="3F5492F6">
            <w:pPr>
              <w:pStyle w:val="6"/>
              <w:spacing w:before="247" w:line="220" w:lineRule="auto"/>
              <w:ind w:left="1320"/>
              <w:rPr>
                <w:sz w:val="45"/>
                <w:szCs w:val="45"/>
              </w:rPr>
            </w:pPr>
            <w:r>
              <w:rPr>
                <w:spacing w:val="13"/>
                <w:sz w:val="45"/>
                <w:szCs w:val="45"/>
              </w:rPr>
              <w:t>(二)本方案确定评估范围面积0.8510</w:t>
            </w:r>
            <w:r>
              <w:rPr>
                <w:sz w:val="45"/>
                <w:szCs w:val="45"/>
              </w:rPr>
              <w:t>km</w:t>
            </w:r>
            <w:r>
              <w:rPr>
                <w:spacing w:val="13"/>
                <w:sz w:val="45"/>
                <w:szCs w:val="45"/>
              </w:rPr>
              <w:t>²,完成1:2</w:t>
            </w:r>
            <w:r>
              <w:rPr>
                <w:spacing w:val="12"/>
                <w:sz w:val="45"/>
                <w:szCs w:val="45"/>
              </w:rPr>
              <w:t>000环境工程地质调查面积</w:t>
            </w:r>
          </w:p>
          <w:p w14:paraId="218BEE5E">
            <w:pPr>
              <w:pStyle w:val="6"/>
              <w:spacing w:before="278" w:line="283" w:lineRule="auto"/>
              <w:ind w:left="200" w:right="6" w:hanging="12"/>
              <w:rPr>
                <w:sz w:val="45"/>
                <w:szCs w:val="45"/>
              </w:rPr>
            </w:pPr>
            <w:r>
              <w:rPr>
                <w:spacing w:val="8"/>
                <w:sz w:val="45"/>
                <w:szCs w:val="45"/>
              </w:rPr>
              <w:t>0.8510</w:t>
            </w:r>
            <w:r>
              <w:rPr>
                <w:sz w:val="45"/>
                <w:szCs w:val="45"/>
              </w:rPr>
              <w:t>km</w:t>
            </w:r>
            <w:r>
              <w:rPr>
                <w:spacing w:val="8"/>
                <w:sz w:val="45"/>
                <w:szCs w:val="45"/>
              </w:rPr>
              <w:t>²,野外地质调查工作及收集资料较齐全，能基本满足方案编制</w:t>
            </w:r>
            <w:r>
              <w:rPr>
                <w:spacing w:val="7"/>
                <w:sz w:val="45"/>
                <w:szCs w:val="45"/>
              </w:rPr>
              <w:t>工作所需。方</w:t>
            </w:r>
            <w:r>
              <w:rPr>
                <w:sz w:val="45"/>
                <w:szCs w:val="45"/>
              </w:rPr>
              <w:t xml:space="preserve"> </w:t>
            </w:r>
            <w:r>
              <w:rPr>
                <w:spacing w:val="7"/>
                <w:sz w:val="45"/>
                <w:szCs w:val="45"/>
              </w:rPr>
              <w:t>案编制工作程序合规，方案要件齐全。</w:t>
            </w:r>
          </w:p>
          <w:p w14:paraId="2C4F3A31">
            <w:pPr>
              <w:pStyle w:val="6"/>
              <w:spacing w:before="239" w:line="277" w:lineRule="auto"/>
              <w:ind w:left="200" w:right="273" w:firstLine="1107"/>
              <w:rPr>
                <w:sz w:val="45"/>
                <w:szCs w:val="45"/>
              </w:rPr>
            </w:pPr>
            <w:r>
              <w:rPr>
                <w:spacing w:val="8"/>
                <w:sz w:val="45"/>
                <w:szCs w:val="45"/>
              </w:rPr>
              <w:t>(三)本方案对矿山开发利用方案、矿山生产现状、矿山地质环境保护与</w:t>
            </w:r>
            <w:r>
              <w:rPr>
                <w:spacing w:val="7"/>
                <w:sz w:val="45"/>
                <w:szCs w:val="45"/>
              </w:rPr>
              <w:t>治理恢</w:t>
            </w:r>
            <w:r>
              <w:rPr>
                <w:sz w:val="45"/>
                <w:szCs w:val="45"/>
              </w:rPr>
              <w:t xml:space="preserve"> </w:t>
            </w:r>
            <w:r>
              <w:rPr>
                <w:spacing w:val="7"/>
                <w:sz w:val="45"/>
                <w:szCs w:val="45"/>
              </w:rPr>
              <w:t>复现状和评估区地质环境条件进行了较全面的介绍，可作为方案编制的基础。</w:t>
            </w:r>
          </w:p>
          <w:p w14:paraId="2581EFA7">
            <w:pPr>
              <w:pStyle w:val="6"/>
              <w:spacing w:before="286" w:line="221" w:lineRule="auto"/>
              <w:ind w:left="1301"/>
              <w:rPr>
                <w:sz w:val="45"/>
                <w:szCs w:val="45"/>
              </w:rPr>
            </w:pPr>
            <w:r>
              <w:rPr>
                <w:spacing w:val="7"/>
                <w:sz w:val="45"/>
                <w:szCs w:val="45"/>
              </w:rPr>
              <w:t>(四)现状评估指出，评估区内现状地质灾害主要分布有7处潜在不稳定斜坡，</w:t>
            </w:r>
          </w:p>
        </w:tc>
      </w:tr>
    </w:tbl>
    <w:p w14:paraId="5E73DF6C">
      <w:pPr>
        <w:rPr>
          <w:rFonts w:ascii="Arial"/>
          <w:sz w:val="21"/>
        </w:rPr>
      </w:pPr>
    </w:p>
    <w:p w14:paraId="2BB22DA8">
      <w:pPr>
        <w:rPr>
          <w:rFonts w:ascii="Arial" w:hAnsi="Arial" w:eastAsia="Arial" w:cs="Arial"/>
          <w:sz w:val="21"/>
          <w:szCs w:val="21"/>
        </w:rPr>
        <w:sectPr>
          <w:footerReference r:id="rId5" w:type="default"/>
          <w:pgSz w:w="22397" w:h="31680"/>
          <w:pgMar w:top="2459" w:right="1861" w:bottom="2679" w:left="2061" w:header="0" w:footer="2143" w:gutter="0"/>
          <w:cols w:space="720" w:num="1"/>
        </w:sectPr>
      </w:pPr>
    </w:p>
    <w:tbl>
      <w:tblPr>
        <w:tblStyle w:val="5"/>
        <w:tblW w:w="184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7"/>
        <w:gridCol w:w="17151"/>
      </w:tblGrid>
      <w:tr w14:paraId="7578C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42" w:hRule="atLeast"/>
        </w:trPr>
        <w:tc>
          <w:tcPr>
            <w:tcW w:w="1297" w:type="dxa"/>
            <w:textDirection w:val="tbRlV"/>
            <w:vAlign w:val="top"/>
          </w:tcPr>
          <w:p w14:paraId="5085F147">
            <w:pPr>
              <w:spacing w:line="268" w:lineRule="auto"/>
              <w:rPr>
                <w:rFonts w:ascii="Arial"/>
                <w:sz w:val="21"/>
              </w:rPr>
            </w:pPr>
          </w:p>
          <w:p w14:paraId="263C0ECC">
            <w:pPr>
              <w:pStyle w:val="6"/>
              <w:spacing w:before="151" w:line="204" w:lineRule="auto"/>
              <w:ind w:left="4377"/>
              <w:rPr>
                <w:sz w:val="45"/>
                <w:szCs w:val="45"/>
              </w:rPr>
            </w:pPr>
            <w:r>
              <w:rPr>
                <w:color w:val="404040"/>
                <w:spacing w:val="7"/>
                <w:sz w:val="45"/>
                <w:szCs w:val="45"/>
              </w:rPr>
              <w:t>专</w:t>
            </w:r>
            <w:r>
              <w:rPr>
                <w:color w:val="404040"/>
                <w:spacing w:val="16"/>
                <w:sz w:val="45"/>
                <w:szCs w:val="45"/>
              </w:rPr>
              <w:t xml:space="preserve">     </w:t>
            </w:r>
            <w:r>
              <w:rPr>
                <w:color w:val="404040"/>
                <w:spacing w:val="7"/>
                <w:sz w:val="45"/>
                <w:szCs w:val="45"/>
              </w:rPr>
              <w:t>家</w:t>
            </w:r>
            <w:r>
              <w:rPr>
                <w:color w:val="404040"/>
                <w:spacing w:val="16"/>
                <w:sz w:val="45"/>
                <w:szCs w:val="45"/>
              </w:rPr>
              <w:t xml:space="preserve">     </w:t>
            </w:r>
            <w:r>
              <w:rPr>
                <w:color w:val="404040"/>
                <w:spacing w:val="7"/>
                <w:sz w:val="45"/>
                <w:szCs w:val="45"/>
              </w:rPr>
              <w:t>评</w:t>
            </w:r>
            <w:r>
              <w:rPr>
                <w:color w:val="404040"/>
                <w:spacing w:val="16"/>
                <w:sz w:val="45"/>
                <w:szCs w:val="45"/>
              </w:rPr>
              <w:t xml:space="preserve">     </w:t>
            </w:r>
            <w:r>
              <w:rPr>
                <w:color w:val="404040"/>
                <w:spacing w:val="7"/>
                <w:sz w:val="45"/>
                <w:szCs w:val="45"/>
              </w:rPr>
              <w:t>审</w:t>
            </w:r>
            <w:r>
              <w:rPr>
                <w:color w:val="404040"/>
                <w:spacing w:val="16"/>
                <w:sz w:val="45"/>
                <w:szCs w:val="45"/>
              </w:rPr>
              <w:t xml:space="preserve">     </w:t>
            </w:r>
            <w:r>
              <w:rPr>
                <w:color w:val="404040"/>
                <w:spacing w:val="7"/>
                <w:sz w:val="45"/>
                <w:szCs w:val="45"/>
              </w:rPr>
              <w:t>意</w:t>
            </w:r>
            <w:r>
              <w:rPr>
                <w:color w:val="404040"/>
                <w:spacing w:val="16"/>
                <w:sz w:val="45"/>
                <w:szCs w:val="45"/>
              </w:rPr>
              <w:t xml:space="preserve">     </w:t>
            </w:r>
            <w:r>
              <w:rPr>
                <w:color w:val="404040"/>
                <w:spacing w:val="7"/>
                <w:sz w:val="45"/>
                <w:szCs w:val="45"/>
              </w:rPr>
              <w:t>见</w:t>
            </w:r>
          </w:p>
        </w:tc>
        <w:tc>
          <w:tcPr>
            <w:tcW w:w="17151" w:type="dxa"/>
            <w:vAlign w:val="top"/>
          </w:tcPr>
          <w:p w14:paraId="629D5A2C">
            <w:pPr>
              <w:pStyle w:val="6"/>
              <w:spacing w:before="236" w:line="222" w:lineRule="auto"/>
              <w:ind w:left="206"/>
              <w:rPr>
                <w:sz w:val="45"/>
                <w:szCs w:val="45"/>
              </w:rPr>
            </w:pPr>
            <w:r>
              <w:rPr>
                <w:spacing w:val="8"/>
                <w:sz w:val="45"/>
                <w:szCs w:val="45"/>
              </w:rPr>
              <w:t>现状下其危险性及危害程度小～中等：既有采矿活动对含水层影响、地形地貌景观</w:t>
            </w:r>
          </w:p>
          <w:p w14:paraId="653543C7">
            <w:pPr>
              <w:pStyle w:val="6"/>
              <w:spacing w:before="251" w:line="325" w:lineRule="auto"/>
              <w:ind w:left="163" w:firstLine="36"/>
              <w:rPr>
                <w:sz w:val="45"/>
                <w:szCs w:val="45"/>
              </w:rPr>
            </w:pPr>
            <w:r>
              <w:rPr>
                <w:spacing w:val="8"/>
                <w:sz w:val="45"/>
                <w:szCs w:val="45"/>
              </w:rPr>
              <w:t>土地资源的影响或危害严重，对水土环境污染的影响或危害较轻。矿山生产建设</w:t>
            </w:r>
            <w:r>
              <w:rPr>
                <w:spacing w:val="7"/>
                <w:sz w:val="45"/>
                <w:szCs w:val="45"/>
              </w:rPr>
              <w:t>和生</w:t>
            </w:r>
            <w:r>
              <w:rPr>
                <w:sz w:val="45"/>
                <w:szCs w:val="45"/>
              </w:rPr>
              <w:t xml:space="preserve"> </w:t>
            </w:r>
            <w:r>
              <w:rPr>
                <w:spacing w:val="7"/>
                <w:sz w:val="45"/>
                <w:szCs w:val="45"/>
              </w:rPr>
              <w:t>产过程应引起高度重视，矿山建设适宜性差。现状评估较客观，反映了现状特征。</w:t>
            </w:r>
          </w:p>
          <w:p w14:paraId="1F2A5009">
            <w:pPr>
              <w:pStyle w:val="6"/>
              <w:spacing w:before="2" w:line="273" w:lineRule="auto"/>
              <w:ind w:left="200" w:right="209" w:firstLine="1155"/>
              <w:rPr>
                <w:sz w:val="45"/>
                <w:szCs w:val="45"/>
              </w:rPr>
            </w:pPr>
            <w:r>
              <w:rPr>
                <w:spacing w:val="8"/>
                <w:sz w:val="45"/>
                <w:szCs w:val="45"/>
              </w:rPr>
              <w:t>(五)预测评估认为，矿山闭坑后将消除或减轻地质灾害隐患，最突出的地质环</w:t>
            </w:r>
            <w:r>
              <w:rPr>
                <w:sz w:val="45"/>
                <w:szCs w:val="45"/>
              </w:rPr>
              <w:t xml:space="preserve"> </w:t>
            </w:r>
            <w:r>
              <w:rPr>
                <w:spacing w:val="7"/>
                <w:sz w:val="45"/>
                <w:szCs w:val="45"/>
              </w:rPr>
              <w:t>境问题一是严重破坏矿区地形地貌景观，二是大量压占土地资源。预测评估可信。</w:t>
            </w:r>
          </w:p>
          <w:p w14:paraId="651682C6">
            <w:pPr>
              <w:pStyle w:val="6"/>
              <w:spacing w:before="308" w:line="271" w:lineRule="auto"/>
              <w:ind w:left="212" w:right="219" w:firstLine="1137"/>
              <w:rPr>
                <w:sz w:val="45"/>
                <w:szCs w:val="45"/>
              </w:rPr>
            </w:pPr>
            <w:r>
              <w:rPr>
                <w:spacing w:val="8"/>
                <w:sz w:val="45"/>
                <w:szCs w:val="45"/>
              </w:rPr>
              <w:t>(六)本方案在现状评估和预测评估的基础上，将评估区划分为矿山</w:t>
            </w:r>
            <w:r>
              <w:rPr>
                <w:spacing w:val="7"/>
                <w:sz w:val="45"/>
                <w:szCs w:val="45"/>
              </w:rPr>
              <w:t>地质环境影</w:t>
            </w:r>
            <w:r>
              <w:rPr>
                <w:sz w:val="45"/>
                <w:szCs w:val="45"/>
              </w:rPr>
              <w:t xml:space="preserve"> </w:t>
            </w:r>
            <w:r>
              <w:rPr>
                <w:spacing w:val="8"/>
                <w:sz w:val="45"/>
                <w:szCs w:val="45"/>
              </w:rPr>
              <w:t>响严重区(I)、较严重区(</w:t>
            </w:r>
            <w:r>
              <w:rPr>
                <w:sz w:val="45"/>
                <w:szCs w:val="45"/>
              </w:rPr>
              <w:t>II</w:t>
            </w:r>
            <w:r>
              <w:rPr>
                <w:spacing w:val="8"/>
                <w:sz w:val="45"/>
                <w:szCs w:val="45"/>
              </w:rPr>
              <w:t>)和较轻区(</w:t>
            </w:r>
            <w:r>
              <w:rPr>
                <w:sz w:val="45"/>
                <w:szCs w:val="45"/>
              </w:rPr>
              <w:t>III</w:t>
            </w:r>
            <w:r>
              <w:rPr>
                <w:spacing w:val="8"/>
                <w:sz w:val="45"/>
                <w:szCs w:val="45"/>
              </w:rPr>
              <w:t>)三个级别三个区段，分级</w:t>
            </w:r>
            <w:r>
              <w:rPr>
                <w:spacing w:val="7"/>
                <w:sz w:val="45"/>
                <w:szCs w:val="45"/>
              </w:rPr>
              <w:t>分区基本合</w:t>
            </w:r>
          </w:p>
          <w:p w14:paraId="63FFA56A">
            <w:pPr>
              <w:pStyle w:val="6"/>
              <w:spacing w:before="268" w:line="297" w:lineRule="auto"/>
              <w:ind w:left="200" w:right="907" w:firstLine="5"/>
              <w:rPr>
                <w:sz w:val="45"/>
                <w:szCs w:val="45"/>
              </w:rPr>
            </w:pPr>
            <w:r>
              <w:rPr>
                <w:spacing w:val="9"/>
                <w:sz w:val="45"/>
                <w:szCs w:val="45"/>
              </w:rPr>
              <w:t xml:space="preserve">理；将评估区划分为重点防治区(A区)、次重点防治区(B区)及一般防治区(C区) </w:t>
            </w:r>
            <w:r>
              <w:rPr>
                <w:spacing w:val="7"/>
                <w:sz w:val="45"/>
                <w:szCs w:val="45"/>
              </w:rPr>
              <w:t>分级分区基本合理：矿山地质环境保护方案服务年限为8年(2020年11月～2</w:t>
            </w:r>
            <w:r>
              <w:rPr>
                <w:spacing w:val="6"/>
                <w:sz w:val="45"/>
                <w:szCs w:val="45"/>
              </w:rPr>
              <w:t>028年</w:t>
            </w:r>
            <w:r>
              <w:rPr>
                <w:sz w:val="45"/>
                <w:szCs w:val="45"/>
              </w:rPr>
              <w:t xml:space="preserve"> </w:t>
            </w:r>
            <w:r>
              <w:rPr>
                <w:spacing w:val="6"/>
                <w:sz w:val="45"/>
                <w:szCs w:val="45"/>
              </w:rPr>
              <w:t>11月);适用年限为8年(2020年11月-2028年11月)是恰当的。综合评估结论客观。</w:t>
            </w:r>
          </w:p>
          <w:p w14:paraId="10B77BB0">
            <w:pPr>
              <w:pStyle w:val="6"/>
              <w:spacing w:before="274" w:line="270" w:lineRule="auto"/>
              <w:ind w:left="218" w:right="199" w:firstLine="1150"/>
              <w:rPr>
                <w:sz w:val="45"/>
                <w:szCs w:val="45"/>
              </w:rPr>
            </w:pPr>
            <w:r>
              <w:rPr>
                <w:spacing w:val="8"/>
                <w:sz w:val="45"/>
                <w:szCs w:val="45"/>
              </w:rPr>
              <w:t>(七)本方案制定的矿山地质环境保护方案包括工程措施、警示措施、监</w:t>
            </w:r>
            <w:r>
              <w:rPr>
                <w:spacing w:val="7"/>
                <w:sz w:val="45"/>
                <w:szCs w:val="45"/>
              </w:rPr>
              <w:t>测措施</w:t>
            </w:r>
            <w:r>
              <w:rPr>
                <w:sz w:val="45"/>
                <w:szCs w:val="45"/>
              </w:rPr>
              <w:t xml:space="preserve"> </w:t>
            </w:r>
            <w:r>
              <w:rPr>
                <w:spacing w:val="7"/>
                <w:sz w:val="45"/>
                <w:szCs w:val="45"/>
              </w:rPr>
              <w:t>和管理措施，措施设计有一定针对性和可实施性。</w:t>
            </w:r>
          </w:p>
          <w:p w14:paraId="6B16455C">
            <w:pPr>
              <w:pStyle w:val="6"/>
              <w:spacing w:before="261" w:line="276" w:lineRule="auto"/>
              <w:ind w:left="188" w:firstLine="1136"/>
              <w:rPr>
                <w:sz w:val="45"/>
                <w:szCs w:val="45"/>
              </w:rPr>
            </w:pPr>
            <w:r>
              <w:rPr>
                <w:spacing w:val="2"/>
                <w:sz w:val="45"/>
                <w:szCs w:val="45"/>
              </w:rPr>
              <w:t>(八)《方案》中矿山地质环境保护与治理恢复方案投资估算编制有据，计价</w:t>
            </w:r>
            <w:r>
              <w:rPr>
                <w:spacing w:val="1"/>
                <w:sz w:val="45"/>
                <w:szCs w:val="45"/>
              </w:rPr>
              <w:t>计费</w:t>
            </w:r>
            <w:r>
              <w:rPr>
                <w:sz w:val="45"/>
                <w:szCs w:val="45"/>
              </w:rPr>
              <w:t xml:space="preserve"> </w:t>
            </w:r>
            <w:r>
              <w:rPr>
                <w:spacing w:val="6"/>
                <w:sz w:val="45"/>
                <w:szCs w:val="45"/>
              </w:rPr>
              <w:t>基本合规，编制年限内总费用494.70万元，年均投入61.84万元。估算结</w:t>
            </w:r>
            <w:r>
              <w:rPr>
                <w:spacing w:val="5"/>
                <w:sz w:val="45"/>
                <w:szCs w:val="45"/>
              </w:rPr>
              <w:t>果较合理。</w:t>
            </w:r>
          </w:p>
          <w:p w14:paraId="1F45FA83">
            <w:pPr>
              <w:pStyle w:val="6"/>
              <w:spacing w:before="339" w:line="222" w:lineRule="auto"/>
              <w:ind w:left="1386"/>
              <w:rPr>
                <w:sz w:val="45"/>
                <w:szCs w:val="45"/>
              </w:rPr>
            </w:pPr>
            <w:r>
              <w:rPr>
                <w:b/>
                <w:bCs/>
                <w:spacing w:val="3"/>
                <w:sz w:val="45"/>
                <w:szCs w:val="45"/>
              </w:rPr>
              <w:t>三、土地复垦部分</w:t>
            </w:r>
          </w:p>
          <w:p w14:paraId="3F026988">
            <w:pPr>
              <w:pStyle w:val="6"/>
              <w:spacing w:before="227" w:line="293" w:lineRule="auto"/>
              <w:ind w:left="200" w:firstLine="1161"/>
              <w:rPr>
                <w:sz w:val="45"/>
                <w:szCs w:val="45"/>
              </w:rPr>
            </w:pPr>
            <w:r>
              <w:rPr>
                <w:spacing w:val="5"/>
                <w:sz w:val="45"/>
                <w:szCs w:val="45"/>
              </w:rPr>
              <w:t xml:space="preserve">(一)本《方案》编制格式符合要求，内容较为齐全：调查研究与数据处理方法  </w:t>
            </w:r>
            <w:r>
              <w:rPr>
                <w:spacing w:val="-4"/>
                <w:sz w:val="45"/>
                <w:szCs w:val="45"/>
              </w:rPr>
              <w:t>正确，数据基本可信：提出的土地复垦工程措施和生物措施基本可行：复垦费用估(概)</w:t>
            </w:r>
            <w:r>
              <w:rPr>
                <w:sz w:val="45"/>
                <w:szCs w:val="45"/>
              </w:rPr>
              <w:t xml:space="preserve"> </w:t>
            </w:r>
            <w:r>
              <w:rPr>
                <w:spacing w:val="5"/>
                <w:sz w:val="45"/>
                <w:szCs w:val="45"/>
              </w:rPr>
              <w:t>算依据较充分，测算基本合理，可作为指导企业开展土地复垦工作的</w:t>
            </w:r>
            <w:r>
              <w:rPr>
                <w:spacing w:val="4"/>
                <w:sz w:val="45"/>
                <w:szCs w:val="45"/>
              </w:rPr>
              <w:t>依据。</w:t>
            </w:r>
          </w:p>
          <w:p w14:paraId="539382BF">
            <w:pPr>
              <w:pStyle w:val="6"/>
              <w:spacing w:before="295" w:line="294" w:lineRule="auto"/>
              <w:ind w:left="218" w:firstLine="1146"/>
              <w:rPr>
                <w:sz w:val="45"/>
                <w:szCs w:val="45"/>
              </w:rPr>
            </w:pPr>
            <w:r>
              <w:rPr>
                <w:spacing w:val="7"/>
                <w:sz w:val="45"/>
                <w:szCs w:val="45"/>
              </w:rPr>
              <w:t>(二)原则同意《方案》中关于云南驰宏锌锗股份有限</w:t>
            </w:r>
            <w:r>
              <w:rPr>
                <w:spacing w:val="6"/>
                <w:sz w:val="45"/>
                <w:szCs w:val="45"/>
              </w:rPr>
              <w:t>公司会泽县白矿山铅锌矿</w:t>
            </w:r>
            <w:r>
              <w:rPr>
                <w:sz w:val="45"/>
                <w:szCs w:val="45"/>
              </w:rPr>
              <w:t xml:space="preserve">  </w:t>
            </w:r>
            <w:r>
              <w:rPr>
                <w:spacing w:val="7"/>
                <w:sz w:val="45"/>
                <w:szCs w:val="45"/>
              </w:rPr>
              <w:t>损毁土地的预测和分析。本项目损毁土地方式主要有压占、挖损、塌陷。复垦区范围</w:t>
            </w:r>
            <w:r>
              <w:rPr>
                <w:spacing w:val="17"/>
                <w:sz w:val="45"/>
                <w:szCs w:val="45"/>
              </w:rPr>
              <w:t xml:space="preserve"> 内损毁土地总面积18.4608 </w:t>
            </w:r>
            <w:r>
              <w:rPr>
                <w:sz w:val="45"/>
                <w:szCs w:val="45"/>
              </w:rPr>
              <w:t>hm</w:t>
            </w:r>
            <w:r>
              <w:rPr>
                <w:spacing w:val="17"/>
                <w:sz w:val="45"/>
                <w:szCs w:val="45"/>
              </w:rPr>
              <w:t xml:space="preserve">²,其中已损毁土地面积6.0653 </w:t>
            </w:r>
            <w:r>
              <w:rPr>
                <w:sz w:val="45"/>
                <w:szCs w:val="45"/>
              </w:rPr>
              <w:t>hm</w:t>
            </w:r>
            <w:r>
              <w:rPr>
                <w:spacing w:val="17"/>
                <w:sz w:val="45"/>
                <w:szCs w:val="45"/>
              </w:rPr>
              <w:t>²,拟损毁土地面积</w:t>
            </w:r>
          </w:p>
          <w:p w14:paraId="116C80FD">
            <w:pPr>
              <w:pStyle w:val="6"/>
              <w:spacing w:before="236" w:line="293" w:lineRule="auto"/>
              <w:ind w:left="182" w:firstLine="42"/>
              <w:rPr>
                <w:sz w:val="45"/>
                <w:szCs w:val="45"/>
              </w:rPr>
            </w:pPr>
            <w:r>
              <w:rPr>
                <w:spacing w:val="10"/>
                <w:sz w:val="45"/>
                <w:szCs w:val="45"/>
              </w:rPr>
              <w:t xml:space="preserve">12.3955 </w:t>
            </w:r>
            <w:r>
              <w:rPr>
                <w:sz w:val="45"/>
                <w:szCs w:val="45"/>
              </w:rPr>
              <w:t>hm</w:t>
            </w:r>
            <w:r>
              <w:rPr>
                <w:spacing w:val="10"/>
                <w:sz w:val="45"/>
                <w:szCs w:val="45"/>
              </w:rPr>
              <w:t xml:space="preserve">²。复垦责任范围面积18.4608 </w:t>
            </w:r>
            <w:r>
              <w:rPr>
                <w:sz w:val="45"/>
                <w:szCs w:val="45"/>
              </w:rPr>
              <w:t>hm</w:t>
            </w:r>
            <w:r>
              <w:rPr>
                <w:spacing w:val="10"/>
                <w:sz w:val="45"/>
                <w:szCs w:val="45"/>
              </w:rPr>
              <w:t xml:space="preserve">²,保留面积0.0320 </w:t>
            </w:r>
            <w:r>
              <w:rPr>
                <w:sz w:val="45"/>
                <w:szCs w:val="45"/>
              </w:rPr>
              <w:t>hm</w:t>
            </w:r>
            <w:r>
              <w:rPr>
                <w:spacing w:val="10"/>
                <w:sz w:val="45"/>
                <w:szCs w:val="45"/>
              </w:rPr>
              <w:t>²(即2号露天采场</w:t>
            </w:r>
            <w:r>
              <w:rPr>
                <w:spacing w:val="15"/>
                <w:sz w:val="45"/>
                <w:szCs w:val="45"/>
              </w:rPr>
              <w:t xml:space="preserve"> </w:t>
            </w:r>
            <w:r>
              <w:rPr>
                <w:spacing w:val="18"/>
                <w:sz w:val="45"/>
                <w:szCs w:val="45"/>
              </w:rPr>
              <w:t xml:space="preserve">挡墙保留面积0.0170 </w:t>
            </w:r>
            <w:r>
              <w:rPr>
                <w:sz w:val="45"/>
                <w:szCs w:val="45"/>
              </w:rPr>
              <w:t>hm</w:t>
            </w:r>
            <w:r>
              <w:rPr>
                <w:spacing w:val="18"/>
                <w:sz w:val="45"/>
                <w:szCs w:val="45"/>
              </w:rPr>
              <w:t>²;废石场挡墙保留面积0</w:t>
            </w:r>
            <w:r>
              <w:rPr>
                <w:spacing w:val="17"/>
                <w:sz w:val="45"/>
                <w:szCs w:val="45"/>
              </w:rPr>
              <w:t xml:space="preserve">.0150 </w:t>
            </w:r>
            <w:r>
              <w:rPr>
                <w:sz w:val="45"/>
                <w:szCs w:val="45"/>
              </w:rPr>
              <w:t>hm</w:t>
            </w:r>
            <w:r>
              <w:rPr>
                <w:spacing w:val="17"/>
                <w:sz w:val="45"/>
                <w:szCs w:val="45"/>
              </w:rPr>
              <w:t>²)不予复垦，作为规划设</w:t>
            </w:r>
            <w:r>
              <w:rPr>
                <w:sz w:val="45"/>
                <w:szCs w:val="45"/>
              </w:rPr>
              <w:t xml:space="preserve"> </w:t>
            </w:r>
            <w:r>
              <w:rPr>
                <w:spacing w:val="17"/>
                <w:sz w:val="45"/>
                <w:szCs w:val="45"/>
              </w:rPr>
              <w:t xml:space="preserve">施占用。最终确定复垦土地面积18.4288 </w:t>
            </w:r>
            <w:r>
              <w:rPr>
                <w:sz w:val="45"/>
                <w:szCs w:val="45"/>
              </w:rPr>
              <w:t>hm</w:t>
            </w:r>
            <w:r>
              <w:rPr>
                <w:spacing w:val="17"/>
                <w:sz w:val="45"/>
                <w:szCs w:val="45"/>
              </w:rPr>
              <w:t>²,其中挖损损毁3.3160</w:t>
            </w:r>
            <w:r>
              <w:rPr>
                <w:sz w:val="45"/>
                <w:szCs w:val="45"/>
              </w:rPr>
              <w:t>hm</w:t>
            </w:r>
            <w:r>
              <w:rPr>
                <w:spacing w:val="17"/>
                <w:sz w:val="45"/>
                <w:szCs w:val="45"/>
              </w:rPr>
              <w:t>²,压占损毁</w:t>
            </w:r>
          </w:p>
          <w:p w14:paraId="46491822">
            <w:pPr>
              <w:pStyle w:val="6"/>
              <w:spacing w:before="331" w:line="220" w:lineRule="auto"/>
              <w:ind w:left="182"/>
              <w:rPr>
                <w:sz w:val="45"/>
                <w:szCs w:val="45"/>
              </w:rPr>
            </w:pPr>
            <w:r>
              <w:rPr>
                <w:spacing w:val="27"/>
                <w:sz w:val="45"/>
                <w:szCs w:val="45"/>
              </w:rPr>
              <w:t>2.7129</w:t>
            </w:r>
            <w:r>
              <w:rPr>
                <w:sz w:val="45"/>
                <w:szCs w:val="45"/>
              </w:rPr>
              <w:t>hm</w:t>
            </w:r>
            <w:r>
              <w:rPr>
                <w:spacing w:val="27"/>
                <w:sz w:val="45"/>
                <w:szCs w:val="45"/>
              </w:rPr>
              <w:t>²,塌陷损毁12.3427</w:t>
            </w:r>
            <w:r>
              <w:rPr>
                <w:sz w:val="45"/>
                <w:szCs w:val="45"/>
              </w:rPr>
              <w:t>hm</w:t>
            </w:r>
            <w:r>
              <w:rPr>
                <w:spacing w:val="27"/>
                <w:sz w:val="45"/>
                <w:szCs w:val="45"/>
              </w:rPr>
              <w:t>²。</w:t>
            </w:r>
          </w:p>
          <w:p w14:paraId="6CB03031">
            <w:pPr>
              <w:pStyle w:val="6"/>
              <w:spacing w:before="237" w:line="277" w:lineRule="auto"/>
              <w:ind w:left="176" w:right="223" w:firstLine="1161"/>
              <w:rPr>
                <w:sz w:val="45"/>
                <w:szCs w:val="45"/>
              </w:rPr>
            </w:pPr>
            <w:r>
              <w:rPr>
                <w:spacing w:val="8"/>
                <w:sz w:val="45"/>
                <w:szCs w:val="45"/>
              </w:rPr>
              <w:t>(三)原则同意本项目制定的复垦目标和任务，土地复垦适宜性评价过程和结果</w:t>
            </w:r>
            <w:r>
              <w:rPr>
                <w:spacing w:val="3"/>
                <w:sz w:val="45"/>
                <w:szCs w:val="45"/>
              </w:rPr>
              <w:t xml:space="preserve"> </w:t>
            </w:r>
            <w:r>
              <w:rPr>
                <w:spacing w:val="7"/>
                <w:sz w:val="45"/>
                <w:szCs w:val="45"/>
              </w:rPr>
              <w:t>基本可信。矿山土地复垦方案服务年限为8年(2020年9月-202</w:t>
            </w:r>
            <w:r>
              <w:rPr>
                <w:spacing w:val="6"/>
                <w:sz w:val="45"/>
                <w:szCs w:val="45"/>
              </w:rPr>
              <w:t>8年8月):适用年限</w:t>
            </w:r>
          </w:p>
          <w:p w14:paraId="7B90451F">
            <w:pPr>
              <w:pStyle w:val="6"/>
              <w:spacing w:before="278" w:line="220" w:lineRule="auto"/>
              <w:ind w:left="200"/>
              <w:rPr>
                <w:sz w:val="45"/>
                <w:szCs w:val="45"/>
              </w:rPr>
            </w:pPr>
            <w:r>
              <w:rPr>
                <w:spacing w:val="9"/>
                <w:sz w:val="45"/>
                <w:szCs w:val="45"/>
              </w:rPr>
              <w:t>为8年(2020年9月-2028年9月)。规划复垦</w:t>
            </w:r>
            <w:r>
              <w:rPr>
                <w:spacing w:val="8"/>
                <w:sz w:val="45"/>
                <w:szCs w:val="45"/>
              </w:rPr>
              <w:t>总面积18.4608公顷(已复垦0公顷),</w:t>
            </w:r>
          </w:p>
          <w:p w14:paraId="3383FD34">
            <w:pPr>
              <w:pStyle w:val="6"/>
              <w:spacing w:before="298" w:line="222" w:lineRule="auto"/>
              <w:jc w:val="right"/>
              <w:rPr>
                <w:sz w:val="45"/>
                <w:szCs w:val="45"/>
              </w:rPr>
            </w:pPr>
            <w:r>
              <w:rPr>
                <w:spacing w:val="6"/>
                <w:sz w:val="45"/>
                <w:szCs w:val="45"/>
              </w:rPr>
              <w:t>其中复垦为旱地6.1992公顷、林地4.1171公顷、草地8</w:t>
            </w:r>
            <w:r>
              <w:rPr>
                <w:spacing w:val="5"/>
                <w:sz w:val="45"/>
                <w:szCs w:val="45"/>
              </w:rPr>
              <w:t>.1125公顷，复垦率为99.82%。</w:t>
            </w:r>
          </w:p>
          <w:p w14:paraId="2F5B93ED">
            <w:pPr>
              <w:pStyle w:val="6"/>
              <w:spacing w:before="284" w:line="223" w:lineRule="auto"/>
              <w:ind w:left="1362"/>
              <w:rPr>
                <w:sz w:val="45"/>
                <w:szCs w:val="45"/>
              </w:rPr>
            </w:pPr>
            <w:r>
              <w:rPr>
                <w:spacing w:val="7"/>
                <w:sz w:val="45"/>
                <w:szCs w:val="45"/>
              </w:rPr>
              <w:t>(四)原则同意《方案》中提出的预防控制措施和复垦措施。</w:t>
            </w:r>
          </w:p>
          <w:p w14:paraId="7379DD41">
            <w:pPr>
              <w:pStyle w:val="6"/>
              <w:spacing w:before="235" w:line="282" w:lineRule="auto"/>
              <w:ind w:left="194" w:right="2" w:firstLine="1131"/>
              <w:rPr>
                <w:sz w:val="45"/>
                <w:szCs w:val="45"/>
              </w:rPr>
            </w:pPr>
            <w:r>
              <w:rPr>
                <w:spacing w:val="8"/>
                <w:sz w:val="45"/>
                <w:szCs w:val="45"/>
              </w:rPr>
              <w:t>预防控制措施：1)合理规划生产布局，减少损毁范围。建设和生产过程中应加</w:t>
            </w:r>
            <w:r>
              <w:rPr>
                <w:spacing w:val="5"/>
                <w:sz w:val="45"/>
                <w:szCs w:val="45"/>
              </w:rPr>
              <w:t xml:space="preserve">  </w:t>
            </w:r>
            <w:r>
              <w:rPr>
                <w:spacing w:val="8"/>
                <w:sz w:val="45"/>
                <w:szCs w:val="45"/>
              </w:rPr>
              <w:t>强规划和施工管理，尽量缩小对土地的影响范围，各种生产建设活动应严格控制在规</w:t>
            </w:r>
          </w:p>
        </w:tc>
      </w:tr>
    </w:tbl>
    <w:p w14:paraId="5553AB13">
      <w:pPr>
        <w:rPr>
          <w:rFonts w:ascii="Arial"/>
          <w:sz w:val="21"/>
        </w:rPr>
      </w:pPr>
    </w:p>
    <w:p w14:paraId="28A4ED1A">
      <w:pPr>
        <w:rPr>
          <w:rFonts w:ascii="Arial" w:hAnsi="Arial" w:eastAsia="Arial" w:cs="Arial"/>
          <w:sz w:val="21"/>
          <w:szCs w:val="21"/>
        </w:rPr>
        <w:sectPr>
          <w:footerReference r:id="rId6" w:type="default"/>
          <w:pgSz w:w="22397" w:h="31680"/>
          <w:pgMar w:top="2459" w:right="1911" w:bottom="2661" w:left="2031" w:header="0" w:footer="2125" w:gutter="0"/>
          <w:cols w:space="720" w:num="1"/>
        </w:sectPr>
      </w:pPr>
    </w:p>
    <w:tbl>
      <w:tblPr>
        <w:tblStyle w:val="5"/>
        <w:tblW w:w="184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9"/>
        <w:gridCol w:w="17138"/>
      </w:tblGrid>
      <w:tr w14:paraId="374DF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36" w:hRule="atLeast"/>
        </w:trPr>
        <w:tc>
          <w:tcPr>
            <w:tcW w:w="1309" w:type="dxa"/>
            <w:textDirection w:val="tbRlV"/>
            <w:vAlign w:val="top"/>
          </w:tcPr>
          <w:p w14:paraId="59460D81">
            <w:pPr>
              <w:spacing w:line="355" w:lineRule="auto"/>
              <w:rPr>
                <w:rFonts w:ascii="Arial"/>
                <w:sz w:val="21"/>
              </w:rPr>
            </w:pPr>
          </w:p>
          <w:p w14:paraId="080CA607">
            <w:pPr>
              <w:pStyle w:val="6"/>
              <w:spacing w:before="151" w:line="202" w:lineRule="auto"/>
              <w:ind w:left="2661"/>
              <w:rPr>
                <w:sz w:val="45"/>
                <w:szCs w:val="45"/>
              </w:rPr>
            </w:pPr>
            <w:r>
              <w:rPr>
                <w:color w:val="303040"/>
                <w:spacing w:val="1"/>
                <w:sz w:val="45"/>
                <w:szCs w:val="45"/>
              </w:rPr>
              <w:t>专</w:t>
            </w:r>
            <w:r>
              <w:rPr>
                <w:color w:val="303040"/>
                <w:spacing w:val="22"/>
                <w:sz w:val="45"/>
                <w:szCs w:val="45"/>
              </w:rPr>
              <w:t xml:space="preserve">     </w:t>
            </w:r>
            <w:r>
              <w:rPr>
                <w:color w:val="303040"/>
                <w:spacing w:val="1"/>
                <w:sz w:val="45"/>
                <w:szCs w:val="45"/>
              </w:rPr>
              <w:t>家</w:t>
            </w:r>
            <w:r>
              <w:rPr>
                <w:color w:val="303040"/>
                <w:spacing w:val="23"/>
                <w:sz w:val="45"/>
                <w:szCs w:val="45"/>
              </w:rPr>
              <w:t xml:space="preserve">     </w:t>
            </w:r>
            <w:r>
              <w:rPr>
                <w:color w:val="303040"/>
                <w:spacing w:val="1"/>
                <w:sz w:val="45"/>
                <w:szCs w:val="45"/>
              </w:rPr>
              <w:t>评</w:t>
            </w:r>
            <w:r>
              <w:rPr>
                <w:color w:val="303040"/>
                <w:spacing w:val="22"/>
                <w:sz w:val="45"/>
                <w:szCs w:val="45"/>
              </w:rPr>
              <w:t xml:space="preserve">     </w:t>
            </w:r>
            <w:r>
              <w:rPr>
                <w:color w:val="303040"/>
                <w:spacing w:val="1"/>
                <w:sz w:val="45"/>
                <w:szCs w:val="45"/>
              </w:rPr>
              <w:t>审</w:t>
            </w:r>
            <w:r>
              <w:rPr>
                <w:color w:val="303040"/>
                <w:spacing w:val="22"/>
                <w:sz w:val="45"/>
                <w:szCs w:val="45"/>
              </w:rPr>
              <w:t xml:space="preserve">     </w:t>
            </w:r>
            <w:r>
              <w:rPr>
                <w:color w:val="303040"/>
                <w:spacing w:val="1"/>
                <w:sz w:val="45"/>
                <w:szCs w:val="45"/>
              </w:rPr>
              <w:t>意</w:t>
            </w:r>
            <w:r>
              <w:rPr>
                <w:color w:val="303040"/>
                <w:spacing w:val="23"/>
                <w:sz w:val="45"/>
                <w:szCs w:val="45"/>
              </w:rPr>
              <w:t xml:space="preserve">     </w:t>
            </w:r>
            <w:r>
              <w:rPr>
                <w:color w:val="303040"/>
                <w:spacing w:val="1"/>
                <w:sz w:val="45"/>
                <w:szCs w:val="45"/>
              </w:rPr>
              <w:t>见</w:t>
            </w:r>
          </w:p>
        </w:tc>
        <w:tc>
          <w:tcPr>
            <w:tcW w:w="17138" w:type="dxa"/>
            <w:vAlign w:val="top"/>
          </w:tcPr>
          <w:p w14:paraId="62E57FDF">
            <w:pPr>
              <w:pStyle w:val="6"/>
              <w:spacing w:before="232" w:line="220" w:lineRule="auto"/>
              <w:jc w:val="right"/>
              <w:rPr>
                <w:sz w:val="45"/>
                <w:szCs w:val="45"/>
              </w:rPr>
            </w:pPr>
            <w:r>
              <w:rPr>
                <w:spacing w:val="-2"/>
                <w:sz w:val="45"/>
                <w:szCs w:val="45"/>
              </w:rPr>
              <w:t>划区域内，将占地面积控制在最低限度，尽可能地避免造成土壤与植被的大面积损毁。</w:t>
            </w:r>
          </w:p>
          <w:p w14:paraId="17F77149">
            <w:pPr>
              <w:pStyle w:val="6"/>
              <w:spacing w:before="234" w:line="331" w:lineRule="auto"/>
              <w:ind w:left="97"/>
              <w:jc w:val="both"/>
              <w:rPr>
                <w:sz w:val="45"/>
                <w:szCs w:val="45"/>
              </w:rPr>
            </w:pPr>
            <w:r>
              <w:rPr>
                <w:spacing w:val="-2"/>
                <w:sz w:val="45"/>
                <w:szCs w:val="45"/>
              </w:rPr>
              <w:t>2)开展沉陷预防措施建设。矿山开采过程中会引起地表沉陷、拉裂从而间接损毁土地。</w:t>
            </w:r>
            <w:r>
              <w:rPr>
                <w:spacing w:val="12"/>
                <w:sz w:val="45"/>
                <w:szCs w:val="45"/>
              </w:rPr>
              <w:t xml:space="preserve"> </w:t>
            </w:r>
            <w:r>
              <w:rPr>
                <w:spacing w:val="-2"/>
                <w:sz w:val="45"/>
                <w:szCs w:val="45"/>
              </w:rPr>
              <w:t>通过改革矿井开拓部署、合理选择开采方式，优化布置开采工作面、实行保护性开采、</w:t>
            </w:r>
            <w:r>
              <w:rPr>
                <w:spacing w:val="10"/>
                <w:sz w:val="45"/>
                <w:szCs w:val="45"/>
              </w:rPr>
              <w:t xml:space="preserve"> </w:t>
            </w:r>
            <w:r>
              <w:rPr>
                <w:spacing w:val="-1"/>
                <w:sz w:val="45"/>
                <w:szCs w:val="45"/>
              </w:rPr>
              <w:t>条带式开采措施，减小地表塌陷损毁。采用废石不出井工艺，利用井下掘进废石，经</w:t>
            </w:r>
            <w:r>
              <w:rPr>
                <w:spacing w:val="4"/>
                <w:sz w:val="45"/>
                <w:szCs w:val="45"/>
              </w:rPr>
              <w:t xml:space="preserve">  </w:t>
            </w:r>
            <w:r>
              <w:rPr>
                <w:spacing w:val="-1"/>
                <w:sz w:val="45"/>
                <w:szCs w:val="45"/>
              </w:rPr>
              <w:t>过筛选破碎后作为填充材料充填采空区，减少废石占用地表，达到控制塌陷目的。采</w:t>
            </w:r>
            <w:r>
              <w:rPr>
                <w:spacing w:val="4"/>
                <w:sz w:val="45"/>
                <w:szCs w:val="45"/>
              </w:rPr>
              <w:t xml:space="preserve">  </w:t>
            </w:r>
            <w:r>
              <w:rPr>
                <w:spacing w:val="-1"/>
                <w:sz w:val="45"/>
                <w:szCs w:val="45"/>
              </w:rPr>
              <w:t>用协调开采方法，当多个工作面开采时，通过在推进方向上合理地布置工作面及开采</w:t>
            </w:r>
            <w:r>
              <w:rPr>
                <w:spacing w:val="4"/>
                <w:sz w:val="45"/>
                <w:szCs w:val="45"/>
              </w:rPr>
              <w:t xml:space="preserve">  </w:t>
            </w:r>
            <w:r>
              <w:rPr>
                <w:spacing w:val="-1"/>
                <w:sz w:val="45"/>
                <w:szCs w:val="45"/>
              </w:rPr>
              <w:t>顺序，抵消一部分地表变形，使被保护对象处于沉陷区的中间部分或压缩变形区，而</w:t>
            </w:r>
            <w:r>
              <w:rPr>
                <w:spacing w:val="6"/>
                <w:sz w:val="45"/>
                <w:szCs w:val="45"/>
              </w:rPr>
              <w:t xml:space="preserve">  </w:t>
            </w:r>
            <w:r>
              <w:rPr>
                <w:spacing w:val="-2"/>
                <w:sz w:val="45"/>
                <w:szCs w:val="45"/>
              </w:rPr>
              <w:t>不是承受最终的拉伸变形，因此可以有效减少地表变形对土地的损害。3)建立观测站。</w:t>
            </w:r>
            <w:r>
              <w:rPr>
                <w:spacing w:val="12"/>
                <w:sz w:val="45"/>
                <w:szCs w:val="45"/>
              </w:rPr>
              <w:t xml:space="preserve"> </w:t>
            </w:r>
            <w:r>
              <w:rPr>
                <w:spacing w:val="-1"/>
                <w:sz w:val="45"/>
                <w:szCs w:val="45"/>
              </w:rPr>
              <w:t>为全面掌握当地的地表移动规律、土地损毁情况及可能的自然灾害发生情况，为土地</w:t>
            </w:r>
            <w:r>
              <w:rPr>
                <w:spacing w:val="3"/>
                <w:sz w:val="45"/>
                <w:szCs w:val="45"/>
              </w:rPr>
              <w:t xml:space="preserve">  </w:t>
            </w:r>
            <w:r>
              <w:rPr>
                <w:spacing w:val="-1"/>
                <w:sz w:val="45"/>
                <w:szCs w:val="45"/>
              </w:rPr>
              <w:t>复垦工程进度及计划安排等提供参考，同时为完善补充矿区的岩层移动观测资料，建</w:t>
            </w:r>
            <w:r>
              <w:rPr>
                <w:spacing w:val="4"/>
                <w:sz w:val="45"/>
                <w:szCs w:val="45"/>
              </w:rPr>
              <w:t xml:space="preserve">  </w:t>
            </w:r>
            <w:r>
              <w:rPr>
                <w:spacing w:val="-2"/>
                <w:sz w:val="45"/>
                <w:szCs w:val="45"/>
              </w:rPr>
              <w:t>议建立岩层移动观测站对地表移动情况进行观测，在取得可靠详实数据资料的基础上，</w:t>
            </w:r>
            <w:r>
              <w:rPr>
                <w:spacing w:val="10"/>
                <w:sz w:val="45"/>
                <w:szCs w:val="45"/>
              </w:rPr>
              <w:t xml:space="preserve"> </w:t>
            </w:r>
            <w:r>
              <w:rPr>
                <w:sz w:val="45"/>
                <w:szCs w:val="45"/>
              </w:rPr>
              <w:t>以总结出本区岩移规律，从而指导生产及土地复垦。同时建立监测系统，对项目区内</w:t>
            </w:r>
            <w:r>
              <w:rPr>
                <w:spacing w:val="7"/>
                <w:sz w:val="45"/>
                <w:szCs w:val="45"/>
              </w:rPr>
              <w:t xml:space="preserve">  </w:t>
            </w:r>
            <w:r>
              <w:rPr>
                <w:spacing w:val="1"/>
                <w:sz w:val="45"/>
                <w:szCs w:val="45"/>
              </w:rPr>
              <w:t>的植被生长状况进行监测，以便及时采取措施。</w:t>
            </w:r>
          </w:p>
          <w:p w14:paraId="42BF9981">
            <w:pPr>
              <w:pStyle w:val="6"/>
              <w:spacing w:before="2" w:line="332" w:lineRule="auto"/>
              <w:ind w:left="206" w:right="31" w:firstLine="1071"/>
              <w:rPr>
                <w:sz w:val="45"/>
                <w:szCs w:val="45"/>
              </w:rPr>
            </w:pPr>
            <w:r>
              <w:rPr>
                <w:spacing w:val="2"/>
                <w:sz w:val="45"/>
                <w:szCs w:val="45"/>
              </w:rPr>
              <w:t>工程技术措施：1)土壤剥覆工程。根据土地复垦质量控制标准，复垦为耕地区域</w:t>
            </w:r>
            <w:r>
              <w:rPr>
                <w:sz w:val="45"/>
                <w:szCs w:val="45"/>
              </w:rPr>
              <w:t xml:space="preserve"> </w:t>
            </w:r>
            <w:r>
              <w:rPr>
                <w:spacing w:val="2"/>
                <w:sz w:val="45"/>
                <w:szCs w:val="45"/>
              </w:rPr>
              <w:t>覆土厚度不小于50</w:t>
            </w:r>
            <w:r>
              <w:rPr>
                <w:sz w:val="45"/>
                <w:szCs w:val="45"/>
              </w:rPr>
              <w:t>cm</w:t>
            </w:r>
            <w:r>
              <w:rPr>
                <w:spacing w:val="2"/>
                <w:sz w:val="45"/>
                <w:szCs w:val="45"/>
              </w:rPr>
              <w:t>,复垦为林地区域坑内覆土厚度应≥40</w:t>
            </w:r>
            <w:r>
              <w:rPr>
                <w:sz w:val="45"/>
                <w:szCs w:val="45"/>
              </w:rPr>
              <w:t>cm</w:t>
            </w:r>
            <w:r>
              <w:rPr>
                <w:spacing w:val="2"/>
                <w:sz w:val="45"/>
                <w:szCs w:val="45"/>
              </w:rPr>
              <w:t>,覆土表土外购，平均</w:t>
            </w:r>
          </w:p>
          <w:p w14:paraId="453C8F23">
            <w:pPr>
              <w:pStyle w:val="6"/>
              <w:spacing w:before="9" w:line="220" w:lineRule="auto"/>
              <w:ind w:left="194"/>
              <w:rPr>
                <w:sz w:val="45"/>
                <w:szCs w:val="45"/>
              </w:rPr>
            </w:pPr>
            <w:r>
              <w:rPr>
                <w:spacing w:val="2"/>
                <w:sz w:val="45"/>
                <w:szCs w:val="45"/>
              </w:rPr>
              <w:t>运距400m左右。2)平整工程。土地平整是改变损毁土地地表形状、理性的主要的工</w:t>
            </w:r>
          </w:p>
          <w:p w14:paraId="4357621E">
            <w:pPr>
              <w:pStyle w:val="6"/>
              <w:spacing w:before="286" w:line="331" w:lineRule="auto"/>
              <w:ind w:left="194" w:right="187" w:firstLine="18"/>
              <w:rPr>
                <w:sz w:val="45"/>
                <w:szCs w:val="45"/>
              </w:rPr>
            </w:pPr>
            <w:r>
              <w:rPr>
                <w:spacing w:val="1"/>
                <w:sz w:val="45"/>
                <w:szCs w:val="45"/>
              </w:rPr>
              <w:t>程措施之一。建设项目挖损、压占土地后，原地表形态发生变化，可能出现凹坑、凸</w:t>
            </w:r>
            <w:r>
              <w:rPr>
                <w:spacing w:val="18"/>
                <w:sz w:val="45"/>
                <w:szCs w:val="45"/>
              </w:rPr>
              <w:t xml:space="preserve"> </w:t>
            </w:r>
            <w:r>
              <w:rPr>
                <w:spacing w:val="2"/>
                <w:sz w:val="45"/>
                <w:szCs w:val="45"/>
              </w:rPr>
              <w:t>起，且出露物多为砾石、碎石、岩块石等，难以直接进行农、林利用。在土地平整过</w:t>
            </w:r>
            <w:r>
              <w:rPr>
                <w:spacing w:val="17"/>
                <w:sz w:val="45"/>
                <w:szCs w:val="45"/>
              </w:rPr>
              <w:t xml:space="preserve"> </w:t>
            </w:r>
            <w:r>
              <w:rPr>
                <w:spacing w:val="2"/>
                <w:sz w:val="45"/>
                <w:szCs w:val="45"/>
              </w:rPr>
              <w:t>程中通过人机配合对大块石、岩块进行拣拾，实施土地平整，满足土地复垦的初步立</w:t>
            </w:r>
            <w:r>
              <w:rPr>
                <w:spacing w:val="17"/>
                <w:sz w:val="45"/>
                <w:szCs w:val="45"/>
              </w:rPr>
              <w:t xml:space="preserve"> </w:t>
            </w:r>
            <w:r>
              <w:rPr>
                <w:spacing w:val="3"/>
                <w:sz w:val="45"/>
                <w:szCs w:val="45"/>
              </w:rPr>
              <w:t>地条件。本方案设计对拟复垦土地进行场地平整，</w:t>
            </w:r>
            <w:r>
              <w:rPr>
                <w:spacing w:val="2"/>
                <w:sz w:val="45"/>
                <w:szCs w:val="45"/>
              </w:rPr>
              <w:t>场地进行碾压平整，平整后复垦为</w:t>
            </w:r>
            <w:r>
              <w:rPr>
                <w:sz w:val="45"/>
                <w:szCs w:val="45"/>
              </w:rPr>
              <w:t xml:space="preserve"> </w:t>
            </w:r>
            <w:r>
              <w:rPr>
                <w:spacing w:val="6"/>
                <w:sz w:val="45"/>
                <w:szCs w:val="45"/>
              </w:rPr>
              <w:t>旱地区域田面高差±5</w:t>
            </w:r>
            <w:r>
              <w:rPr>
                <w:sz w:val="45"/>
                <w:szCs w:val="45"/>
              </w:rPr>
              <w:t>cm</w:t>
            </w:r>
            <w:r>
              <w:rPr>
                <w:spacing w:val="6"/>
                <w:sz w:val="45"/>
                <w:szCs w:val="45"/>
              </w:rPr>
              <w:t>。3)翻耕工程。土地平</w:t>
            </w:r>
            <w:r>
              <w:rPr>
                <w:spacing w:val="5"/>
                <w:sz w:val="45"/>
                <w:szCs w:val="45"/>
              </w:rPr>
              <w:t>整后，对规划复垦为耕地区域进行土</w:t>
            </w:r>
            <w:r>
              <w:rPr>
                <w:sz w:val="45"/>
                <w:szCs w:val="45"/>
              </w:rPr>
              <w:t xml:space="preserve"> </w:t>
            </w:r>
            <w:r>
              <w:rPr>
                <w:spacing w:val="3"/>
                <w:sz w:val="45"/>
                <w:szCs w:val="45"/>
              </w:rPr>
              <w:t>地翻耕。土地翻耕工程内容为松土。4)清理工程。项</w:t>
            </w:r>
            <w:r>
              <w:rPr>
                <w:spacing w:val="2"/>
                <w:sz w:val="45"/>
                <w:szCs w:val="45"/>
              </w:rPr>
              <w:t>目办公生活区、工业场地复垦时</w:t>
            </w:r>
            <w:r>
              <w:rPr>
                <w:sz w:val="45"/>
                <w:szCs w:val="45"/>
              </w:rPr>
              <w:t xml:space="preserve"> </w:t>
            </w:r>
            <w:r>
              <w:rPr>
                <w:spacing w:val="3"/>
                <w:sz w:val="45"/>
                <w:szCs w:val="45"/>
              </w:rPr>
              <w:t>需要对各功能区临时建筑及场地硬化物进行</w:t>
            </w:r>
            <w:r>
              <w:rPr>
                <w:spacing w:val="2"/>
                <w:sz w:val="45"/>
                <w:szCs w:val="45"/>
              </w:rPr>
              <w:t>拆除。本方案设计矿山服务期满后及时对</w:t>
            </w:r>
            <w:r>
              <w:rPr>
                <w:sz w:val="45"/>
                <w:szCs w:val="45"/>
              </w:rPr>
              <w:t xml:space="preserve"> </w:t>
            </w:r>
            <w:r>
              <w:rPr>
                <w:spacing w:val="1"/>
                <w:sz w:val="45"/>
                <w:szCs w:val="45"/>
              </w:rPr>
              <w:t>临时建筑及硬化场地进行拆除，拆除的废弃物运至矿山斜井进行充填。</w:t>
            </w:r>
          </w:p>
          <w:p w14:paraId="59299D9C">
            <w:pPr>
              <w:pStyle w:val="6"/>
              <w:spacing w:before="13" w:line="329" w:lineRule="auto"/>
              <w:ind w:left="97" w:firstLine="1135"/>
              <w:jc w:val="both"/>
              <w:rPr>
                <w:sz w:val="45"/>
                <w:szCs w:val="45"/>
              </w:rPr>
            </w:pPr>
            <w:r>
              <w:rPr>
                <w:spacing w:val="-1"/>
                <w:sz w:val="45"/>
                <w:szCs w:val="45"/>
              </w:rPr>
              <w:t>生物化学措施：1)项目区复垦土地植树种草，恢复植被。为了尽快提高地表的郁</w:t>
            </w:r>
            <w:r>
              <w:rPr>
                <w:spacing w:val="4"/>
                <w:sz w:val="45"/>
                <w:szCs w:val="45"/>
              </w:rPr>
              <w:t xml:space="preserve"> </w:t>
            </w:r>
            <w:r>
              <w:rPr>
                <w:spacing w:val="2"/>
                <w:sz w:val="45"/>
                <w:szCs w:val="45"/>
              </w:rPr>
              <w:t>闭速度，本方案规划采用乔、灌、草相结合的方法进行栽种，以尽快提高地表的郁闭</w:t>
            </w:r>
            <w:r>
              <w:rPr>
                <w:spacing w:val="8"/>
                <w:sz w:val="45"/>
                <w:szCs w:val="45"/>
              </w:rPr>
              <w:t xml:space="preserve">  </w:t>
            </w:r>
            <w:r>
              <w:rPr>
                <w:spacing w:val="2"/>
                <w:sz w:val="45"/>
                <w:szCs w:val="45"/>
              </w:rPr>
              <w:t>速度。本项目复垦区域因常年的施工活动，造成复垦区土壤压实结板，有机质含量降</w:t>
            </w:r>
            <w:r>
              <w:rPr>
                <w:sz w:val="45"/>
                <w:szCs w:val="45"/>
              </w:rPr>
              <w:t xml:space="preserve">  </w:t>
            </w:r>
            <w:r>
              <w:rPr>
                <w:spacing w:val="2"/>
                <w:sz w:val="45"/>
                <w:szCs w:val="45"/>
              </w:rPr>
              <w:t>低，肥力下降，为提高复垦区土地质量，必须进行土壤改良。2)对生物措施区域进行</w:t>
            </w:r>
            <w:r>
              <w:rPr>
                <w:sz w:val="45"/>
                <w:szCs w:val="45"/>
              </w:rPr>
              <w:t xml:space="preserve">  </w:t>
            </w:r>
            <w:r>
              <w:rPr>
                <w:spacing w:val="2"/>
                <w:sz w:val="45"/>
                <w:szCs w:val="45"/>
              </w:rPr>
              <w:t>定期检查成活率，并经常进行施肥浇水，确保林地的正常生长。并且深翻土地以达到</w:t>
            </w:r>
            <w:r>
              <w:rPr>
                <w:spacing w:val="4"/>
                <w:sz w:val="45"/>
                <w:szCs w:val="45"/>
              </w:rPr>
              <w:t xml:space="preserve">  </w:t>
            </w:r>
            <w:r>
              <w:rPr>
                <w:spacing w:val="-2"/>
                <w:sz w:val="45"/>
                <w:szCs w:val="45"/>
              </w:rPr>
              <w:t>土壤疏松，可提高植物的成活率。同时对复垦为耕地的部分进行土壤改良和土地翻耕。</w:t>
            </w:r>
          </w:p>
          <w:p w14:paraId="361FBBF8">
            <w:pPr>
              <w:pStyle w:val="6"/>
              <w:spacing w:before="5" w:line="288" w:lineRule="auto"/>
              <w:ind w:left="212" w:right="176" w:firstLine="1113"/>
              <w:rPr>
                <w:sz w:val="45"/>
                <w:szCs w:val="45"/>
              </w:rPr>
            </w:pPr>
            <w:r>
              <w:rPr>
                <w:spacing w:val="2"/>
                <w:sz w:val="45"/>
                <w:szCs w:val="45"/>
              </w:rPr>
              <w:t>(五)原则同意《方案》中提出的土地复垦标准、工程设计及工程量测算。在具</w:t>
            </w:r>
            <w:r>
              <w:rPr>
                <w:spacing w:val="3"/>
                <w:sz w:val="45"/>
                <w:szCs w:val="45"/>
              </w:rPr>
              <w:t xml:space="preserve">  </w:t>
            </w:r>
            <w:r>
              <w:rPr>
                <w:spacing w:val="2"/>
                <w:sz w:val="45"/>
                <w:szCs w:val="45"/>
              </w:rPr>
              <w:t>体实施过程中，要进一步加强并细化复垦工程设计，明确施工过程中的具体参数，增</w:t>
            </w:r>
          </w:p>
        </w:tc>
      </w:tr>
    </w:tbl>
    <w:p w14:paraId="73CCF81B">
      <w:pPr>
        <w:rPr>
          <w:rFonts w:ascii="Arial"/>
          <w:sz w:val="21"/>
        </w:rPr>
      </w:pPr>
    </w:p>
    <w:p w14:paraId="4558AF1D">
      <w:pPr>
        <w:rPr>
          <w:rFonts w:ascii="Arial" w:hAnsi="Arial" w:eastAsia="Arial" w:cs="Arial"/>
          <w:sz w:val="21"/>
          <w:szCs w:val="21"/>
        </w:rPr>
        <w:sectPr>
          <w:footerReference r:id="rId7" w:type="default"/>
          <w:pgSz w:w="22397" w:h="31680"/>
          <w:pgMar w:top="2573" w:right="1881" w:bottom="2607" w:left="2061" w:header="0" w:footer="2070" w:gutter="0"/>
          <w:cols w:space="720" w:num="1"/>
        </w:sectPr>
      </w:pPr>
    </w:p>
    <w:tbl>
      <w:tblPr>
        <w:tblStyle w:val="5"/>
        <w:tblW w:w="183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0"/>
        <w:gridCol w:w="17047"/>
      </w:tblGrid>
      <w:tr w14:paraId="37843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76" w:hRule="atLeast"/>
        </w:trPr>
        <w:tc>
          <w:tcPr>
            <w:tcW w:w="1300" w:type="dxa"/>
            <w:textDirection w:val="tbRlV"/>
            <w:vAlign w:val="top"/>
          </w:tcPr>
          <w:p w14:paraId="4F58CCB1">
            <w:pPr>
              <w:spacing w:line="389" w:lineRule="auto"/>
              <w:rPr>
                <w:rFonts w:ascii="Arial"/>
                <w:sz w:val="21"/>
              </w:rPr>
            </w:pPr>
          </w:p>
          <w:p w14:paraId="6D8FDB27">
            <w:pPr>
              <w:pStyle w:val="6"/>
              <w:spacing w:before="147" w:line="205" w:lineRule="auto"/>
              <w:ind w:left="1831"/>
              <w:rPr>
                <w:sz w:val="44"/>
                <w:szCs w:val="44"/>
              </w:rPr>
            </w:pPr>
            <w:r>
              <w:rPr>
                <w:spacing w:val="8"/>
                <w:sz w:val="44"/>
                <w:szCs w:val="44"/>
              </w:rPr>
              <w:t>专</w:t>
            </w:r>
            <w:r>
              <w:rPr>
                <w:spacing w:val="26"/>
                <w:sz w:val="44"/>
                <w:szCs w:val="44"/>
              </w:rPr>
              <w:t xml:space="preserve">     </w:t>
            </w:r>
            <w:r>
              <w:rPr>
                <w:spacing w:val="8"/>
                <w:sz w:val="44"/>
                <w:szCs w:val="44"/>
              </w:rPr>
              <w:t>家</w:t>
            </w:r>
            <w:r>
              <w:rPr>
                <w:spacing w:val="26"/>
                <w:sz w:val="44"/>
                <w:szCs w:val="44"/>
              </w:rPr>
              <w:t xml:space="preserve">     </w:t>
            </w:r>
            <w:r>
              <w:rPr>
                <w:spacing w:val="8"/>
                <w:sz w:val="44"/>
                <w:szCs w:val="44"/>
              </w:rPr>
              <w:t>评</w:t>
            </w:r>
            <w:r>
              <w:rPr>
                <w:spacing w:val="25"/>
                <w:sz w:val="44"/>
                <w:szCs w:val="44"/>
              </w:rPr>
              <w:t xml:space="preserve">     </w:t>
            </w:r>
            <w:r>
              <w:rPr>
                <w:spacing w:val="8"/>
                <w:sz w:val="44"/>
                <w:szCs w:val="44"/>
              </w:rPr>
              <w:t>审</w:t>
            </w:r>
            <w:r>
              <w:rPr>
                <w:spacing w:val="26"/>
                <w:sz w:val="44"/>
                <w:szCs w:val="44"/>
              </w:rPr>
              <w:t xml:space="preserve">     </w:t>
            </w:r>
            <w:r>
              <w:rPr>
                <w:spacing w:val="8"/>
                <w:sz w:val="44"/>
                <w:szCs w:val="44"/>
              </w:rPr>
              <w:t>意</w:t>
            </w:r>
            <w:r>
              <w:rPr>
                <w:spacing w:val="26"/>
                <w:sz w:val="44"/>
                <w:szCs w:val="44"/>
              </w:rPr>
              <w:t xml:space="preserve">     </w:t>
            </w:r>
            <w:r>
              <w:rPr>
                <w:spacing w:val="8"/>
                <w:sz w:val="44"/>
                <w:szCs w:val="44"/>
              </w:rPr>
              <w:t>见</w:t>
            </w:r>
          </w:p>
        </w:tc>
        <w:tc>
          <w:tcPr>
            <w:tcW w:w="17047" w:type="dxa"/>
            <w:vAlign w:val="top"/>
          </w:tcPr>
          <w:p w14:paraId="2F14F933">
            <w:pPr>
              <w:pStyle w:val="6"/>
              <w:spacing w:before="267" w:line="223" w:lineRule="auto"/>
              <w:ind w:left="229"/>
              <w:rPr>
                <w:sz w:val="44"/>
                <w:szCs w:val="44"/>
              </w:rPr>
            </w:pPr>
            <w:r>
              <w:drawing>
                <wp:anchor distT="0" distB="0" distL="0" distR="0" simplePos="0" relativeHeight="251660288" behindDoc="1" locked="0" layoutInCell="1" allowOverlap="1">
                  <wp:simplePos x="0" y="0"/>
                  <wp:positionH relativeFrom="rightMargin">
                    <wp:posOffset>-4547235</wp:posOffset>
                  </wp:positionH>
                  <wp:positionV relativeFrom="topMargin">
                    <wp:posOffset>15034895</wp:posOffset>
                  </wp:positionV>
                  <wp:extent cx="1524000" cy="902335"/>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3"/>
                          <a:stretch>
                            <a:fillRect/>
                          </a:stretch>
                        </pic:blipFill>
                        <pic:spPr>
                          <a:xfrm>
                            <a:off x="0" y="0"/>
                            <a:ext cx="1523888" cy="902137"/>
                          </a:xfrm>
                          <a:prstGeom prst="rect">
                            <a:avLst/>
                          </a:prstGeom>
                        </pic:spPr>
                      </pic:pic>
                    </a:graphicData>
                  </a:graphic>
                </wp:anchor>
              </w:drawing>
            </w:r>
            <w:r>
              <w:rPr>
                <w:spacing w:val="7"/>
                <w:sz w:val="44"/>
                <w:szCs w:val="44"/>
              </w:rPr>
              <w:t>加方案的可操作性。</w:t>
            </w:r>
          </w:p>
          <w:p w14:paraId="34511093">
            <w:pPr>
              <w:pStyle w:val="6"/>
              <w:spacing w:before="236" w:line="332" w:lineRule="auto"/>
              <w:ind w:left="205" w:right="413" w:firstLine="1142"/>
              <w:rPr>
                <w:sz w:val="44"/>
                <w:szCs w:val="44"/>
              </w:rPr>
            </w:pPr>
            <w:r>
              <w:rPr>
                <w:spacing w:val="8"/>
                <w:sz w:val="44"/>
                <w:szCs w:val="44"/>
              </w:rPr>
              <w:t>(六)原则同意土地复垦投资估(概)算结果。确定复垦工程静态总投资为203.27</w:t>
            </w:r>
            <w:r>
              <w:rPr>
                <w:spacing w:val="7"/>
                <w:sz w:val="44"/>
                <w:szCs w:val="44"/>
              </w:rPr>
              <w:t xml:space="preserve"> 万元(7353.52元/亩),动态总投资为228.</w:t>
            </w:r>
            <w:r>
              <w:rPr>
                <w:spacing w:val="6"/>
                <w:sz w:val="44"/>
                <w:szCs w:val="44"/>
              </w:rPr>
              <w:t>23万元(8256.46元/亩)。项目复垦资金</w:t>
            </w:r>
          </w:p>
          <w:p w14:paraId="227F957D">
            <w:pPr>
              <w:pStyle w:val="6"/>
              <w:spacing w:before="2" w:line="335" w:lineRule="auto"/>
              <w:ind w:left="199" w:firstLine="35"/>
              <w:rPr>
                <w:sz w:val="44"/>
                <w:szCs w:val="44"/>
              </w:rPr>
            </w:pPr>
            <w:r>
              <w:rPr>
                <w:spacing w:val="3"/>
                <w:sz w:val="44"/>
                <w:szCs w:val="44"/>
              </w:rPr>
              <w:t>预存按复垦方案服务年限进行预存，首期预存资金不低于静态总投资的20%,首期预存</w:t>
            </w:r>
            <w:r>
              <w:rPr>
                <w:spacing w:val="8"/>
                <w:sz w:val="44"/>
                <w:szCs w:val="44"/>
              </w:rPr>
              <w:t xml:space="preserve">  </w:t>
            </w:r>
            <w:r>
              <w:rPr>
                <w:spacing w:val="4"/>
                <w:sz w:val="44"/>
                <w:szCs w:val="44"/>
              </w:rPr>
              <w:t>资金66.00万元。业主单位要进一步明确土地复垦费用从建设或生产成本中提取，加</w:t>
            </w:r>
            <w:r>
              <w:rPr>
                <w:spacing w:val="6"/>
                <w:sz w:val="44"/>
                <w:szCs w:val="44"/>
              </w:rPr>
              <w:t xml:space="preserve">   </w:t>
            </w:r>
            <w:r>
              <w:rPr>
                <w:spacing w:val="4"/>
                <w:sz w:val="44"/>
                <w:szCs w:val="44"/>
              </w:rPr>
              <w:t>大土地复垦前期提取额度，并根据复垦工作安</w:t>
            </w:r>
            <w:r>
              <w:rPr>
                <w:spacing w:val="3"/>
                <w:sz w:val="44"/>
                <w:szCs w:val="44"/>
              </w:rPr>
              <w:t>排制定土地复垦计划，采取有效措施保</w:t>
            </w:r>
            <w:r>
              <w:rPr>
                <w:sz w:val="44"/>
                <w:szCs w:val="44"/>
              </w:rPr>
              <w:t xml:space="preserve">   </w:t>
            </w:r>
            <w:r>
              <w:rPr>
                <w:spacing w:val="3"/>
                <w:sz w:val="44"/>
                <w:szCs w:val="44"/>
              </w:rPr>
              <w:t>障复垦费专款专用。费用不足的，要及时足额追加投资，确保土地复垦工作顺利进行。</w:t>
            </w:r>
          </w:p>
          <w:p w14:paraId="10012BEB">
            <w:pPr>
              <w:pStyle w:val="6"/>
              <w:spacing w:before="1" w:line="223" w:lineRule="auto"/>
              <w:ind w:left="1605"/>
              <w:rPr>
                <w:sz w:val="44"/>
                <w:szCs w:val="44"/>
              </w:rPr>
            </w:pPr>
            <w:r>
              <w:rPr>
                <w:b/>
                <w:bCs/>
                <w:spacing w:val="5"/>
                <w:sz w:val="44"/>
                <w:szCs w:val="44"/>
              </w:rPr>
              <w:t>四、专家组强调事项</w:t>
            </w:r>
          </w:p>
          <w:p w14:paraId="0FCA1766">
            <w:pPr>
              <w:pStyle w:val="6"/>
              <w:spacing w:before="272" w:line="222" w:lineRule="auto"/>
              <w:ind w:left="1348"/>
              <w:rPr>
                <w:sz w:val="44"/>
                <w:szCs w:val="44"/>
              </w:rPr>
            </w:pPr>
            <w:r>
              <w:rPr>
                <w:spacing w:val="9"/>
                <w:sz w:val="44"/>
                <w:szCs w:val="44"/>
              </w:rPr>
              <w:t>(一)矿山分布7处不稳定斜坡，现状地质灾害危险性小。矿山开采可能诱发和</w:t>
            </w:r>
          </w:p>
          <w:p w14:paraId="1BC85ABB">
            <w:pPr>
              <w:pStyle w:val="6"/>
              <w:spacing w:before="259" w:line="280" w:lineRule="auto"/>
              <w:ind w:left="223" w:right="174" w:hanging="6"/>
              <w:rPr>
                <w:sz w:val="44"/>
                <w:szCs w:val="44"/>
              </w:rPr>
            </w:pPr>
            <w:r>
              <w:rPr>
                <w:spacing w:val="10"/>
                <w:sz w:val="44"/>
                <w:szCs w:val="44"/>
              </w:rPr>
              <w:t>遭受矿坑冒顶、垮塌、片帮、采空区地面塌陷、岩溶塌陷、矿坑涌水、泥石流等地质</w:t>
            </w:r>
            <w:r>
              <w:rPr>
                <w:sz w:val="44"/>
                <w:szCs w:val="44"/>
              </w:rPr>
              <w:t xml:space="preserve"> </w:t>
            </w:r>
            <w:r>
              <w:rPr>
                <w:spacing w:val="8"/>
                <w:sz w:val="44"/>
                <w:szCs w:val="44"/>
              </w:rPr>
              <w:t>灾害，应切实做好地质灾害防治工作。</w:t>
            </w:r>
          </w:p>
          <w:p w14:paraId="11BF8D6E">
            <w:pPr>
              <w:pStyle w:val="6"/>
              <w:spacing w:before="286" w:line="301" w:lineRule="auto"/>
              <w:ind w:left="211" w:firstLine="1153"/>
              <w:rPr>
                <w:sz w:val="44"/>
                <w:szCs w:val="44"/>
              </w:rPr>
            </w:pPr>
            <w:r>
              <w:rPr>
                <w:spacing w:val="7"/>
                <w:sz w:val="44"/>
                <w:szCs w:val="44"/>
              </w:rPr>
              <w:t>(二)本矿山2013年编制过《矿山地质环境保护与恢复治理方案》、《土地复垦方</w:t>
            </w:r>
            <w:r>
              <w:rPr>
                <w:spacing w:val="5"/>
                <w:sz w:val="44"/>
                <w:szCs w:val="44"/>
              </w:rPr>
              <w:t xml:space="preserve"> </w:t>
            </w:r>
            <w:r>
              <w:rPr>
                <w:spacing w:val="9"/>
                <w:sz w:val="44"/>
                <w:szCs w:val="44"/>
              </w:rPr>
              <w:t>案》,因矿山停采、矿权转让等多种原因一直停采，未全</w:t>
            </w:r>
            <w:r>
              <w:rPr>
                <w:spacing w:val="8"/>
                <w:sz w:val="44"/>
                <w:szCs w:val="44"/>
              </w:rPr>
              <w:t>部完成前期《方案》要求的恢</w:t>
            </w:r>
            <w:r>
              <w:rPr>
                <w:sz w:val="44"/>
                <w:szCs w:val="44"/>
              </w:rPr>
              <w:t xml:space="preserve"> </w:t>
            </w:r>
            <w:r>
              <w:rPr>
                <w:spacing w:val="8"/>
                <w:sz w:val="44"/>
                <w:szCs w:val="44"/>
              </w:rPr>
              <w:t>复治理和土地复垦任务，本方案应强调与前期方案的衔接关系。</w:t>
            </w:r>
          </w:p>
          <w:p w14:paraId="7904B0BB">
            <w:pPr>
              <w:pStyle w:val="6"/>
              <w:spacing w:before="273" w:line="223" w:lineRule="auto"/>
              <w:ind w:left="1348"/>
              <w:rPr>
                <w:sz w:val="44"/>
                <w:szCs w:val="44"/>
              </w:rPr>
            </w:pPr>
            <w:r>
              <w:rPr>
                <w:spacing w:val="8"/>
                <w:sz w:val="44"/>
                <w:szCs w:val="44"/>
              </w:rPr>
              <w:t>(三)应做好矿区生产、生活废水处理，防治矿区水资源破坏及污染。</w:t>
            </w:r>
          </w:p>
          <w:p w14:paraId="39198270">
            <w:pPr>
              <w:pStyle w:val="6"/>
              <w:spacing w:before="265" w:line="300" w:lineRule="auto"/>
              <w:ind w:left="181" w:right="235" w:firstLine="1172"/>
              <w:rPr>
                <w:sz w:val="44"/>
                <w:szCs w:val="44"/>
              </w:rPr>
            </w:pPr>
            <w:r>
              <w:rPr>
                <w:spacing w:val="9"/>
                <w:sz w:val="44"/>
                <w:szCs w:val="44"/>
              </w:rPr>
              <w:t>(四)请业主单位抓紧与项目所在地自然资源局管理部门签订土地复垦资金监管</w:t>
            </w:r>
            <w:r>
              <w:rPr>
                <w:spacing w:val="2"/>
                <w:sz w:val="44"/>
                <w:szCs w:val="44"/>
              </w:rPr>
              <w:t xml:space="preserve"> </w:t>
            </w:r>
            <w:r>
              <w:rPr>
                <w:spacing w:val="9"/>
                <w:sz w:val="44"/>
                <w:szCs w:val="44"/>
              </w:rPr>
              <w:t>协议，落实双方责任关系，明确土地复垦资金提取计划、开展土地复垦工作计划，并</w:t>
            </w:r>
            <w:r>
              <w:rPr>
                <w:spacing w:val="11"/>
                <w:sz w:val="44"/>
                <w:szCs w:val="44"/>
              </w:rPr>
              <w:t xml:space="preserve"> </w:t>
            </w:r>
            <w:r>
              <w:rPr>
                <w:spacing w:val="9"/>
                <w:sz w:val="44"/>
                <w:szCs w:val="44"/>
              </w:rPr>
              <w:t>按要求定期向上级自然资源主管部门报告土地复垦资金提取使用和土地复垦实施情</w:t>
            </w:r>
          </w:p>
          <w:p w14:paraId="46513D24">
            <w:pPr>
              <w:pStyle w:val="6"/>
              <w:spacing w:before="270" w:line="223" w:lineRule="auto"/>
              <w:ind w:left="193"/>
              <w:rPr>
                <w:sz w:val="44"/>
                <w:szCs w:val="44"/>
              </w:rPr>
            </w:pPr>
            <w:r>
              <w:rPr>
                <w:spacing w:val="8"/>
                <w:sz w:val="44"/>
                <w:szCs w:val="44"/>
              </w:rPr>
              <w:t>况，接受各级国土资源管理部门的监督和检查。</w:t>
            </w:r>
          </w:p>
          <w:p w14:paraId="2D20E054">
            <w:pPr>
              <w:pStyle w:val="6"/>
              <w:spacing w:before="269" w:line="310" w:lineRule="auto"/>
              <w:ind w:left="193" w:right="203" w:firstLine="1166"/>
              <w:rPr>
                <w:sz w:val="44"/>
                <w:szCs w:val="44"/>
              </w:rPr>
            </w:pPr>
            <w:r>
              <w:rPr>
                <w:spacing w:val="9"/>
                <w:sz w:val="44"/>
                <w:szCs w:val="44"/>
              </w:rPr>
              <w:t>(五)如项目性质、生产规模、地点、矿区范围或生产工艺、开采方式</w:t>
            </w:r>
            <w:r>
              <w:rPr>
                <w:spacing w:val="8"/>
                <w:sz w:val="44"/>
                <w:szCs w:val="44"/>
              </w:rPr>
              <w:t>、开采矿</w:t>
            </w:r>
            <w:r>
              <w:rPr>
                <w:sz w:val="44"/>
                <w:szCs w:val="44"/>
              </w:rPr>
              <w:t xml:space="preserve">  </w:t>
            </w:r>
            <w:r>
              <w:rPr>
                <w:spacing w:val="10"/>
                <w:sz w:val="44"/>
                <w:szCs w:val="44"/>
              </w:rPr>
              <w:t>种等发生重大变化以及申请延续、转让采矿权时《方案》时效性已过</w:t>
            </w:r>
            <w:r>
              <w:rPr>
                <w:spacing w:val="9"/>
                <w:sz w:val="44"/>
                <w:szCs w:val="44"/>
              </w:rPr>
              <w:t>期的，需按相关</w:t>
            </w:r>
            <w:r>
              <w:rPr>
                <w:sz w:val="44"/>
                <w:szCs w:val="44"/>
              </w:rPr>
              <w:t xml:space="preserve"> </w:t>
            </w:r>
            <w:r>
              <w:rPr>
                <w:spacing w:val="10"/>
                <w:sz w:val="44"/>
                <w:szCs w:val="44"/>
              </w:rPr>
              <w:t>规定和要求重新组织编报或修编矿山地质环境保护与土</w:t>
            </w:r>
            <w:r>
              <w:rPr>
                <w:spacing w:val="9"/>
                <w:sz w:val="44"/>
                <w:szCs w:val="44"/>
              </w:rPr>
              <w:t>地复垦方案的，应及时报原审</w:t>
            </w:r>
            <w:r>
              <w:rPr>
                <w:sz w:val="44"/>
                <w:szCs w:val="44"/>
              </w:rPr>
              <w:t xml:space="preserve"> </w:t>
            </w:r>
            <w:r>
              <w:rPr>
                <w:spacing w:val="9"/>
                <w:sz w:val="44"/>
                <w:szCs w:val="44"/>
              </w:rPr>
              <w:t>查单位审查并备案。</w:t>
            </w:r>
          </w:p>
          <w:p w14:paraId="4A442B21">
            <w:pPr>
              <w:pStyle w:val="6"/>
              <w:spacing w:before="293" w:line="335" w:lineRule="auto"/>
              <w:ind w:left="190" w:right="201" w:firstLine="924"/>
              <w:rPr>
                <w:sz w:val="44"/>
                <w:szCs w:val="44"/>
              </w:rPr>
            </w:pPr>
            <w:r>
              <w:rPr>
                <w:spacing w:val="9"/>
                <w:sz w:val="44"/>
                <w:szCs w:val="44"/>
              </w:rPr>
              <w:t>综上所述，该《方案》的编制基本符合有关文件及技术规范、标准的要求，相关</w:t>
            </w:r>
            <w:r>
              <w:rPr>
                <w:spacing w:val="7"/>
                <w:sz w:val="44"/>
                <w:szCs w:val="44"/>
              </w:rPr>
              <w:t xml:space="preserve"> </w:t>
            </w:r>
            <w:r>
              <w:rPr>
                <w:spacing w:val="11"/>
                <w:sz w:val="44"/>
                <w:szCs w:val="44"/>
              </w:rPr>
              <w:t>分析依据充分，结论基本准确，采取的预防措施、工程措施基本可行，投资估(概)</w:t>
            </w:r>
            <w:r>
              <w:rPr>
                <w:spacing w:val="8"/>
                <w:sz w:val="44"/>
                <w:szCs w:val="44"/>
              </w:rPr>
              <w:t xml:space="preserve">  </w:t>
            </w:r>
            <w:r>
              <w:rPr>
                <w:spacing w:val="10"/>
                <w:sz w:val="44"/>
                <w:szCs w:val="44"/>
              </w:rPr>
              <w:t>算结果基本准确，拟定的工作计划实施基本合理，基本达到了规范要求，专家组</w:t>
            </w:r>
            <w:r>
              <w:rPr>
                <w:spacing w:val="9"/>
                <w:sz w:val="44"/>
                <w:szCs w:val="44"/>
              </w:rPr>
              <w:t>同意</w:t>
            </w:r>
            <w:r>
              <w:rPr>
                <w:sz w:val="44"/>
                <w:szCs w:val="44"/>
              </w:rPr>
              <w:t xml:space="preserve"> </w:t>
            </w:r>
            <w:r>
              <w:rPr>
                <w:spacing w:val="9"/>
                <w:sz w:val="44"/>
                <w:szCs w:val="44"/>
              </w:rPr>
              <w:t>《方案》通过评审。编制单位已按专家组意</w:t>
            </w:r>
            <w:r>
              <w:rPr>
                <w:spacing w:val="8"/>
                <w:sz w:val="44"/>
                <w:szCs w:val="44"/>
              </w:rPr>
              <w:t>见认真作了修改完善，可按规定程序上报</w:t>
            </w:r>
            <w:r>
              <w:rPr>
                <w:sz w:val="44"/>
                <w:szCs w:val="44"/>
              </w:rPr>
              <w:t xml:space="preserve"> </w:t>
            </w:r>
            <w:r>
              <w:rPr>
                <w:spacing w:val="14"/>
                <w:sz w:val="44"/>
                <w:szCs w:val="44"/>
              </w:rPr>
              <w:t>备案和提供使用。</w:t>
            </w:r>
          </w:p>
          <w:p w14:paraId="195B10E9">
            <w:pPr>
              <w:pStyle w:val="6"/>
              <w:spacing w:before="20" w:line="222" w:lineRule="auto"/>
              <w:ind w:left="5158"/>
              <w:rPr>
                <w:sz w:val="44"/>
                <w:szCs w:val="44"/>
              </w:rPr>
            </w:pPr>
            <w:r>
              <w:rPr>
                <w:spacing w:val="95"/>
                <w:position w:val="1"/>
                <w:sz w:val="44"/>
                <w:szCs w:val="44"/>
              </w:rPr>
              <w:t>专家组组长(签名)</w:t>
            </w:r>
            <w:r>
              <w:rPr>
                <w:spacing w:val="2"/>
                <w:position w:val="1"/>
                <w:sz w:val="44"/>
                <w:szCs w:val="44"/>
              </w:rPr>
              <w:t xml:space="preserve">      </w:t>
            </w:r>
            <w:r>
              <w:rPr>
                <w:position w:val="-10"/>
                <w:sz w:val="44"/>
                <w:szCs w:val="44"/>
              </w:rPr>
              <w:t>Yes</w:t>
            </w:r>
          </w:p>
          <w:p w14:paraId="1937A761">
            <w:pPr>
              <w:spacing w:line="286" w:lineRule="auto"/>
              <w:rPr>
                <w:rFonts w:ascii="Arial"/>
                <w:sz w:val="21"/>
              </w:rPr>
            </w:pPr>
          </w:p>
          <w:p w14:paraId="16DEF123">
            <w:pPr>
              <w:spacing w:line="287" w:lineRule="auto"/>
              <w:rPr>
                <w:rFonts w:ascii="Arial"/>
                <w:sz w:val="21"/>
              </w:rPr>
            </w:pPr>
          </w:p>
          <w:p w14:paraId="5CED3D01">
            <w:pPr>
              <w:spacing w:line="287" w:lineRule="auto"/>
              <w:rPr>
                <w:rFonts w:ascii="Arial"/>
                <w:sz w:val="21"/>
              </w:rPr>
            </w:pPr>
          </w:p>
          <w:p w14:paraId="631F7E2B">
            <w:pPr>
              <w:pStyle w:val="6"/>
              <w:spacing w:before="144" w:line="223" w:lineRule="auto"/>
              <w:ind w:left="5188"/>
              <w:rPr>
                <w:sz w:val="44"/>
                <w:szCs w:val="44"/>
              </w:rPr>
            </w:pPr>
            <w:r>
              <w:rPr>
                <w:spacing w:val="17"/>
                <w:sz w:val="44"/>
                <w:szCs w:val="44"/>
              </w:rPr>
              <w:t>专家组副组长(签名)</w:t>
            </w:r>
          </w:p>
          <w:p w14:paraId="18034301">
            <w:pPr>
              <w:pStyle w:val="6"/>
              <w:spacing w:before="180" w:line="223" w:lineRule="auto"/>
              <w:ind w:left="9202"/>
              <w:rPr>
                <w:sz w:val="44"/>
                <w:szCs w:val="44"/>
              </w:rPr>
            </w:pPr>
            <w:r>
              <w:rPr>
                <w:spacing w:val="12"/>
                <w:sz w:val="44"/>
                <w:szCs w:val="44"/>
              </w:rPr>
              <w:t>2020年11月20日</w:t>
            </w:r>
          </w:p>
        </w:tc>
      </w:tr>
    </w:tbl>
    <w:p w14:paraId="6AB76A89">
      <w:pPr>
        <w:rPr>
          <w:rFonts w:ascii="Arial"/>
          <w:sz w:val="21"/>
        </w:rPr>
      </w:pPr>
    </w:p>
    <w:sectPr>
      <w:footerReference r:id="rId8" w:type="default"/>
      <w:pgSz w:w="22546" w:h="31680"/>
      <w:pgMar w:top="2581" w:right="1994" w:bottom="2703" w:left="2198" w:header="0" w:footer="216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BD596">
    <w:pPr>
      <w:spacing w:before="2" w:line="215" w:lineRule="auto"/>
      <w:ind w:left="8058"/>
      <w:rPr>
        <w:rFonts w:ascii="宋体" w:hAnsi="宋体" w:eastAsia="宋体" w:cs="宋体"/>
        <w:sz w:val="45"/>
        <w:szCs w:val="45"/>
      </w:rPr>
    </w:pPr>
    <w:r>
      <w:rPr>
        <w:rFonts w:ascii="宋体" w:hAnsi="宋体" w:eastAsia="宋体" w:cs="宋体"/>
        <w:spacing w:val="-21"/>
        <w:sz w:val="45"/>
        <w:szCs w:val="45"/>
      </w:rPr>
      <w:t>第</w:t>
    </w:r>
    <w:r>
      <w:rPr>
        <w:rFonts w:ascii="宋体" w:hAnsi="宋体" w:eastAsia="宋体" w:cs="宋体"/>
        <w:spacing w:val="-31"/>
        <w:sz w:val="45"/>
        <w:szCs w:val="45"/>
      </w:rPr>
      <w:t xml:space="preserve"> </w:t>
    </w:r>
    <w:r>
      <w:rPr>
        <w:rFonts w:ascii="宋体" w:hAnsi="宋体" w:eastAsia="宋体" w:cs="宋体"/>
        <w:spacing w:val="-21"/>
        <w:sz w:val="45"/>
        <w:szCs w:val="45"/>
      </w:rPr>
      <w:t>1</w:t>
    </w:r>
    <w:r>
      <w:rPr>
        <w:rFonts w:ascii="宋体" w:hAnsi="宋体" w:eastAsia="宋体" w:cs="宋体"/>
        <w:spacing w:val="-55"/>
        <w:sz w:val="45"/>
        <w:szCs w:val="45"/>
      </w:rPr>
      <w:t xml:space="preserve"> </w:t>
    </w:r>
    <w:r>
      <w:rPr>
        <w:rFonts w:ascii="宋体" w:hAnsi="宋体" w:eastAsia="宋体" w:cs="宋体"/>
        <w:spacing w:val="-21"/>
        <w:sz w:val="45"/>
        <w:szCs w:val="45"/>
      </w:rPr>
      <w:t>页</w:t>
    </w:r>
    <w:r>
      <w:rPr>
        <w:rFonts w:ascii="宋体" w:hAnsi="宋体" w:eastAsia="宋体" w:cs="宋体"/>
        <w:spacing w:val="-68"/>
        <w:sz w:val="45"/>
        <w:szCs w:val="45"/>
      </w:rPr>
      <w:t xml:space="preserve"> </w:t>
    </w:r>
    <w:r>
      <w:rPr>
        <w:rFonts w:ascii="宋体" w:hAnsi="宋体" w:eastAsia="宋体" w:cs="宋体"/>
        <w:spacing w:val="-21"/>
        <w:sz w:val="45"/>
        <w:szCs w:val="45"/>
      </w:rPr>
      <w:t>共</w:t>
    </w:r>
    <w:r>
      <w:rPr>
        <w:rFonts w:ascii="宋体" w:hAnsi="宋体" w:eastAsia="宋体" w:cs="宋体"/>
        <w:spacing w:val="-68"/>
        <w:sz w:val="45"/>
        <w:szCs w:val="45"/>
      </w:rPr>
      <w:t xml:space="preserve"> </w:t>
    </w:r>
    <w:r>
      <w:rPr>
        <w:rFonts w:ascii="宋体" w:hAnsi="宋体" w:eastAsia="宋体" w:cs="宋体"/>
        <w:spacing w:val="-21"/>
        <w:sz w:val="45"/>
        <w:szCs w:val="45"/>
      </w:rPr>
      <w:t>4</w:t>
    </w:r>
    <w:r>
      <w:rPr>
        <w:rFonts w:ascii="宋体" w:hAnsi="宋体" w:eastAsia="宋体" w:cs="宋体"/>
        <w:spacing w:val="-55"/>
        <w:sz w:val="45"/>
        <w:szCs w:val="45"/>
      </w:rPr>
      <w:t xml:space="preserve"> </w:t>
    </w:r>
    <w:r>
      <w:rPr>
        <w:rFonts w:ascii="宋体" w:hAnsi="宋体" w:eastAsia="宋体" w:cs="宋体"/>
        <w:spacing w:val="-21"/>
        <w:sz w:val="45"/>
        <w:szCs w:val="45"/>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84803">
    <w:pPr>
      <w:pStyle w:val="2"/>
      <w:spacing w:before="2" w:line="215" w:lineRule="auto"/>
      <w:ind w:left="8088"/>
    </w:pPr>
    <w:r>
      <w:rPr>
        <w:spacing w:val="-16"/>
      </w:rPr>
      <w:t>第</w:t>
    </w:r>
    <w:r>
      <w:rPr>
        <w:spacing w:val="-64"/>
      </w:rPr>
      <w:t xml:space="preserve"> </w:t>
    </w:r>
    <w:r>
      <w:rPr>
        <w:spacing w:val="-16"/>
      </w:rPr>
      <w:t>2</w:t>
    </w:r>
    <w:r>
      <w:rPr>
        <w:spacing w:val="-59"/>
      </w:rPr>
      <w:t xml:space="preserve"> </w:t>
    </w:r>
    <w:r>
      <w:rPr>
        <w:spacing w:val="-16"/>
      </w:rPr>
      <w:t>页</w:t>
    </w:r>
    <w:r>
      <w:rPr>
        <w:spacing w:val="-72"/>
      </w:rPr>
      <w:t xml:space="preserve"> </w:t>
    </w:r>
    <w:r>
      <w:rPr>
        <w:spacing w:val="-16"/>
      </w:rPr>
      <w:t>共</w:t>
    </w:r>
    <w:r>
      <w:rPr>
        <w:spacing w:val="-71"/>
      </w:rPr>
      <w:t xml:space="preserve"> </w:t>
    </w:r>
    <w:r>
      <w:rPr>
        <w:spacing w:val="-16"/>
      </w:rPr>
      <w:t>4</w:t>
    </w:r>
    <w:r>
      <w:rPr>
        <w:spacing w:val="-59"/>
      </w:rPr>
      <w:t xml:space="preserve"> </w:t>
    </w:r>
    <w:r>
      <w:rPr>
        <w:spacing w:val="-16"/>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BA774">
    <w:pPr>
      <w:pStyle w:val="2"/>
      <w:spacing w:before="2" w:line="215" w:lineRule="auto"/>
      <w:ind w:left="8058"/>
    </w:pPr>
    <w:r>
      <w:rPr>
        <w:spacing w:val="-17"/>
      </w:rPr>
      <w:t>第</w:t>
    </w:r>
    <w:r>
      <w:rPr>
        <w:spacing w:val="-55"/>
      </w:rPr>
      <w:t xml:space="preserve"> </w:t>
    </w:r>
    <w:r>
      <w:rPr>
        <w:spacing w:val="-17"/>
      </w:rPr>
      <w:t>3</w:t>
    </w:r>
    <w:r>
      <w:rPr>
        <w:spacing w:val="-55"/>
      </w:rPr>
      <w:t xml:space="preserve"> </w:t>
    </w:r>
    <w:r>
      <w:rPr>
        <w:spacing w:val="-17"/>
      </w:rPr>
      <w:t>页</w:t>
    </w:r>
    <w:r>
      <w:rPr>
        <w:spacing w:val="-68"/>
      </w:rPr>
      <w:t xml:space="preserve"> </w:t>
    </w:r>
    <w:r>
      <w:rPr>
        <w:spacing w:val="-17"/>
      </w:rPr>
      <w:t>共</w:t>
    </w:r>
    <w:r>
      <w:rPr>
        <w:spacing w:val="-68"/>
      </w:rPr>
      <w:t xml:space="preserve"> </w:t>
    </w:r>
    <w:r>
      <w:rPr>
        <w:spacing w:val="-17"/>
      </w:rPr>
      <w:t>4</w:t>
    </w:r>
    <w:r>
      <w:rPr>
        <w:spacing w:val="-55"/>
      </w:rPr>
      <w:t xml:space="preserve"> </w:t>
    </w:r>
    <w:r>
      <w:rPr>
        <w:spacing w:val="-17"/>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4C7B1">
    <w:pPr>
      <w:pStyle w:val="2"/>
      <w:spacing w:line="217" w:lineRule="auto"/>
      <w:ind w:left="7923"/>
    </w:pPr>
    <w:r>
      <w:rPr>
        <w:spacing w:val="-13"/>
      </w:rPr>
      <w:t>第</w:t>
    </w:r>
    <w:r>
      <w:rPr>
        <w:spacing w:val="-74"/>
      </w:rPr>
      <w:t xml:space="preserve"> </w:t>
    </w:r>
    <w:r>
      <w:rPr>
        <w:spacing w:val="-13"/>
      </w:rPr>
      <w:t>4</w:t>
    </w:r>
    <w:r>
      <w:rPr>
        <w:spacing w:val="-61"/>
      </w:rPr>
      <w:t xml:space="preserve"> </w:t>
    </w:r>
    <w:r>
      <w:rPr>
        <w:spacing w:val="-13"/>
      </w:rPr>
      <w:t>页</w:t>
    </w:r>
    <w:r>
      <w:rPr>
        <w:spacing w:val="-75"/>
      </w:rPr>
      <w:t xml:space="preserve"> </w:t>
    </w:r>
    <w:r>
      <w:rPr>
        <w:spacing w:val="-13"/>
      </w:rPr>
      <w:t>共</w:t>
    </w:r>
    <w:r>
      <w:rPr>
        <w:spacing w:val="-74"/>
      </w:rPr>
      <w:t xml:space="preserve"> </w:t>
    </w:r>
    <w:r>
      <w:rPr>
        <w:spacing w:val="-13"/>
      </w:rPr>
      <w:t>4</w:t>
    </w:r>
    <w:r>
      <w:rPr>
        <w:spacing w:val="-62"/>
      </w:rPr>
      <w:t xml:space="preserve"> </w:t>
    </w:r>
    <w:r>
      <w:rPr>
        <w:spacing w:val="-13"/>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EEA22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45"/>
      <w:szCs w:val="45"/>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37"/>
      <w:szCs w:val="37"/>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4324</Words>
  <Characters>4727</Characters>
  <TotalTime>0</TotalTime>
  <ScaleCrop>false</ScaleCrop>
  <LinksUpToDate>false</LinksUpToDate>
  <CharactersWithSpaces>5027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2026-08-13T09:07:00Z</dcterms:created>
  <dc:creator>QJ</dc:creator>
  <cp:lastModifiedBy>郭丽娜</cp:lastModifiedBy>
  <dcterms:modified xsi:type="dcterms:W3CDTF">2026-08-13T01:07:47Z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2026-08-13T09:07:12Z</vt:filetime>
  </property>
  <property fmtid="{D5CDD505-2E9C-101B-9397-08002B2CF9AE}" pid="4" name="UsrData">
    <vt:lpwstr>6a7d18b94a4afe0020f12050wl</vt:lpwstr>
  </property>
  <property fmtid="{D5CDD505-2E9C-101B-9397-08002B2CF9AE}" pid="5" name="KSOTemplateDocerSaveRecord">
    <vt:lpwstr>eyJoZGlkIjoiYTA0OTFiNTllN2E3YTc2MDc5ZTIwYTg0ZjFlZjFlMWQiLCJ1c2VySWQiOiIzNzMyMDUyODEifQ==</vt:lpwstr>
  </property>
  <property fmtid="{D5CDD505-2E9C-101B-9397-08002B2CF9AE}" pid="6" name="KSOProductBuildVer">
    <vt:lpwstr>2052-12.1.0.28043</vt:lpwstr>
  </property>
  <property fmtid="{D5CDD505-2E9C-101B-9397-08002B2CF9AE}" pid="7" name="ICV">
    <vt:lpwstr>EAF1814F947846199F5FB2871002C593_13</vt:lpwstr>
  </property>
</Properties>
</file>