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8E5C2">
      <w:pPr>
        <w:spacing w:line="363" w:lineRule="auto"/>
        <w:rPr>
          <w:rFonts w:ascii="Arial"/>
          <w:sz w:val="21"/>
        </w:rPr>
      </w:pPr>
    </w:p>
    <w:p w14:paraId="3D98E162">
      <w:pPr>
        <w:spacing w:before="123" w:line="219" w:lineRule="auto"/>
        <w:ind w:left="938"/>
        <w:outlineLvl w:val="0"/>
        <w:rPr>
          <w:rFonts w:ascii="宋体" w:hAnsi="宋体" w:eastAsia="宋体" w:cs="宋体"/>
          <w:sz w:val="38"/>
          <w:szCs w:val="38"/>
        </w:rPr>
      </w:pPr>
      <w:r>
        <w:rPr>
          <w:rFonts w:ascii="宋体" w:hAnsi="宋体" w:eastAsia="宋体" w:cs="宋体"/>
          <w:b/>
          <w:bCs/>
          <w:spacing w:val="-4"/>
          <w:sz w:val="38"/>
          <w:szCs w:val="38"/>
        </w:rPr>
        <w:t>矿产资源勘查实施方案专家审查意见</w:t>
      </w:r>
    </w:p>
    <w:p w14:paraId="08017388">
      <w:pPr>
        <w:spacing w:line="142" w:lineRule="auto"/>
        <w:rPr>
          <w:rFonts w:ascii="Arial"/>
          <w:sz w:val="2"/>
        </w:rPr>
      </w:pPr>
    </w:p>
    <w:tbl>
      <w:tblPr>
        <w:tblStyle w:val="4"/>
        <w:tblW w:w="8066" w:type="dxa"/>
        <w:tblInd w:w="1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618"/>
        <w:gridCol w:w="5454"/>
      </w:tblGrid>
      <w:tr w14:paraId="7921F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612" w:type="dxa"/>
            <w:gridSpan w:val="2"/>
            <w:vAlign w:val="top"/>
          </w:tcPr>
          <w:p w14:paraId="592F00DD">
            <w:pPr>
              <w:pStyle w:val="5"/>
              <w:spacing w:before="257" w:line="203" w:lineRule="auto"/>
              <w:ind w:left="734"/>
            </w:pPr>
            <w:r>
              <w:rPr>
                <w:spacing w:val="3"/>
              </w:rPr>
              <w:t>方案名称</w:t>
            </w:r>
          </w:p>
        </w:tc>
        <w:tc>
          <w:tcPr>
            <w:tcW w:w="5454" w:type="dxa"/>
            <w:vAlign w:val="top"/>
          </w:tcPr>
          <w:p w14:paraId="5279E4F4">
            <w:pPr>
              <w:pStyle w:val="5"/>
              <w:spacing w:before="255" w:line="204" w:lineRule="auto"/>
              <w:ind w:left="32"/>
            </w:pPr>
            <w:r>
              <w:t>云南省富源县上海丹石灰岩矿勘探实施方案</w:t>
            </w:r>
          </w:p>
        </w:tc>
      </w:tr>
      <w:tr w14:paraId="0123E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612" w:type="dxa"/>
            <w:gridSpan w:val="2"/>
            <w:vAlign w:val="top"/>
          </w:tcPr>
          <w:p w14:paraId="6AE0AB80">
            <w:pPr>
              <w:pStyle w:val="5"/>
              <w:spacing w:before="251" w:line="203" w:lineRule="auto"/>
              <w:ind w:left="595"/>
            </w:pPr>
            <w:r>
              <w:rPr>
                <w:spacing w:val="2"/>
              </w:rPr>
              <w:t>矿权申请人</w:t>
            </w:r>
          </w:p>
        </w:tc>
        <w:tc>
          <w:tcPr>
            <w:tcW w:w="5454" w:type="dxa"/>
            <w:vAlign w:val="top"/>
          </w:tcPr>
          <w:p w14:paraId="66C5FBBB">
            <w:pPr>
              <w:pStyle w:val="5"/>
              <w:spacing w:before="251" w:line="203" w:lineRule="auto"/>
              <w:ind w:left="1012"/>
            </w:pPr>
            <w:r>
              <w:rPr>
                <w:spacing w:val="3"/>
              </w:rPr>
              <w:t>云南富源西南水泥有限公司</w:t>
            </w:r>
          </w:p>
        </w:tc>
      </w:tr>
      <w:tr w14:paraId="27BF6A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6" w:hRule="atLeast"/>
        </w:trPr>
        <w:tc>
          <w:tcPr>
            <w:tcW w:w="994" w:type="dxa"/>
            <w:vAlign w:val="top"/>
          </w:tcPr>
          <w:p w14:paraId="3F0EAF72">
            <w:pPr>
              <w:spacing w:line="244" w:lineRule="auto"/>
              <w:rPr>
                <w:rFonts w:ascii="Arial"/>
                <w:sz w:val="21"/>
              </w:rPr>
            </w:pPr>
          </w:p>
          <w:p w14:paraId="3C080E05">
            <w:pPr>
              <w:spacing w:line="244" w:lineRule="auto"/>
              <w:rPr>
                <w:rFonts w:ascii="Arial"/>
                <w:sz w:val="21"/>
              </w:rPr>
            </w:pPr>
          </w:p>
          <w:p w14:paraId="3136A845">
            <w:pPr>
              <w:spacing w:line="244" w:lineRule="auto"/>
              <w:rPr>
                <w:rFonts w:ascii="Arial"/>
                <w:sz w:val="21"/>
              </w:rPr>
            </w:pPr>
          </w:p>
          <w:p w14:paraId="35F760D7">
            <w:pPr>
              <w:spacing w:line="244" w:lineRule="auto"/>
              <w:rPr>
                <w:rFonts w:ascii="Arial"/>
                <w:sz w:val="21"/>
              </w:rPr>
            </w:pPr>
          </w:p>
          <w:p w14:paraId="595C260D">
            <w:pPr>
              <w:spacing w:line="244" w:lineRule="auto"/>
              <w:rPr>
                <w:rFonts w:ascii="Arial"/>
                <w:sz w:val="21"/>
              </w:rPr>
            </w:pPr>
          </w:p>
          <w:p w14:paraId="626BBE27">
            <w:pPr>
              <w:spacing w:line="244" w:lineRule="auto"/>
              <w:rPr>
                <w:rFonts w:ascii="Arial"/>
                <w:sz w:val="21"/>
              </w:rPr>
            </w:pPr>
          </w:p>
          <w:p w14:paraId="6823D155">
            <w:pPr>
              <w:spacing w:line="244" w:lineRule="auto"/>
              <w:rPr>
                <w:rFonts w:ascii="Arial"/>
                <w:sz w:val="21"/>
              </w:rPr>
            </w:pPr>
          </w:p>
          <w:p w14:paraId="3F7FF960">
            <w:pPr>
              <w:spacing w:line="244" w:lineRule="auto"/>
              <w:rPr>
                <w:rFonts w:ascii="Arial"/>
                <w:sz w:val="21"/>
              </w:rPr>
            </w:pPr>
          </w:p>
          <w:p w14:paraId="45211665">
            <w:pPr>
              <w:spacing w:line="244" w:lineRule="auto"/>
              <w:rPr>
                <w:rFonts w:ascii="Arial"/>
                <w:sz w:val="21"/>
              </w:rPr>
            </w:pPr>
          </w:p>
          <w:p w14:paraId="40773A1C">
            <w:pPr>
              <w:spacing w:line="244" w:lineRule="auto"/>
              <w:rPr>
                <w:rFonts w:ascii="Arial"/>
                <w:sz w:val="21"/>
              </w:rPr>
            </w:pPr>
          </w:p>
          <w:p w14:paraId="71C1FBC7">
            <w:pPr>
              <w:spacing w:line="244" w:lineRule="auto"/>
              <w:rPr>
                <w:rFonts w:ascii="Arial"/>
                <w:sz w:val="21"/>
              </w:rPr>
            </w:pPr>
          </w:p>
          <w:p w14:paraId="2A0E058D">
            <w:pPr>
              <w:spacing w:line="244" w:lineRule="auto"/>
              <w:rPr>
                <w:rFonts w:ascii="Arial"/>
                <w:sz w:val="21"/>
              </w:rPr>
            </w:pPr>
          </w:p>
          <w:p w14:paraId="7217B6F6">
            <w:pPr>
              <w:spacing w:line="244" w:lineRule="auto"/>
              <w:rPr>
                <w:rFonts w:ascii="Arial"/>
                <w:sz w:val="21"/>
              </w:rPr>
            </w:pPr>
          </w:p>
          <w:p w14:paraId="51E800AE">
            <w:pPr>
              <w:spacing w:line="244" w:lineRule="auto"/>
              <w:rPr>
                <w:rFonts w:ascii="Arial"/>
                <w:sz w:val="21"/>
              </w:rPr>
            </w:pPr>
          </w:p>
          <w:p w14:paraId="26387564">
            <w:pPr>
              <w:spacing w:line="245" w:lineRule="auto"/>
              <w:rPr>
                <w:rFonts w:ascii="Arial"/>
                <w:sz w:val="21"/>
              </w:rPr>
            </w:pPr>
          </w:p>
          <w:p w14:paraId="4D8A51DB">
            <w:pPr>
              <w:spacing w:line="245" w:lineRule="auto"/>
              <w:rPr>
                <w:rFonts w:ascii="Arial"/>
                <w:sz w:val="21"/>
              </w:rPr>
            </w:pPr>
          </w:p>
          <w:p w14:paraId="0970749F">
            <w:pPr>
              <w:spacing w:line="245" w:lineRule="auto"/>
              <w:rPr>
                <w:rFonts w:ascii="Arial"/>
                <w:sz w:val="21"/>
              </w:rPr>
            </w:pPr>
          </w:p>
          <w:p w14:paraId="584FDE5A">
            <w:pPr>
              <w:spacing w:line="245" w:lineRule="auto"/>
              <w:rPr>
                <w:rFonts w:ascii="Arial"/>
                <w:sz w:val="21"/>
              </w:rPr>
            </w:pPr>
          </w:p>
          <w:p w14:paraId="351839AC">
            <w:pPr>
              <w:spacing w:line="245" w:lineRule="auto"/>
              <w:rPr>
                <w:rFonts w:ascii="Arial"/>
                <w:sz w:val="21"/>
              </w:rPr>
            </w:pPr>
          </w:p>
          <w:p w14:paraId="633627F6">
            <w:pPr>
              <w:spacing w:line="245" w:lineRule="auto"/>
              <w:rPr>
                <w:rFonts w:ascii="Arial"/>
                <w:sz w:val="21"/>
              </w:rPr>
            </w:pPr>
          </w:p>
          <w:p w14:paraId="3BE43A38">
            <w:pPr>
              <w:spacing w:line="245" w:lineRule="auto"/>
              <w:rPr>
                <w:rFonts w:ascii="Arial"/>
                <w:sz w:val="21"/>
              </w:rPr>
            </w:pPr>
          </w:p>
          <w:p w14:paraId="18B4CA67">
            <w:pPr>
              <w:spacing w:line="245" w:lineRule="auto"/>
              <w:rPr>
                <w:rFonts w:ascii="Arial"/>
                <w:sz w:val="21"/>
              </w:rPr>
            </w:pPr>
          </w:p>
          <w:p w14:paraId="20374387">
            <w:pPr>
              <w:spacing w:line="245" w:lineRule="auto"/>
              <w:rPr>
                <w:rFonts w:ascii="Arial"/>
                <w:sz w:val="21"/>
              </w:rPr>
            </w:pPr>
          </w:p>
          <w:p w14:paraId="679EDD9D">
            <w:pPr>
              <w:spacing w:line="245" w:lineRule="auto"/>
              <w:rPr>
                <w:rFonts w:ascii="Arial"/>
                <w:sz w:val="21"/>
              </w:rPr>
            </w:pPr>
          </w:p>
          <w:p w14:paraId="3746CAFF">
            <w:pPr>
              <w:pStyle w:val="5"/>
              <w:spacing w:before="91" w:line="220" w:lineRule="auto"/>
              <w:ind w:left="204"/>
            </w:pPr>
            <w:r>
              <w:rPr>
                <w:spacing w:val="8"/>
              </w:rPr>
              <w:t>专家</w:t>
            </w:r>
          </w:p>
          <w:p w14:paraId="54A58177">
            <w:pPr>
              <w:pStyle w:val="5"/>
              <w:spacing w:before="26" w:line="220" w:lineRule="auto"/>
              <w:ind w:left="204"/>
            </w:pPr>
            <w:r>
              <w:rPr>
                <w:spacing w:val="7"/>
              </w:rPr>
              <w:t>审查</w:t>
            </w:r>
          </w:p>
          <w:p w14:paraId="54DF445E">
            <w:pPr>
              <w:pStyle w:val="5"/>
              <w:spacing w:before="5" w:line="219" w:lineRule="auto"/>
              <w:ind w:left="204"/>
            </w:pPr>
            <w:r>
              <w:rPr>
                <w:spacing w:val="7"/>
              </w:rPr>
              <w:t>意见</w:t>
            </w:r>
          </w:p>
        </w:tc>
        <w:tc>
          <w:tcPr>
            <w:tcW w:w="7072" w:type="dxa"/>
            <w:gridSpan w:val="2"/>
            <w:vAlign w:val="top"/>
          </w:tcPr>
          <w:p w14:paraId="45D2CBFF">
            <w:pPr>
              <w:pStyle w:val="5"/>
              <w:spacing w:before="118" w:line="232" w:lineRule="auto"/>
              <w:ind w:left="111" w:firstLine="605"/>
            </w:pPr>
            <w:r>
              <w:rPr>
                <w:spacing w:val="-8"/>
              </w:rPr>
              <w:t>受曲靖市自然资源和规划局的委托，由云南省有色地</w:t>
            </w:r>
            <w:r>
              <w:t xml:space="preserve"> </w:t>
            </w:r>
            <w:r>
              <w:rPr>
                <w:spacing w:val="-6"/>
              </w:rPr>
              <w:t>质局三一七队组织评审专家，依据国土资源部《关于规范</w:t>
            </w:r>
            <w:r>
              <w:rPr>
                <w:spacing w:val="16"/>
              </w:rPr>
              <w:t xml:space="preserve"> </w:t>
            </w:r>
            <w:r>
              <w:t>矿产资源勘查实施方案管理工作的通知》(国土资</w:t>
            </w:r>
            <w:r>
              <w:rPr>
                <w:spacing w:val="-1"/>
              </w:rPr>
              <w:t>厅发〔</w:t>
            </w:r>
            <w:r>
              <w:t xml:space="preserve"> </w:t>
            </w:r>
            <w:r>
              <w:rPr>
                <w:spacing w:val="-1"/>
              </w:rPr>
              <w:t>2010〕29号)、《云南省国土资源厅关于进一步</w:t>
            </w:r>
            <w:r>
              <w:rPr>
                <w:spacing w:val="-2"/>
              </w:rPr>
              <w:t>规范矿产</w:t>
            </w:r>
            <w:r>
              <w:t xml:space="preserve">  </w:t>
            </w:r>
            <w:r>
              <w:rPr>
                <w:spacing w:val="-6"/>
              </w:rPr>
              <w:t>资源勘查实施方案和开发利用方案编制评审有关问题的通</w:t>
            </w:r>
            <w:r>
              <w:rPr>
                <w:spacing w:val="11"/>
              </w:rPr>
              <w:t xml:space="preserve"> </w:t>
            </w:r>
            <w:r>
              <w:rPr>
                <w:spacing w:val="8"/>
              </w:rPr>
              <w:t>知》(云国土资〔2016〕74号)等相关规定和技术规范，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对中国建筑材料工业地质勘查中心云南总队编制的《云南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省富源县上海丹石灰岩矿勘探实施方案》(以下简称《方</w:t>
            </w:r>
            <w:r>
              <w:rPr>
                <w:spacing w:val="6"/>
              </w:rPr>
              <w:t xml:space="preserve">  </w:t>
            </w:r>
            <w:r>
              <w:t>案》)进行技术评审。经专家认真审查后于2025年3月3日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会审，会上经质询、答疑、讨论，编制单位根据专家的意</w:t>
            </w:r>
            <w:r>
              <w:rPr>
                <w:spacing w:val="18"/>
              </w:rPr>
              <w:t xml:space="preserve"> </w:t>
            </w:r>
            <w:r>
              <w:rPr>
                <w:spacing w:val="-6"/>
              </w:rPr>
              <w:t>见和建议进行修改后重新提交《方案》。经专家复核，专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家组合议后，形成以下审查意见：</w:t>
            </w:r>
          </w:p>
          <w:p w14:paraId="5C292BB1">
            <w:pPr>
              <w:pStyle w:val="5"/>
              <w:spacing w:before="19" w:line="234" w:lineRule="auto"/>
              <w:ind w:left="131" w:right="35" w:firstLine="580"/>
              <w:jc w:val="both"/>
            </w:pPr>
            <w:r>
              <w:rPr>
                <w:spacing w:val="-6"/>
              </w:rPr>
              <w:t>1.在以往地质工作的基础上，通过普查发现可供进一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步勘查的矿体，并对其开展详查、勘探工作，对可供开采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的矿体进行评价，为开发决策提供相关地质信息，最终为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矿山探矿权转采矿权及矿山建设设计提供必需的地质资料</w:t>
            </w:r>
          </w:p>
          <w:p w14:paraId="00253F21">
            <w:pPr>
              <w:pStyle w:val="5"/>
              <w:spacing w:before="171" w:line="178" w:lineRule="auto"/>
              <w:ind w:left="180"/>
            </w:pPr>
            <w:r>
              <w:t>o</w:t>
            </w:r>
          </w:p>
          <w:p w14:paraId="0E04C8FB">
            <w:pPr>
              <w:pStyle w:val="5"/>
              <w:spacing w:line="213" w:lineRule="auto"/>
              <w:ind w:left="720"/>
            </w:pPr>
            <w:r>
              <w:t>2.勘查矿种：水泥用石灰岩。</w:t>
            </w:r>
          </w:p>
          <w:p w14:paraId="4B3B3EF5">
            <w:pPr>
              <w:pStyle w:val="5"/>
              <w:spacing w:before="45" w:line="230" w:lineRule="auto"/>
              <w:ind w:left="131" w:right="35" w:firstLine="560"/>
            </w:pPr>
            <w:r>
              <w:rPr>
                <w:spacing w:val="-5"/>
              </w:rPr>
              <w:t>3.方案施行一次设计，</w:t>
            </w:r>
            <w:r>
              <w:rPr>
                <w:rFonts w:hint="eastAsia"/>
                <w:spacing w:val="-5"/>
              </w:rPr>
              <w:t>分步实施</w:t>
            </w:r>
            <w:bookmarkStart w:id="0" w:name="_GoBack"/>
            <w:bookmarkEnd w:id="0"/>
            <w:r>
              <w:rPr>
                <w:spacing w:val="-5"/>
              </w:rPr>
              <w:t>的原则：即本次设计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按勘探程度设计，具体实施过程中原则按普</w:t>
            </w:r>
            <w:r>
              <w:rPr>
                <w:spacing w:val="-5"/>
              </w:rPr>
              <w:t>查-详查-勘探</w:t>
            </w:r>
            <w:r>
              <w:t xml:space="preserve"> </w:t>
            </w:r>
            <w:r>
              <w:rPr>
                <w:spacing w:val="-4"/>
              </w:rPr>
              <w:t>的顺序开展，即普查划定重点工作区，重点</w:t>
            </w:r>
            <w:r>
              <w:rPr>
                <w:spacing w:val="-5"/>
              </w:rPr>
              <w:t>工作区开展详</w:t>
            </w:r>
            <w:r>
              <w:t xml:space="preserve"> </w:t>
            </w:r>
            <w:r>
              <w:rPr>
                <w:spacing w:val="-5"/>
              </w:rPr>
              <w:t>查划定勘探范围，勘探范围通过加密工作，最终达到勘探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>。在条件充分的前提下，部分工作可交叉或提前展开。</w:t>
            </w:r>
          </w:p>
          <w:p w14:paraId="1E4CE1D4">
            <w:pPr>
              <w:pStyle w:val="5"/>
              <w:spacing w:before="38" w:line="222" w:lineRule="auto"/>
              <w:ind w:left="131" w:right="44" w:firstLine="540"/>
            </w:pPr>
            <w:r>
              <w:rPr>
                <w:spacing w:val="-9"/>
              </w:rPr>
              <w:t>4.方案在拟设探矿权范围内，勘查最低海拔标高2220m</w:t>
            </w:r>
            <w:r>
              <w:rPr>
                <w:spacing w:val="3"/>
              </w:rPr>
              <w:t xml:space="preserve"> </w:t>
            </w:r>
            <w:r>
              <w:t>之上，对主要目标矿层C</w:t>
            </w:r>
            <w:r>
              <w:rPr>
                <w:rFonts w:ascii="Calibri" w:hAnsi="Calibri" w:eastAsia="Calibri" w:cs="Calibri"/>
              </w:rPr>
              <w:t xml:space="preserve">₃ </w:t>
            </w:r>
            <w:r>
              <w:t>(石炭系上统)按照II-I类(中等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偏简单)勘查类型，基本网度300m布置工程</w:t>
            </w:r>
            <w:r>
              <w:rPr>
                <w:spacing w:val="2"/>
              </w:rPr>
              <w:t>，设计以1:</w:t>
            </w:r>
          </w:p>
          <w:p w14:paraId="0CA77983">
            <w:pPr>
              <w:pStyle w:val="5"/>
              <w:spacing w:before="21" w:line="220" w:lineRule="auto"/>
              <w:ind w:left="151"/>
            </w:pPr>
            <w:r>
              <w:t>10000地质测量(正测)、1:2000地质测量(正测)、探</w:t>
            </w:r>
          </w:p>
          <w:p w14:paraId="1AF5F451">
            <w:pPr>
              <w:pStyle w:val="5"/>
              <w:spacing w:before="14" w:line="231" w:lineRule="auto"/>
              <w:ind w:left="171" w:right="41" w:hanging="40"/>
            </w:pPr>
            <w:r>
              <w:rPr>
                <w:spacing w:val="-5"/>
              </w:rPr>
              <w:t>槽、钻探及样品分析测试等工作详细查明矿床成矿地质特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征、矿床(体)特征及开采技术条件。勘查方法、勘查手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段基本合理，具可操作性。</w:t>
            </w:r>
          </w:p>
          <w:p w14:paraId="77C7417E">
            <w:pPr>
              <w:pStyle w:val="5"/>
              <w:spacing w:before="2" w:line="226" w:lineRule="auto"/>
              <w:ind w:left="10" w:firstLine="519"/>
            </w:pPr>
            <w:r>
              <w:rPr>
                <w:spacing w:val="-10"/>
              </w:rPr>
              <w:t>5.勘探实施方案分五个勘查年度实施。第一年度主要工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作：1:10000地质测量(正测)及水工环地质测量3.5433</w:t>
            </w:r>
            <w:r>
              <w:t>km</w:t>
            </w:r>
            <w:r>
              <w:rPr>
                <w:spacing w:val="1"/>
              </w:rPr>
              <w:t>²</w:t>
            </w:r>
            <w:r>
              <w:rPr>
                <w:spacing w:val="18"/>
              </w:rPr>
              <w:t xml:space="preserve"> </w:t>
            </w:r>
            <w:r>
              <w:t>,勘查基线测量与勘查线剖面测量2.848km,探槽3075m³,钻</w:t>
            </w:r>
            <w:r>
              <w:rPr>
                <w:spacing w:val="13"/>
              </w:rPr>
              <w:t xml:space="preserve"> </w:t>
            </w:r>
            <w:r>
              <w:t>探320m/2孔(ZK5-2兼做水文孔),基本分析样280件。第二</w:t>
            </w:r>
            <w:r>
              <w:rPr>
                <w:spacing w:val="7"/>
              </w:rPr>
              <w:t xml:space="preserve">  </w:t>
            </w:r>
            <w:r>
              <w:rPr>
                <w:spacing w:val="1"/>
              </w:rPr>
              <w:t>年度主要工作：1:2000地质测量(正测)及</w:t>
            </w:r>
            <w:r>
              <w:t>水工环地质测</w:t>
            </w:r>
          </w:p>
          <w:p w14:paraId="796F0CF7">
            <w:pPr>
              <w:pStyle w:val="5"/>
              <w:spacing w:line="203" w:lineRule="auto"/>
              <w:ind w:left="30"/>
            </w:pPr>
            <w:r>
              <w:rPr>
                <w:spacing w:val="-4"/>
              </w:rPr>
              <w:t>量0.6224km²,钻探760m/6孔，基本分析样195件。第三年度</w:t>
            </w:r>
          </w:p>
        </w:tc>
      </w:tr>
    </w:tbl>
    <w:p w14:paraId="16143577">
      <w:pPr>
        <w:rPr>
          <w:rFonts w:ascii="Arial"/>
          <w:sz w:val="21"/>
        </w:rPr>
      </w:pPr>
    </w:p>
    <w:p w14:paraId="28FB6FAF"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1431" w:right="1786" w:bottom="0" w:left="1786" w:header="0" w:footer="0" w:gutter="0"/>
          <w:cols w:space="720" w:num="1"/>
        </w:sectPr>
      </w:pPr>
    </w:p>
    <w:p w14:paraId="6765DE60">
      <w:pPr>
        <w:spacing w:before="182"/>
      </w:pPr>
    </w:p>
    <w:tbl>
      <w:tblPr>
        <w:tblStyle w:val="4"/>
        <w:tblW w:w="8047" w:type="dxa"/>
        <w:tblInd w:w="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7054"/>
      </w:tblGrid>
      <w:tr w14:paraId="4EAFD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9" w:hRule="atLeast"/>
        </w:trPr>
        <w:tc>
          <w:tcPr>
            <w:tcW w:w="993" w:type="dxa"/>
            <w:vAlign w:val="top"/>
          </w:tcPr>
          <w:p w14:paraId="023B908C">
            <w:pPr>
              <w:rPr>
                <w:rFonts w:ascii="Arial"/>
                <w:sz w:val="21"/>
              </w:rPr>
            </w:pPr>
          </w:p>
        </w:tc>
        <w:tc>
          <w:tcPr>
            <w:tcW w:w="7054" w:type="dxa"/>
            <w:vAlign w:val="top"/>
          </w:tcPr>
          <w:p w14:paraId="5E1DD503">
            <w:pPr>
              <w:pStyle w:val="5"/>
              <w:spacing w:before="42" w:line="216" w:lineRule="auto"/>
              <w:ind w:left="2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主要工作：勘查基线测量与勘查线剖面测量0.84km,探槽</w:t>
            </w:r>
          </w:p>
          <w:p w14:paraId="59E171F8">
            <w:pPr>
              <w:pStyle w:val="5"/>
              <w:spacing w:before="22"/>
              <w:ind w:left="21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693m³,钻探330m/3孔，基本分析样127件。第四年度主要工作</w:t>
            </w:r>
            <w:r>
              <w:rPr>
                <w:spacing w:val="2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:取样钻探140m/7个，基本分析样40件，完成工业指标论证</w:t>
            </w:r>
            <w:r>
              <w:rPr>
                <w:spacing w:val="5"/>
                <w:sz w:val="27"/>
                <w:szCs w:val="27"/>
              </w:rPr>
              <w:t xml:space="preserve">  </w:t>
            </w:r>
            <w:r>
              <w:rPr>
                <w:sz w:val="27"/>
                <w:szCs w:val="27"/>
              </w:rPr>
              <w:t>及矿石工艺性能试验类比研究。第五年度主</w:t>
            </w:r>
            <w:r>
              <w:rPr>
                <w:spacing w:val="-1"/>
                <w:sz w:val="27"/>
                <w:szCs w:val="27"/>
              </w:rPr>
              <w:t>要工作：综合整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pacing w:val="-1"/>
                <w:sz w:val="27"/>
                <w:szCs w:val="27"/>
              </w:rPr>
              <w:t>理所有勘查资料，编制、提交勘探报告，完成报告评审备案</w:t>
            </w:r>
            <w:r>
              <w:rPr>
                <w:spacing w:val="5"/>
                <w:sz w:val="27"/>
                <w:szCs w:val="27"/>
              </w:rPr>
              <w:t xml:space="preserve"> </w:t>
            </w:r>
            <w:r>
              <w:rPr>
                <w:color w:val="B0C0C0"/>
                <w:spacing w:val="-1"/>
                <w:sz w:val="27"/>
                <w:szCs w:val="27"/>
              </w:rPr>
              <w:t>,</w:t>
            </w:r>
            <w:r>
              <w:rPr>
                <w:spacing w:val="-1"/>
                <w:sz w:val="27"/>
                <w:szCs w:val="27"/>
              </w:rPr>
              <w:t>资料归档。</w:t>
            </w:r>
          </w:p>
          <w:p w14:paraId="5EFE1ACF">
            <w:pPr>
              <w:pStyle w:val="5"/>
              <w:spacing w:line="219" w:lineRule="auto"/>
              <w:jc w:val="right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总体工作部署和设计工作量较合理，年度工作安排具体</w:t>
            </w:r>
          </w:p>
          <w:p w14:paraId="03BC48B8">
            <w:pPr>
              <w:pStyle w:val="5"/>
              <w:spacing w:before="125" w:line="179" w:lineRule="auto"/>
              <w:ind w:left="2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</w:t>
            </w:r>
          </w:p>
          <w:p w14:paraId="064C9E18">
            <w:pPr>
              <w:pStyle w:val="5"/>
              <w:spacing w:before="5" w:line="231" w:lineRule="auto"/>
              <w:ind w:left="21" w:firstLine="53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6.五年勘查总费用为393.13万元，第一年176.08万元，</w:t>
            </w:r>
            <w:r>
              <w:rPr>
                <w:spacing w:val="1"/>
                <w:sz w:val="27"/>
                <w:szCs w:val="27"/>
              </w:rPr>
              <w:t xml:space="preserve"> </w:t>
            </w:r>
            <w:r>
              <w:rPr>
                <w:spacing w:val="-4"/>
                <w:sz w:val="27"/>
                <w:szCs w:val="27"/>
              </w:rPr>
              <w:t>第二年92.30万元，第三年55.39万元，第四年25.36万元，第</w:t>
            </w:r>
            <w:r>
              <w:rPr>
                <w:spacing w:val="2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五年44.00万元。经费预算符合预算编制相关要求，预算合</w:t>
            </w:r>
            <w:r>
              <w:rPr>
                <w:spacing w:val="4"/>
                <w:sz w:val="27"/>
                <w:szCs w:val="27"/>
              </w:rPr>
              <w:t xml:space="preserve">  </w:t>
            </w:r>
            <w:r>
              <w:rPr>
                <w:sz w:val="27"/>
                <w:szCs w:val="27"/>
              </w:rPr>
              <w:t>理、可靠。</w:t>
            </w:r>
          </w:p>
          <w:p w14:paraId="0BF34C2F">
            <w:pPr>
              <w:pStyle w:val="5"/>
              <w:spacing w:before="7" w:line="235" w:lineRule="auto"/>
              <w:ind w:left="21" w:firstLine="569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7.预期提交水泥用石灰岩矿石资源量8571.7万吨，其中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pacing w:val="-1"/>
                <w:sz w:val="27"/>
                <w:szCs w:val="27"/>
              </w:rPr>
              <w:t>探明资源量+控制资源量合计5256.3万吨，占总资源量61.3%</w:t>
            </w:r>
            <w:r>
              <w:rPr>
                <w:spacing w:val="10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,满足《矿产地质勘查规范石灰岩、水泥配料类》(DZ</w:t>
            </w:r>
            <w:r>
              <w:rPr>
                <w:spacing w:val="-1"/>
                <w:sz w:val="27"/>
                <w:szCs w:val="27"/>
              </w:rPr>
              <w:t>/T</w:t>
            </w:r>
          </w:p>
          <w:p w14:paraId="2A022CA0">
            <w:pPr>
              <w:pStyle w:val="5"/>
              <w:spacing w:before="47" w:line="219" w:lineRule="auto"/>
              <w:ind w:left="2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0213-2020)勘探控制程度的要求。预期成果合理。</w:t>
            </w:r>
          </w:p>
          <w:p w14:paraId="3200EDB3">
            <w:pPr>
              <w:pStyle w:val="5"/>
              <w:spacing w:before="18" w:line="217" w:lineRule="auto"/>
              <w:ind w:left="21" w:firstLine="53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8.专业技术人员配备及分工基本合理，经费、质量、绿</w:t>
            </w:r>
            <w:r>
              <w:rPr>
                <w:spacing w:val="1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色勘查、安全等保障措施较可靠。</w:t>
            </w:r>
          </w:p>
        </w:tc>
      </w:tr>
      <w:tr w14:paraId="2D63C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9" w:hRule="atLeast"/>
        </w:trPr>
        <w:tc>
          <w:tcPr>
            <w:tcW w:w="993" w:type="dxa"/>
            <w:vAlign w:val="top"/>
          </w:tcPr>
          <w:p w14:paraId="5FFD0312">
            <w:pPr>
              <w:spacing w:line="348" w:lineRule="auto"/>
              <w:rPr>
                <w:rFonts w:ascii="Arial"/>
                <w:sz w:val="21"/>
              </w:rPr>
            </w:pPr>
          </w:p>
          <w:p w14:paraId="56AF9B82">
            <w:pPr>
              <w:pStyle w:val="5"/>
              <w:spacing w:before="87" w:line="270" w:lineRule="auto"/>
              <w:ind w:left="354" w:right="198" w:hanging="140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说明</w:t>
            </w:r>
            <w:r>
              <w:rPr>
                <w:sz w:val="27"/>
                <w:szCs w:val="27"/>
              </w:rPr>
              <w:t xml:space="preserve"> 与</w:t>
            </w:r>
          </w:p>
          <w:p w14:paraId="6136D71C">
            <w:pPr>
              <w:pStyle w:val="5"/>
              <w:spacing w:line="220" w:lineRule="auto"/>
              <w:ind w:left="214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建议</w:t>
            </w:r>
          </w:p>
        </w:tc>
        <w:tc>
          <w:tcPr>
            <w:tcW w:w="7054" w:type="dxa"/>
            <w:vAlign w:val="top"/>
          </w:tcPr>
          <w:p w14:paraId="609AAD4E">
            <w:pPr>
              <w:pStyle w:val="5"/>
              <w:spacing w:before="118" w:line="239" w:lineRule="auto"/>
              <w:ind w:left="21" w:right="88" w:firstLine="70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1.对拟设探矿权进行“三区三线”、各类自然保</w:t>
            </w:r>
            <w:r>
              <w:rPr>
                <w:sz w:val="27"/>
                <w:szCs w:val="27"/>
              </w:rPr>
              <w:t xml:space="preserve">护区 </w:t>
            </w:r>
            <w:r>
              <w:rPr>
                <w:spacing w:val="7"/>
                <w:sz w:val="27"/>
                <w:szCs w:val="27"/>
              </w:rPr>
              <w:t>及林地等查询，评估探转采办理用地手续的可能性，尽可</w:t>
            </w:r>
            <w:r>
              <w:rPr>
                <w:spacing w:val="5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能避免能办证却无法开采的现象。</w:t>
            </w:r>
          </w:p>
          <w:p w14:paraId="77ECC860">
            <w:pPr>
              <w:pStyle w:val="5"/>
              <w:spacing w:line="216" w:lineRule="auto"/>
              <w:ind w:left="21" w:right="5" w:firstLine="550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2.勘查区总体工作程度偏低，项目在实施过程中应根据</w:t>
            </w:r>
            <w:r>
              <w:rPr>
                <w:spacing w:val="10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实际情况对方案进一步调整优化。</w:t>
            </w:r>
          </w:p>
        </w:tc>
      </w:tr>
      <w:tr w14:paraId="42A91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2" w:hRule="atLeast"/>
        </w:trPr>
        <w:tc>
          <w:tcPr>
            <w:tcW w:w="993" w:type="dxa"/>
            <w:vMerge w:val="restart"/>
            <w:tcBorders>
              <w:bottom w:val="nil"/>
            </w:tcBorders>
            <w:vAlign w:val="top"/>
          </w:tcPr>
          <w:p w14:paraId="3C1AFD9D">
            <w:pPr>
              <w:spacing w:line="244" w:lineRule="auto"/>
              <w:rPr>
                <w:rFonts w:ascii="Arial"/>
                <w:sz w:val="21"/>
              </w:rPr>
            </w:pPr>
          </w:p>
          <w:p w14:paraId="75DE8254">
            <w:pPr>
              <w:spacing w:line="244" w:lineRule="auto"/>
              <w:rPr>
                <w:rFonts w:ascii="Arial"/>
                <w:sz w:val="21"/>
              </w:rPr>
            </w:pPr>
          </w:p>
          <w:p w14:paraId="2D3110A1">
            <w:pPr>
              <w:spacing w:line="245" w:lineRule="auto"/>
              <w:rPr>
                <w:rFonts w:ascii="Arial"/>
                <w:sz w:val="21"/>
              </w:rPr>
            </w:pPr>
          </w:p>
          <w:p w14:paraId="6E415D5C">
            <w:pPr>
              <w:spacing w:line="245" w:lineRule="auto"/>
              <w:rPr>
                <w:rFonts w:ascii="Arial"/>
                <w:sz w:val="21"/>
              </w:rPr>
            </w:pPr>
          </w:p>
          <w:p w14:paraId="2882AC07">
            <w:pPr>
              <w:spacing w:line="245" w:lineRule="auto"/>
              <w:rPr>
                <w:rFonts w:ascii="Arial"/>
                <w:sz w:val="21"/>
              </w:rPr>
            </w:pPr>
          </w:p>
          <w:p w14:paraId="1AAD6F1B">
            <w:pPr>
              <w:pStyle w:val="5"/>
              <w:spacing w:before="88" w:line="220" w:lineRule="auto"/>
              <w:ind w:left="214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评审</w:t>
            </w:r>
          </w:p>
          <w:p w14:paraId="31F6DF33">
            <w:pPr>
              <w:pStyle w:val="5"/>
              <w:spacing w:before="8" w:line="221" w:lineRule="auto"/>
              <w:ind w:left="214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结论</w:t>
            </w:r>
          </w:p>
        </w:tc>
        <w:tc>
          <w:tcPr>
            <w:tcW w:w="7054" w:type="dxa"/>
            <w:tcBorders>
              <w:bottom w:val="nil"/>
            </w:tcBorders>
            <w:vAlign w:val="top"/>
          </w:tcPr>
          <w:p w14:paraId="6BA54326">
            <w:pPr>
              <w:pStyle w:val="5"/>
              <w:spacing w:before="116" w:line="241" w:lineRule="auto"/>
              <w:ind w:left="172" w:right="94" w:firstLine="539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经审查，编制单位已按照专家意见对方案进行修改。</w:t>
            </w:r>
            <w:r>
              <w:rPr>
                <w:spacing w:val="16"/>
                <w:sz w:val="27"/>
                <w:szCs w:val="27"/>
              </w:rPr>
              <w:t xml:space="preserve"> </w:t>
            </w:r>
            <w:r>
              <w:rPr>
                <w:spacing w:val="1"/>
                <w:sz w:val="27"/>
                <w:szCs w:val="27"/>
              </w:rPr>
              <w:t xml:space="preserve">方案目的任务明确，勘查方法、勘查手段基本合理，工作 </w:t>
            </w:r>
            <w:r>
              <w:rPr>
                <w:spacing w:val="-1"/>
                <w:sz w:val="27"/>
                <w:szCs w:val="27"/>
              </w:rPr>
              <w:t>安排具体，经费预算符合相关要求，保障措施可靠。</w:t>
            </w:r>
          </w:p>
          <w:p w14:paraId="6CDE3FD9">
            <w:pPr>
              <w:pStyle w:val="5"/>
              <w:spacing w:before="64" w:line="219" w:lineRule="auto"/>
              <w:ind w:left="722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勘查实施方案可行，予以通过。</w:t>
            </w:r>
          </w:p>
        </w:tc>
      </w:tr>
      <w:tr w14:paraId="7FD56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993" w:type="dxa"/>
            <w:vMerge w:val="continue"/>
            <w:tcBorders>
              <w:top w:val="nil"/>
              <w:bottom w:val="nil"/>
            </w:tcBorders>
            <w:vAlign w:val="top"/>
          </w:tcPr>
          <w:p w14:paraId="2FBB7819">
            <w:pPr>
              <w:rPr>
                <w:rFonts w:ascii="Arial"/>
                <w:sz w:val="21"/>
              </w:rPr>
            </w:pPr>
          </w:p>
        </w:tc>
        <w:tc>
          <w:tcPr>
            <w:tcW w:w="7054" w:type="dxa"/>
            <w:tcBorders>
              <w:top w:val="nil"/>
              <w:bottom w:val="nil"/>
            </w:tcBorders>
            <w:vAlign w:val="top"/>
          </w:tcPr>
          <w:p w14:paraId="16354545">
            <w:pPr>
              <w:spacing w:line="277" w:lineRule="auto"/>
              <w:rPr>
                <w:rFonts w:ascii="Arial"/>
                <w:sz w:val="21"/>
              </w:rPr>
            </w:pPr>
          </w:p>
          <w:p w14:paraId="773A6359">
            <w:pPr>
              <w:pStyle w:val="5"/>
              <w:spacing w:before="88" w:line="220" w:lineRule="auto"/>
              <w:ind w:left="2912"/>
              <w:rPr>
                <w:sz w:val="27"/>
                <w:szCs w:val="27"/>
              </w:rPr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2756535</wp:posOffset>
                  </wp:positionH>
                  <wp:positionV relativeFrom="paragraph">
                    <wp:posOffset>-29845</wp:posOffset>
                  </wp:positionV>
                  <wp:extent cx="1188085" cy="378460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234" cy="378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"/>
                <w:sz w:val="27"/>
                <w:szCs w:val="27"/>
              </w:rPr>
              <w:t>专家组组长：</w:t>
            </w:r>
          </w:p>
        </w:tc>
      </w:tr>
      <w:tr w14:paraId="6AB64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993" w:type="dxa"/>
            <w:vMerge w:val="continue"/>
            <w:tcBorders>
              <w:top w:val="nil"/>
            </w:tcBorders>
            <w:vAlign w:val="top"/>
          </w:tcPr>
          <w:p w14:paraId="1A9CCE53">
            <w:pPr>
              <w:rPr>
                <w:rFonts w:ascii="Arial"/>
                <w:sz w:val="21"/>
              </w:rPr>
            </w:pPr>
          </w:p>
        </w:tc>
        <w:tc>
          <w:tcPr>
            <w:tcW w:w="7054" w:type="dxa"/>
            <w:tcBorders>
              <w:top w:val="nil"/>
            </w:tcBorders>
            <w:vAlign w:val="top"/>
          </w:tcPr>
          <w:p w14:paraId="008022B2">
            <w:pPr>
              <w:pStyle w:val="5"/>
              <w:spacing w:before="198" w:line="181" w:lineRule="auto"/>
              <w:ind w:left="5171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2025年3月17日</w:t>
            </w:r>
          </w:p>
        </w:tc>
      </w:tr>
    </w:tbl>
    <w:p w14:paraId="4AE55C0A">
      <w:pPr>
        <w:spacing w:line="283" w:lineRule="auto"/>
        <w:rPr>
          <w:rFonts w:ascii="Arial"/>
          <w:sz w:val="21"/>
        </w:rPr>
      </w:pPr>
    </w:p>
    <w:p w14:paraId="2377829D">
      <w:pPr>
        <w:spacing w:line="284" w:lineRule="auto"/>
        <w:rPr>
          <w:rFonts w:ascii="Arial"/>
          <w:sz w:val="21"/>
        </w:rPr>
      </w:pPr>
    </w:p>
    <w:p w14:paraId="55E9A529">
      <w:pPr>
        <w:spacing w:before="94" w:line="222" w:lineRule="auto"/>
        <w:ind w:left="71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3"/>
          <w:sz w:val="29"/>
          <w:szCs w:val="29"/>
        </w:rPr>
        <w:t>备注：结果公示</w:t>
      </w:r>
    </w:p>
    <w:sectPr>
      <w:pgSz w:w="11910" w:h="16840"/>
      <w:pgMar w:top="1431" w:right="1786" w:bottom="0" w:left="17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2978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1424</Words>
  <Characters>1608</Characters>
  <TotalTime>0</TotalTime>
  <ScaleCrop>false</ScaleCrop>
  <LinksUpToDate>false</LinksUpToDate>
  <CharactersWithSpaces>1656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2026-08-13T09:03:00Z</dcterms:created>
  <dc:creator>QJ</dc:creator>
  <cp:lastModifiedBy>郭丽娜</cp:lastModifiedBy>
  <dcterms:modified xsi:type="dcterms:W3CDTF">2026-08-13T01:04:06Z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2026-08-13T09:03:34Z</vt:filetime>
  </property>
  <property fmtid="{D5CDD505-2E9C-101B-9397-08002B2CF9AE}" pid="4" name="UsrData">
    <vt:lpwstr>6a7d17e3e33e90001f4058c2wl</vt:lpwstr>
  </property>
  <property fmtid="{D5CDD505-2E9C-101B-9397-08002B2CF9AE}" pid="5" name="KSOTemplateDocerSaveRecord">
    <vt:lpwstr>eyJoZGlkIjoiYTA0OTFiNTllN2E3YTc2MDc5ZTIwYTg0ZjFlZjFlMWQiLCJ1c2VySWQiOiIzNzMyMDUyODEifQ==</vt:lpwstr>
  </property>
  <property fmtid="{D5CDD505-2E9C-101B-9397-08002B2CF9AE}" pid="6" name="KSOProductBuildVer">
    <vt:lpwstr>2052-12.1.0.28043</vt:lpwstr>
  </property>
  <property fmtid="{D5CDD505-2E9C-101B-9397-08002B2CF9AE}" pid="7" name="ICV">
    <vt:lpwstr>D563519DBE724B57946B4719129C7343_13</vt:lpwstr>
  </property>
</Properties>
</file>